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3F25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  <w:r w:rsidRPr="001E0615">
        <w:rPr>
          <w:b/>
          <w:color w:val="3C3C3C"/>
          <w:sz w:val="26"/>
          <w:lang w:val="pt-BR"/>
        </w:rPr>
        <w:t>PROJETO APLICADO II</w:t>
      </w:r>
    </w:p>
    <w:p w14:paraId="433C2391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752D4332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6477C6FA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621961B9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02C6EE8C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24BA1966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126D1BCD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7ED0455C" w14:textId="77777777" w:rsidR="00E95A94" w:rsidRDefault="00E95A94" w:rsidP="00E95A94">
      <w:pPr>
        <w:spacing w:after="80" w:line="288" w:lineRule="auto"/>
        <w:jc w:val="center"/>
        <w:rPr>
          <w:b/>
          <w:color w:val="3C3C3C"/>
          <w:sz w:val="26"/>
          <w:lang w:val="pt-BR"/>
        </w:rPr>
      </w:pPr>
    </w:p>
    <w:p w14:paraId="1701DBFA" w14:textId="18C1A3D4" w:rsidR="00E95A94" w:rsidRDefault="00E95A94" w:rsidP="00E95A94">
      <w:pPr>
        <w:spacing w:after="80" w:line="288" w:lineRule="auto"/>
        <w:jc w:val="center"/>
        <w:rPr>
          <w:b/>
          <w:color w:val="1A237E"/>
          <w:sz w:val="30"/>
          <w:lang w:val="pt-BR"/>
        </w:rPr>
      </w:pPr>
      <w:r w:rsidRPr="001E0615">
        <w:rPr>
          <w:b/>
          <w:color w:val="3C3C3C"/>
          <w:sz w:val="26"/>
          <w:lang w:val="pt-BR"/>
        </w:rPr>
        <w:br/>
      </w:r>
      <w:r w:rsidR="003F4F64" w:rsidRPr="003F4F64">
        <w:rPr>
          <w:b/>
          <w:color w:val="000000" w:themeColor="text1"/>
          <w:sz w:val="30"/>
          <w:lang w:val="pt-BR"/>
        </w:rPr>
        <w:t>ETAPA 3: CONSOLIDAÇÃO DO MODELO ANALÍTICO, PRODUTO EDGE AI, MODELAGEM DE NEGÓCIOS AGTECH E DATA STORYTELLING EXECUTIVO</w:t>
      </w:r>
    </w:p>
    <w:p w14:paraId="3D60BB8B" w14:textId="77777777" w:rsidR="00E95A94" w:rsidRDefault="00E95A94" w:rsidP="00E95A94">
      <w:pPr>
        <w:spacing w:after="80" w:line="288" w:lineRule="auto"/>
        <w:jc w:val="center"/>
        <w:rPr>
          <w:i/>
          <w:color w:val="323232"/>
          <w:sz w:val="23"/>
          <w:lang w:val="pt-BR"/>
        </w:rPr>
      </w:pPr>
      <w:r w:rsidRPr="001E0615">
        <w:rPr>
          <w:b/>
          <w:color w:val="1A237E"/>
          <w:sz w:val="30"/>
          <w:lang w:val="pt-BR"/>
        </w:rPr>
        <w:br/>
      </w:r>
      <w:r w:rsidRPr="001E0615">
        <w:rPr>
          <w:i/>
          <w:color w:val="323232"/>
          <w:sz w:val="23"/>
          <w:lang w:val="pt-BR"/>
        </w:rPr>
        <w:t>Classificação Automatizada de Fitopatologias com MobileNetV2 e Edge AI no Agronegócio</w:t>
      </w:r>
    </w:p>
    <w:p w14:paraId="162F69AE" w14:textId="77777777" w:rsidR="003F4F64" w:rsidRDefault="003F4F64" w:rsidP="00E95A94">
      <w:pPr>
        <w:spacing w:after="80" w:line="288" w:lineRule="auto"/>
        <w:jc w:val="center"/>
        <w:rPr>
          <w:u w:val="single"/>
          <w:lang w:val="pt-BR"/>
        </w:rPr>
      </w:pPr>
    </w:p>
    <w:p w14:paraId="4669A02B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5D3266D0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719F278E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01BD654E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59E41868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1E893B08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11AA65F2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5115A5B1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46825AA8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11DCB354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5AD85E41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39A4BB0E" w14:textId="77777777" w:rsidR="00E95A94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7FA8E0F3" w14:textId="77777777" w:rsidR="00E95A94" w:rsidRPr="00E77307" w:rsidRDefault="00E95A94" w:rsidP="00E95A94">
      <w:pPr>
        <w:spacing w:after="80" w:line="288" w:lineRule="auto"/>
        <w:jc w:val="center"/>
        <w:rPr>
          <w:u w:val="single"/>
          <w:lang w:val="pt-BR"/>
        </w:rPr>
      </w:pPr>
    </w:p>
    <w:p w14:paraId="0CCAB474" w14:textId="77777777" w:rsidR="00E95A94" w:rsidRDefault="00E95A94" w:rsidP="00E95A94">
      <w:pPr>
        <w:spacing w:before="200" w:after="280"/>
        <w:rPr>
          <w:lang w:val="pt-BR"/>
        </w:rPr>
      </w:pPr>
      <w:r w:rsidRPr="001E0615">
        <w:rPr>
          <w:b/>
          <w:color w:val="1E1E1E"/>
          <w:sz w:val="20"/>
          <w:lang w:val="pt-BR"/>
        </w:rPr>
        <w:t xml:space="preserve">Startup: </w:t>
      </w:r>
      <w:proofErr w:type="spellStart"/>
      <w:r w:rsidRPr="001E0615">
        <w:rPr>
          <w:color w:val="1E1E1E"/>
          <w:sz w:val="20"/>
          <w:lang w:val="pt-BR"/>
        </w:rPr>
        <w:t>AgroSense</w:t>
      </w:r>
      <w:proofErr w:type="spellEnd"/>
      <w:r w:rsidRPr="001E0615">
        <w:rPr>
          <w:color w:val="1E1E1E"/>
          <w:sz w:val="20"/>
          <w:lang w:val="pt-BR"/>
        </w:rPr>
        <w:t xml:space="preserve"> </w:t>
      </w:r>
      <w:proofErr w:type="spellStart"/>
      <w:r w:rsidRPr="001E0615">
        <w:rPr>
          <w:color w:val="1E1E1E"/>
          <w:sz w:val="20"/>
          <w:lang w:val="pt-BR"/>
        </w:rPr>
        <w:t>Analytics</w:t>
      </w:r>
      <w:proofErr w:type="spellEnd"/>
      <w:r w:rsidRPr="001E0615">
        <w:rPr>
          <w:color w:val="1E1E1E"/>
          <w:sz w:val="20"/>
          <w:lang w:val="pt-BR"/>
        </w:rPr>
        <w:br/>
      </w:r>
      <w:r w:rsidRPr="001E0615">
        <w:rPr>
          <w:b/>
          <w:color w:val="1E1E1E"/>
          <w:sz w:val="20"/>
          <w:lang w:val="pt-BR"/>
        </w:rPr>
        <w:t xml:space="preserve">Autores: </w:t>
      </w:r>
      <w:r w:rsidRPr="001E0615">
        <w:rPr>
          <w:color w:val="1E1E1E"/>
          <w:sz w:val="20"/>
          <w:lang w:val="pt-BR"/>
        </w:rPr>
        <w:t>Henrique Sarmento, Felipe Magalhães de Melo Costa, Jefferson Candido Moreira, Karla Maria Ramos da Silva</w:t>
      </w:r>
      <w:r w:rsidRPr="001E0615">
        <w:rPr>
          <w:color w:val="1E1E1E"/>
          <w:sz w:val="20"/>
          <w:lang w:val="pt-BR"/>
        </w:rPr>
        <w:br/>
      </w:r>
      <w:r w:rsidRPr="001E0615">
        <w:rPr>
          <w:b/>
          <w:color w:val="1E1E1E"/>
          <w:sz w:val="20"/>
          <w:lang w:val="pt-BR"/>
        </w:rPr>
        <w:t xml:space="preserve">Repositório no GitHub: </w:t>
      </w:r>
      <w:r w:rsidRPr="001E0615">
        <w:rPr>
          <w:color w:val="1E1E1E"/>
          <w:sz w:val="20"/>
          <w:lang w:val="pt-BR"/>
        </w:rPr>
        <w:t>https://github.com/henri-sarmento/ProjetoAplicado2</w:t>
      </w:r>
      <w:r w:rsidRPr="001E0615">
        <w:rPr>
          <w:color w:val="1E1E1E"/>
          <w:sz w:val="20"/>
          <w:lang w:val="pt-BR"/>
        </w:rPr>
        <w:br/>
      </w:r>
      <w:r w:rsidRPr="001E0615">
        <w:rPr>
          <w:b/>
          <w:color w:val="1E1E1E"/>
          <w:sz w:val="20"/>
          <w:lang w:val="pt-BR"/>
        </w:rPr>
        <w:t xml:space="preserve">Base de Dados: </w:t>
      </w:r>
      <w:proofErr w:type="spellStart"/>
      <w:r w:rsidRPr="001E0615">
        <w:rPr>
          <w:color w:val="1E1E1E"/>
          <w:sz w:val="20"/>
          <w:lang w:val="pt-BR"/>
        </w:rPr>
        <w:t>PlantVillage</w:t>
      </w:r>
      <w:proofErr w:type="spellEnd"/>
      <w:r w:rsidRPr="001E0615">
        <w:rPr>
          <w:color w:val="1E1E1E"/>
          <w:sz w:val="20"/>
          <w:lang w:val="pt-BR"/>
        </w:rPr>
        <w:t xml:space="preserve"> </w:t>
      </w:r>
      <w:proofErr w:type="spellStart"/>
      <w:r w:rsidRPr="001E0615">
        <w:rPr>
          <w:color w:val="1E1E1E"/>
          <w:sz w:val="20"/>
          <w:lang w:val="pt-BR"/>
        </w:rPr>
        <w:t>Dataset</w:t>
      </w:r>
      <w:proofErr w:type="spellEnd"/>
      <w:r w:rsidRPr="001E0615">
        <w:rPr>
          <w:color w:val="1E1E1E"/>
          <w:sz w:val="20"/>
          <w:lang w:val="pt-BR"/>
        </w:rPr>
        <w:t xml:space="preserve"> (Subconjunto color — 54.305 imagens RGB, 38 classes)</w:t>
      </w:r>
      <w:r>
        <w:rPr>
          <w:lang w:val="pt-BR"/>
        </w:rPr>
        <w:br w:type="page"/>
      </w:r>
    </w:p>
    <w:sdt>
      <w:sdtPr>
        <w:rPr>
          <w:rFonts w:eastAsiaTheme="minorEastAsia" w:cstheme="minorBidi"/>
          <w:b w:val="0"/>
          <w:bCs w:val="0"/>
          <w:sz w:val="24"/>
          <w:szCs w:val="22"/>
          <w:lang w:val="pt-BR"/>
        </w:rPr>
        <w:id w:val="-197160119"/>
        <w:docPartObj>
          <w:docPartGallery w:val="Table of Contents"/>
          <w:docPartUnique/>
        </w:docPartObj>
      </w:sdtPr>
      <w:sdtEndPr>
        <w:rPr>
          <w:rFonts w:asciiTheme="minorHAnsi" w:hAnsiTheme="minorHAnsi"/>
          <w:color w:val="auto"/>
          <w:sz w:val="22"/>
          <w:lang w:val="en-US"/>
        </w:rPr>
      </w:sdtEndPr>
      <w:sdtContent>
        <w:p w14:paraId="57798873" w14:textId="77777777" w:rsidR="00E95A94" w:rsidRPr="001E0615" w:rsidRDefault="00E95A94" w:rsidP="00E95A94">
          <w:pPr>
            <w:pStyle w:val="CabealhodoSumrio"/>
            <w:rPr>
              <w:lang w:val="pt-BR"/>
            </w:rPr>
          </w:pPr>
          <w:r>
            <w:rPr>
              <w:lang w:val="pt-BR"/>
            </w:rPr>
            <w:t>Sumário</w:t>
          </w:r>
        </w:p>
        <w:p w14:paraId="46070CB3" w14:textId="6180671B" w:rsidR="003A1E67" w:rsidRDefault="00E95A94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 w:rsidRPr="001E0615">
            <w:rPr>
              <w:lang w:val="pt-BR"/>
            </w:rPr>
            <w:instrText xml:space="preserve"> TOC \o "1-3" \h \z \u </w:instrText>
          </w:r>
          <w:r>
            <w:fldChar w:fldCharType="separate"/>
          </w:r>
          <w:hyperlink w:anchor="_Toc243686810" w:history="1">
            <w:r w:rsidR="003A1E67" w:rsidRPr="00BB57D4">
              <w:rPr>
                <w:rStyle w:val="Hyperlink"/>
                <w:noProof/>
                <w:lang w:val="pt-BR"/>
              </w:rPr>
              <w:t>1 FUNDAMENTAÇÃO TEÓRICA</w:t>
            </w:r>
            <w:r w:rsidR="003A1E67">
              <w:rPr>
                <w:noProof/>
                <w:webHidden/>
              </w:rPr>
              <w:tab/>
            </w:r>
            <w:r w:rsidR="003A1E67">
              <w:rPr>
                <w:noProof/>
                <w:webHidden/>
              </w:rPr>
              <w:fldChar w:fldCharType="begin"/>
            </w:r>
            <w:r w:rsidR="003A1E67">
              <w:rPr>
                <w:noProof/>
                <w:webHidden/>
              </w:rPr>
              <w:instrText xml:space="preserve"> PAGEREF _Toc243686810 \h </w:instrText>
            </w:r>
            <w:r w:rsidR="003A1E67">
              <w:rPr>
                <w:noProof/>
                <w:webHidden/>
              </w:rPr>
            </w:r>
            <w:r w:rsidR="003A1E67">
              <w:rPr>
                <w:noProof/>
                <w:webHidden/>
              </w:rPr>
              <w:fldChar w:fldCharType="separate"/>
            </w:r>
            <w:r w:rsidR="003A1E67">
              <w:rPr>
                <w:noProof/>
                <w:webHidden/>
              </w:rPr>
              <w:t>3</w:t>
            </w:r>
            <w:r w:rsidR="003A1E67">
              <w:rPr>
                <w:noProof/>
                <w:webHidden/>
              </w:rPr>
              <w:fldChar w:fldCharType="end"/>
            </w:r>
          </w:hyperlink>
        </w:p>
        <w:p w14:paraId="177F1B3A" w14:textId="27140B9B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1" w:history="1">
            <w:r w:rsidRPr="00BB57D4">
              <w:rPr>
                <w:rStyle w:val="Hyperlink"/>
                <w:noProof/>
                <w:lang w:val="pt-BR"/>
              </w:rPr>
              <w:t>1.1 Contexto e Delimitação do Acervo Fitopatológico PlantVillage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3EA4" w14:textId="7E94B1EB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2" w:history="1">
            <w:r w:rsidRPr="00BB57D4">
              <w:rPr>
                <w:rStyle w:val="Hyperlink"/>
                <w:noProof/>
                <w:lang w:val="pt-BR"/>
              </w:rPr>
              <w:t>1.2 Racional da Rejeição dos Modelos Tabulares e Prevenção de Vazamento de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3C065" w14:textId="5ACFBD7F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3" w:history="1">
            <w:r w:rsidRPr="00BB57D4">
              <w:rPr>
                <w:rStyle w:val="Hyperlink"/>
                <w:noProof/>
                <w:lang w:val="pt-BR"/>
              </w:rPr>
              <w:t>1.3 Arquitetura MobileNetV2 e Paradigma de Transfer Learning para Dispositivos de Borda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999D" w14:textId="6371E0B8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4" w:history="1">
            <w:r w:rsidRPr="00BB57D4">
              <w:rPr>
                <w:rStyle w:val="Hyperlink"/>
                <w:noProof/>
                <w:lang w:val="pt-BR"/>
              </w:rPr>
              <w:t>1.4 Convoluções Separáveis em Profundidade e Blocos Invertidos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1259" w14:textId="415653D9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5" w:history="1">
            <w:r w:rsidRPr="00BB57D4">
              <w:rPr>
                <w:rStyle w:val="Hyperlink"/>
                <w:noProof/>
                <w:lang w:val="pt-BR"/>
              </w:rPr>
              <w:t>1.5 Mitigação do Desbalanceamento Severo via Função de Perda Ponderada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B2E8" w14:textId="2AEBF16F" w:rsidR="003A1E67" w:rsidRDefault="003A1E67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3686816" w:history="1">
            <w:r w:rsidRPr="00BB57D4">
              <w:rPr>
                <w:rStyle w:val="Hyperlink"/>
                <w:noProof/>
              </w:rPr>
              <w:t>2 MEDIDAS DE ACURÁCIA E DIAGNÓSTICO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2834" w14:textId="07952AFC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7" w:history="1">
            <w:r w:rsidRPr="00BB57D4">
              <w:rPr>
                <w:rStyle w:val="Hyperlink"/>
                <w:noProof/>
                <w:lang w:val="pt-BR"/>
              </w:rPr>
              <w:t>2.1 Metodologia de Avaliação Multiclasse e Seleção de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1607" w14:textId="67184B3A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8" w:history="1">
            <w:r w:rsidRPr="00BB57D4">
              <w:rPr>
                <w:rStyle w:val="Hyperlink"/>
                <w:noProof/>
                <w:lang w:val="pt-BR"/>
              </w:rPr>
              <w:t>2.2 Painel Consolidado de Desempenho no Teste Cego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DACB" w14:textId="7B4708E6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19" w:history="1">
            <w:r w:rsidRPr="00BB57D4">
              <w:rPr>
                <w:rStyle w:val="Hyperlink"/>
                <w:noProof/>
                <w:lang w:val="pt-BR"/>
              </w:rPr>
              <w:t>2.3 Auditoria da Classe Minoritária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65D4" w14:textId="3832E482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0" w:history="1">
            <w:r w:rsidRPr="00BB57D4">
              <w:rPr>
                <w:rStyle w:val="Hyperlink"/>
                <w:noProof/>
                <w:lang w:val="pt-BR"/>
              </w:rPr>
              <w:t xml:space="preserve">2.4 Matriz de Confusão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  <w:lang w:val="pt-BR"/>
                </w:rPr>
                <m:t>38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  <w:lang w:val="pt-BR"/>
                </w:rPr>
                <m:t>x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  <w:lang w:val="pt-BR"/>
                </w:rPr>
                <m:t>38</m:t>
              </m:r>
            </m:oMath>
            <w:r w:rsidRPr="00BB57D4">
              <w:rPr>
                <w:rStyle w:val="Hyperlink"/>
                <w:noProof/>
                <w:lang w:val="pt-BR"/>
              </w:rPr>
              <w:t xml:space="preserve"> e Análise dos Casos Limítrofes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45D1" w14:textId="0D1D6C3C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1" w:history="1">
            <w:r w:rsidRPr="00BB57D4">
              <w:rPr>
                <w:rStyle w:val="Hyperlink"/>
                <w:noProof/>
                <w:lang w:val="pt-BR"/>
              </w:rPr>
              <w:t xml:space="preserve">2.5 </w:t>
            </w:r>
            <w:r w:rsidRPr="00BB57D4">
              <w:rPr>
                <w:rStyle w:val="Hyperlink"/>
                <w:iCs/>
                <w:noProof/>
                <w:lang w:val="pt-BR"/>
              </w:rPr>
              <w:t>Protocolo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de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Engenharia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de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Confiabilidade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e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Limiar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de</w:t>
            </w:r>
            <w:r w:rsidRPr="00BB57D4">
              <w:rPr>
                <w:rStyle w:val="Hyperlink"/>
                <w:noProof/>
                <w:lang w:val="pt-BR"/>
              </w:rPr>
              <w:t xml:space="preserve"> </w:t>
            </w:r>
            <w:r w:rsidRPr="00BB57D4">
              <w:rPr>
                <w:rStyle w:val="Hyperlink"/>
                <w:iCs/>
                <w:noProof/>
                <w:lang w:val="pt-BR"/>
              </w:rPr>
              <w:t>Decis</w:t>
            </w:r>
            <w:r w:rsidRPr="00BB57D4">
              <w:rPr>
                <w:rStyle w:val="Hyperlink"/>
                <w:noProof/>
                <w:lang w:val="pt-BR"/>
              </w:rPr>
              <w:t>ã</w:t>
            </w:r>
            <w:r w:rsidRPr="00BB57D4">
              <w:rPr>
                <w:rStyle w:val="Hyperlink"/>
                <w:iCs/>
                <w:noProof/>
                <w:lang w:val="pt-BR"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278F" w14:textId="452B100C" w:rsidR="003A1E67" w:rsidRDefault="003A1E67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3686822" w:history="1">
            <w:r w:rsidRPr="00BB57D4">
              <w:rPr>
                <w:rStyle w:val="Hyperlink"/>
                <w:noProof/>
                <w:lang w:val="pt-BR"/>
              </w:rPr>
              <w:t>3 ESPECIFICAÇÃO TÉCNICA DO PRODUTO: AGROSENSE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8817A" w14:textId="25B5D3AF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3" w:history="1">
            <w:r w:rsidRPr="00BB57D4">
              <w:rPr>
                <w:rStyle w:val="Hyperlink"/>
                <w:noProof/>
                <w:lang w:val="pt-BR"/>
              </w:rPr>
              <w:t>3.1 Arquitetura e Engenharia de Aplicação On-Device (Edge 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E7B4" w14:textId="0820A369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4" w:history="1">
            <w:r w:rsidRPr="00BB57D4">
              <w:rPr>
                <w:rStyle w:val="Hyperlink"/>
                <w:noProof/>
                <w:lang w:val="pt-BR"/>
              </w:rPr>
              <w:t>3.2 Pipeline Local de Pré-processamento e Inferência em Baixa Latência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E20C" w14:textId="4570E1D8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5" w:history="1">
            <w:r w:rsidRPr="00BB57D4">
              <w:rPr>
                <w:rStyle w:val="Hyperlink"/>
                <w:noProof/>
                <w:lang w:val="pt-BR"/>
              </w:rPr>
              <w:t>3.3 Jornada do Usuário e Geração de Laudo Técnico Georreferenciado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B15D" w14:textId="6DC15048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6" w:history="1">
            <w:r w:rsidRPr="00BB57D4">
              <w:rPr>
                <w:rStyle w:val="Hyperlink"/>
                <w:noProof/>
                <w:lang w:val="pt-BR"/>
              </w:rPr>
              <w:t>3.4 Telemetria Assíncrona e Dashboard Epidemiológico Corporativo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FCF" w14:textId="0AAD858F" w:rsidR="003A1E67" w:rsidRDefault="003A1E67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3686827" w:history="1">
            <w:r w:rsidRPr="00BB57D4">
              <w:rPr>
                <w:rStyle w:val="Hyperlink"/>
                <w:noProof/>
                <w:lang w:val="pt-BR"/>
              </w:rPr>
              <w:t>4 MODELO DE NEGÓCIOS E 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3591" w14:textId="3FE030E2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8" w:history="1">
            <w:r w:rsidRPr="00BB57D4">
              <w:rPr>
                <w:rStyle w:val="Hyperlink"/>
                <w:noProof/>
                <w:lang w:val="pt-BR"/>
              </w:rPr>
              <w:t>4.1 Business Model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CC73" w14:textId="62DD9056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29" w:history="1">
            <w:r w:rsidRPr="00BB57D4">
              <w:rPr>
                <w:rStyle w:val="Hyperlink"/>
                <w:noProof/>
                <w:lang w:val="pt-BR"/>
              </w:rPr>
              <w:t>4.2 Modelo de Monetização SaaS B2B por Hectare e Assento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2A47" w14:textId="6ACBB8A2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0" w:history="1">
            <w:r w:rsidRPr="00BB57D4">
              <w:rPr>
                <w:rStyle w:val="Hyperlink"/>
                <w:noProof/>
                <w:lang w:val="pt-BR"/>
              </w:rPr>
              <w:t>4.3 O Retorno Financeiro para Cooperativas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98BF" w14:textId="05153A1F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1" w:history="1">
            <w:r w:rsidRPr="00BB57D4">
              <w:rPr>
                <w:rStyle w:val="Hyperlink"/>
                <w:noProof/>
                <w:lang w:val="pt-BR"/>
              </w:rPr>
              <w:t>4.4 Alinhamento com Critérios ESG e Metas ODS 2 e ODS 12 da 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9EA6" w14:textId="720E5152" w:rsidR="003A1E67" w:rsidRDefault="003A1E67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3686832" w:history="1">
            <w:r w:rsidRPr="00BB57D4">
              <w:rPr>
                <w:rStyle w:val="Hyperlink"/>
                <w:noProof/>
                <w:lang w:val="pt-BR"/>
              </w:rPr>
              <w:t>5 DATA STORYTELLING E ROTEIRO PARA A ETAPA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EFD0" w14:textId="42F2580E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3" w:history="1">
            <w:r w:rsidRPr="00BB57D4">
              <w:rPr>
                <w:rStyle w:val="Hyperlink"/>
                <w:noProof/>
                <w:lang w:val="pt-BR"/>
              </w:rPr>
              <w:t>5.1 O Arco Narrativo Corporativo Linear em 4 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F087" w14:textId="4D4A5AEE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4" w:history="1">
            <w:r w:rsidRPr="00BB57D4">
              <w:rPr>
                <w:rStyle w:val="Hyperlink"/>
                <w:noProof/>
                <w:lang w:val="pt-BR"/>
              </w:rPr>
              <w:t>5.2 Roteiro Direcional para a Apresentação Executiva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4F73" w14:textId="6953D772" w:rsidR="003A1E67" w:rsidRDefault="003A1E67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3686835" w:history="1">
            <w:r w:rsidRPr="00BB57D4">
              <w:rPr>
                <w:rStyle w:val="Hyperlink"/>
                <w:noProof/>
                <w:lang w:val="pt-BR"/>
              </w:rPr>
              <w:t>6 EVIDÊNCIAS VISUAIS DA ESTEIRA ANALÍTICA E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B18A" w14:textId="68EDC68D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6" w:history="1">
            <w:r w:rsidRPr="00BB57D4">
              <w:rPr>
                <w:rStyle w:val="Hyperlink"/>
                <w:noProof/>
                <w:lang w:val="pt-BR"/>
              </w:rPr>
              <w:t>6.1 Figura 1 — Arquitetura da Solução Edge AI AgroSense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CEE7" w14:textId="29F237B3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7" w:history="1">
            <w:r w:rsidRPr="00BB57D4">
              <w:rPr>
                <w:rStyle w:val="Hyperlink"/>
                <w:noProof/>
                <w:lang w:val="pt-BR"/>
              </w:rPr>
              <w:t>6.2 Figura 2 — Curvas de Convergência de Treinamento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4509A" w14:textId="26FBE06B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8" w:history="1">
            <w:r w:rsidRPr="00BB57D4">
              <w:rPr>
                <w:rStyle w:val="Hyperlink"/>
                <w:noProof/>
                <w:lang w:val="pt-BR"/>
              </w:rPr>
              <w:t>6.3 Figura 3 — Matriz de Confusão Multiclasse Normalizada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183C" w14:textId="69F1245A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39" w:history="1">
            <w:r w:rsidRPr="00BB57D4">
              <w:rPr>
                <w:rStyle w:val="Hyperlink"/>
                <w:noProof/>
                <w:lang w:val="pt-BR"/>
              </w:rPr>
              <w:t>6.4 Figura 4 — Galeria de Diagnósticos em Amostras de Teste Inéditas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8C0B" w14:textId="741139DF" w:rsidR="003A1E67" w:rsidRDefault="003A1E67">
          <w:pPr>
            <w:pStyle w:val="Sumrio2"/>
            <w:tabs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43686840" w:history="1">
            <w:r w:rsidRPr="00BB57D4">
              <w:rPr>
                <w:rStyle w:val="Hyperlink"/>
                <w:noProof/>
                <w:lang w:val="pt-BR"/>
              </w:rPr>
              <w:t>6.5 Figura 5 — Business Model Canvas Consolidado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3819" w14:textId="3BB42F14" w:rsidR="003A1E67" w:rsidRDefault="003A1E67">
          <w:pPr>
            <w:pStyle w:val="Sumrio1"/>
            <w:tabs>
              <w:tab w:val="right" w:leader="dot" w:pos="9061"/>
            </w:tabs>
            <w:rPr>
              <w:rFonts w:asciiTheme="minorHAnsi" w:hAnsiTheme="minorHAns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43686841" w:history="1">
            <w:r w:rsidRPr="00BB57D4">
              <w:rPr>
                <w:rStyle w:val="Hyperlink"/>
                <w:noProof/>
              </w:rPr>
              <w:t>7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9260" w14:textId="0070D01B" w:rsidR="00E95A94" w:rsidRPr="001E0615" w:rsidRDefault="00E95A94" w:rsidP="00E95A94">
          <w:pPr>
            <w:rPr>
              <w:lang w:val="pt-BR"/>
            </w:rPr>
          </w:pPr>
          <w:r>
            <w:rPr>
              <w:b/>
              <w:bCs/>
            </w:rPr>
            <w:fldChar w:fldCharType="end"/>
          </w:r>
        </w:p>
      </w:sdtContent>
    </w:sdt>
    <w:p w14:paraId="2CF901DF" w14:textId="2E06C273" w:rsidR="006A744D" w:rsidRPr="003A1E67" w:rsidRDefault="00000000" w:rsidP="003A1E67">
      <w:pPr>
        <w:pStyle w:val="Ttulo1"/>
        <w:rPr>
          <w:u w:val="single"/>
          <w:lang w:val="pt-BR"/>
        </w:rPr>
      </w:pPr>
      <w:bookmarkStart w:id="0" w:name="_Toc243686810"/>
      <w:r w:rsidRPr="00E95A94">
        <w:rPr>
          <w:lang w:val="pt-BR"/>
        </w:rPr>
        <w:lastRenderedPageBreak/>
        <w:t>1 FUNDAMENTAÇÃO TEÓRICA</w:t>
      </w:r>
      <w:bookmarkEnd w:id="0"/>
    </w:p>
    <w:p w14:paraId="67C9A55F" w14:textId="77777777" w:rsidR="006A744D" w:rsidRPr="00E95A94" w:rsidRDefault="00000000" w:rsidP="00E95A94">
      <w:pPr>
        <w:pStyle w:val="Ttulo2"/>
        <w:rPr>
          <w:lang w:val="pt-BR"/>
        </w:rPr>
      </w:pPr>
      <w:bookmarkStart w:id="1" w:name="_Toc243686811"/>
      <w:r w:rsidRPr="00E95A94">
        <w:rPr>
          <w:lang w:val="pt-BR"/>
        </w:rPr>
        <w:t xml:space="preserve">1.1 Contexto e Delimitação do Acervo Fitopatológico </w:t>
      </w:r>
      <w:proofErr w:type="spellStart"/>
      <w:r w:rsidRPr="00E95A94">
        <w:rPr>
          <w:lang w:val="pt-BR"/>
        </w:rPr>
        <w:t>PlantVillage</w:t>
      </w:r>
      <w:bookmarkEnd w:id="1"/>
      <w:proofErr w:type="spellEnd"/>
    </w:p>
    <w:p w14:paraId="3DDA13CA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O projeto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AgroSense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Analytics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utiliza a base de dados de referência internacional </w:t>
      </w:r>
      <w:proofErr w:type="spellStart"/>
      <w:r w:rsidRPr="00E95A94">
        <w:rPr>
          <w:rFonts w:ascii="Arial" w:hAnsi="Arial"/>
          <w:i/>
          <w:color w:val="000000"/>
          <w:sz w:val="24"/>
          <w:lang w:val="pt-BR"/>
        </w:rPr>
        <w:t>PlantVillage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(Hughes &amp;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Salathé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>, 2015), que reúne 54.305 imagens digitais de folhas em alta resolução. O acervo contempla 38 classes fitopatológicas e botânicas distribuídas em 14 espécies agrícolas estratégicas para a produção de alimentos no Brasil, incluindo soja, milho, tomate, batata, maçã, uva e citros.</w:t>
      </w:r>
    </w:p>
    <w:p w14:paraId="723603E5" w14:textId="2C1A6E52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Para assegurar rastreabilidade e reprodutibilidade experimental, estruturamos os registros no arquivo metadados_plantvillage.csv, consolidando dimensões de imagem, nomes científicos e classificação sanitária (folhas sadias versus infectadas). A divisão amostral foi conduzida de maneira estratificada e determinística com semente pseudoaleatória 42, destinando 70% das imagens para treinamento (38.013 fotos), 15% para validação e ajuste fino de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hiperparâmetros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(8.146 fotos) e 15% para o conjunto de teste cego final (8.146 fotos), garantindo isolamento amostral estrito sem qualquer vazamento de dados entre partições (</w:t>
      </w:r>
      <w:r w:rsidRPr="00E95A94">
        <w:rPr>
          <w:rFonts w:ascii="Arial" w:hAnsi="Arial"/>
          <w:i/>
          <w:color w:val="000000"/>
          <w:sz w:val="24"/>
          <w:lang w:val="pt-BR"/>
        </w:rPr>
        <w:t xml:space="preserve">Zero Data </w:t>
      </w:r>
      <w:proofErr w:type="spellStart"/>
      <w:r w:rsidRPr="00E95A94">
        <w:rPr>
          <w:rFonts w:ascii="Arial" w:hAnsi="Arial"/>
          <w:i/>
          <w:color w:val="000000"/>
          <w:sz w:val="24"/>
          <w:lang w:val="pt-BR"/>
        </w:rPr>
        <w:t>Leakage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>).</w:t>
      </w:r>
    </w:p>
    <w:p w14:paraId="7597CDC3" w14:textId="77777777" w:rsidR="00E95A94" w:rsidRPr="00E95A94" w:rsidRDefault="00E95A94">
      <w:pPr>
        <w:spacing w:after="120" w:line="360" w:lineRule="auto"/>
        <w:ind w:firstLine="709"/>
        <w:jc w:val="both"/>
        <w:rPr>
          <w:lang w:val="pt-BR"/>
        </w:rPr>
      </w:pPr>
    </w:p>
    <w:p w14:paraId="1D406E64" w14:textId="77777777" w:rsidR="006A744D" w:rsidRPr="00E95A94" w:rsidRDefault="00000000" w:rsidP="00E95A94">
      <w:pPr>
        <w:pStyle w:val="Ttulo2"/>
        <w:rPr>
          <w:lang w:val="pt-BR"/>
        </w:rPr>
      </w:pPr>
      <w:bookmarkStart w:id="2" w:name="_Toc243686812"/>
      <w:r w:rsidRPr="00E95A94">
        <w:rPr>
          <w:lang w:val="pt-BR"/>
        </w:rPr>
        <w:t>1.2 Racional da Rejeição dos Modelos Tabulares e Prevenção de Vazamento de Alvo</w:t>
      </w:r>
      <w:bookmarkEnd w:id="2"/>
    </w:p>
    <w:p w14:paraId="4BD7B217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Descartamos o uso de modelos tabulares clássicos (como Random Forest,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XGBoost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ou SVM) na classificação fitopatológica por dois fatores determinantes de engenharia de dados:</w:t>
      </w:r>
    </w:p>
    <w:p w14:paraId="2CD80C4D" w14:textId="13ACAC7A" w:rsidR="006A744D" w:rsidRPr="00E95A94" w:rsidRDefault="00000000">
      <w:pPr>
        <w:spacing w:before="40" w:after="80" w:line="312" w:lineRule="auto"/>
        <w:ind w:left="709" w:hanging="340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 xml:space="preserve">1. Vazamento Direto de Rótulo (Target 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Leakage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>):</w:t>
      </w:r>
      <w:r w:rsidRPr="00E95A94">
        <w:rPr>
          <w:rFonts w:ascii="Arial" w:hAnsi="Arial"/>
          <w:color w:val="000000"/>
          <w:sz w:val="23"/>
          <w:lang w:val="pt-BR"/>
        </w:rPr>
        <w:t xml:space="preserve"> Em bases públicas como o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PlantVillage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, os metadados de arquivo e pastas trazem o diagnóstico explícito no próprio nome (ex.: 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Tomato</w:t>
      </w:r>
      <w:proofErr w:type="spellEnd"/>
      <w:r w:rsidRPr="00E95A94">
        <w:rPr>
          <w:rFonts w:ascii="Consolas" w:hAnsi="Consolas"/>
          <w:color w:val="212121"/>
          <w:sz w:val="21"/>
          <w:lang w:val="pt-BR"/>
        </w:rPr>
        <w:t>___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Early_blight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>). Ajustar modelos supervisionados sobre essas variáveis ou identificadores de arquivos geraria uma acurácia aparente de 100%, mas totalmente espúria e inútil na prática. No campo real, a câmera do agrônomo captura apenas matrizes brutas de luz e cor no sensor, sem nenhum metadado contextual ou rótulo prévio de diagnóstico.</w:t>
      </w:r>
    </w:p>
    <w:p w14:paraId="775CA7AF" w14:textId="2C3DF1C2" w:rsidR="006A744D" w:rsidRDefault="00000000" w:rsidP="00E95A94">
      <w:pPr>
        <w:spacing w:before="40" w:after="80" w:line="312" w:lineRule="auto"/>
        <w:ind w:left="709" w:hanging="340"/>
        <w:jc w:val="both"/>
        <w:rPr>
          <w:rFonts w:ascii="Arial" w:hAnsi="Arial"/>
          <w:color w:val="000000"/>
          <w:sz w:val="23"/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2. Destruição da Morfologia Espacial dos Sintomas:</w:t>
      </w:r>
      <w:r w:rsidRPr="00E95A94">
        <w:rPr>
          <w:rFonts w:ascii="Arial" w:hAnsi="Arial"/>
          <w:color w:val="000000"/>
          <w:sz w:val="23"/>
          <w:lang w:val="pt-BR"/>
        </w:rPr>
        <w:t xml:space="preserve"> O diagnóstico visual de doenças de plantas baseia-se na identificação de lesões com geometria e textura bem delimitadas — tais como os anéis concêntricos da Pinta Preta (</w:t>
      </w:r>
      <w:r w:rsidRPr="00E95A94">
        <w:rPr>
          <w:rFonts w:ascii="Arial" w:hAnsi="Arial"/>
          <w:i/>
          <w:color w:val="000000"/>
          <w:sz w:val="23"/>
          <w:lang w:val="pt-BR"/>
        </w:rPr>
        <w:t xml:space="preserve">Early </w:t>
      </w:r>
      <w:proofErr w:type="spellStart"/>
      <w:r w:rsidRPr="00E95A94">
        <w:rPr>
          <w:rFonts w:ascii="Arial" w:hAnsi="Arial"/>
          <w:i/>
          <w:color w:val="000000"/>
          <w:sz w:val="23"/>
          <w:lang w:val="pt-BR"/>
        </w:rPr>
        <w:t>Blight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>), as pústulas alaranjadas da Ferrugem Comum (</w:t>
      </w:r>
      <w:r w:rsidRPr="00E95A94">
        <w:rPr>
          <w:rFonts w:ascii="Arial" w:hAnsi="Arial"/>
          <w:i/>
          <w:color w:val="000000"/>
          <w:sz w:val="23"/>
          <w:lang w:val="pt-BR"/>
        </w:rPr>
        <w:t xml:space="preserve">Common </w:t>
      </w:r>
      <w:proofErr w:type="spellStart"/>
      <w:r w:rsidRPr="00E95A94">
        <w:rPr>
          <w:rFonts w:ascii="Arial" w:hAnsi="Arial"/>
          <w:i/>
          <w:color w:val="000000"/>
          <w:sz w:val="23"/>
          <w:lang w:val="pt-BR"/>
        </w:rPr>
        <w:t>Rust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) ou os halos </w:t>
      </w:r>
      <w:r w:rsidRPr="00E95A94">
        <w:rPr>
          <w:rFonts w:ascii="Arial" w:hAnsi="Arial"/>
          <w:color w:val="000000"/>
          <w:sz w:val="23"/>
          <w:lang w:val="pt-BR"/>
        </w:rPr>
        <w:lastRenderedPageBreak/>
        <w:t>cloróticos da Mancha Alvo (</w:t>
      </w:r>
      <w:r w:rsidRPr="00E95A94">
        <w:rPr>
          <w:rFonts w:ascii="Arial" w:hAnsi="Arial"/>
          <w:i/>
          <w:color w:val="000000"/>
          <w:sz w:val="23"/>
          <w:lang w:val="pt-BR"/>
        </w:rPr>
        <w:t>Target Spot</w:t>
      </w:r>
      <w:r w:rsidRPr="00E95A94">
        <w:rPr>
          <w:rFonts w:ascii="Arial" w:hAnsi="Arial"/>
          <w:color w:val="000000"/>
          <w:sz w:val="23"/>
          <w:lang w:val="pt-BR"/>
        </w:rPr>
        <w:t xml:space="preserve">). Ao achatar ou resumir imagens em métricas tabulares escalares (médias ou variâncias dos canais RGB), destrói-se a relação de vizinhança entre os pixels adjacentes. Folhas de culturas distintas e com estados fitossanitários opostos podem ter médias cromáticas idênticas. O sinal que viabiliza o diagnóstico reside na distribuição espacial da matriz de tensores </w:t>
      </w:r>
      <m:oMath>
        <m:r>
          <w:rPr>
            <w:rFonts w:ascii="Cambria Math" w:hAnsi="Cambria Math"/>
            <w:color w:val="000000" w:themeColor="text1"/>
            <w:sz w:val="23"/>
            <w:lang w:val="pt-BR"/>
          </w:rPr>
          <m:t xml:space="preserve">X ∈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3"/>
                <w:lang w:val="pt-BR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  <w:sz w:val="23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  <w:sz w:val="23"/>
                <w:lang w:val="pt-BR"/>
              </w:rPr>
              <m:t>(3 × 224 × 224)</m:t>
            </m:r>
          </m:sup>
        </m:sSup>
      </m:oMath>
      <w:r w:rsidRPr="00E95A94">
        <w:rPr>
          <w:rFonts w:ascii="Arial" w:hAnsi="Arial"/>
          <w:color w:val="000000"/>
          <w:sz w:val="23"/>
          <w:lang w:val="pt-BR"/>
        </w:rPr>
        <w:t>. Essa dependência espacial torna indispensável o uso de tensores tridimensionais processados por redes neurais convolucionais profundas (</w:t>
      </w:r>
      <w:proofErr w:type="spellStart"/>
      <w:r w:rsidRPr="00E95A94">
        <w:rPr>
          <w:rFonts w:ascii="Arial" w:hAnsi="Arial"/>
          <w:i/>
          <w:color w:val="000000"/>
          <w:sz w:val="23"/>
          <w:lang w:val="pt-BR"/>
        </w:rPr>
        <w:t>Deep</w:t>
      </w:r>
      <w:proofErr w:type="spellEnd"/>
      <w:r w:rsidRPr="00E95A94">
        <w:rPr>
          <w:rFonts w:ascii="Arial" w:hAnsi="Arial"/>
          <w:i/>
          <w:color w:val="000000"/>
          <w:sz w:val="23"/>
          <w:lang w:val="pt-BR"/>
        </w:rPr>
        <w:t xml:space="preserve"> Learning</w:t>
      </w:r>
      <w:r w:rsidRPr="00E95A94">
        <w:rPr>
          <w:rFonts w:ascii="Arial" w:hAnsi="Arial"/>
          <w:color w:val="000000"/>
          <w:sz w:val="23"/>
          <w:lang w:val="pt-BR"/>
        </w:rPr>
        <w:t>).</w:t>
      </w:r>
    </w:p>
    <w:p w14:paraId="43129BB4" w14:textId="77777777" w:rsidR="00E95A94" w:rsidRPr="00E95A94" w:rsidRDefault="00E95A94" w:rsidP="00E95A94">
      <w:pPr>
        <w:spacing w:before="40" w:after="80" w:line="312" w:lineRule="auto"/>
        <w:ind w:left="709" w:hanging="340"/>
        <w:jc w:val="both"/>
        <w:rPr>
          <w:rFonts w:ascii="Arial" w:hAnsi="Arial"/>
          <w:color w:val="0D47A1"/>
          <w:sz w:val="23"/>
          <w:lang w:val="pt-BR"/>
        </w:rPr>
      </w:pPr>
    </w:p>
    <w:p w14:paraId="3899C9E1" w14:textId="77777777" w:rsidR="006A744D" w:rsidRPr="00E95A94" w:rsidRDefault="00000000" w:rsidP="00E95A94">
      <w:pPr>
        <w:pStyle w:val="Ttulo2"/>
        <w:rPr>
          <w:lang w:val="pt-BR"/>
        </w:rPr>
      </w:pPr>
      <w:bookmarkStart w:id="3" w:name="_Toc243686813"/>
      <w:r w:rsidRPr="00E95A94">
        <w:rPr>
          <w:lang w:val="pt-BR"/>
        </w:rPr>
        <w:t xml:space="preserve">1.3 Arquitetura MobileNetV2 e Paradigma de </w:t>
      </w:r>
      <w:proofErr w:type="spellStart"/>
      <w:r w:rsidRPr="00E95A94">
        <w:rPr>
          <w:lang w:val="pt-BR"/>
        </w:rPr>
        <w:t>Transfer</w:t>
      </w:r>
      <w:proofErr w:type="spellEnd"/>
      <w:r w:rsidRPr="00E95A94">
        <w:rPr>
          <w:lang w:val="pt-BR"/>
        </w:rPr>
        <w:t xml:space="preserve"> Learning para Dispositivos de Borda</w:t>
      </w:r>
      <w:bookmarkEnd w:id="3"/>
    </w:p>
    <w:p w14:paraId="7EE28664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Para </w:t>
      </w:r>
      <w:r w:rsidRPr="00AF551A">
        <w:rPr>
          <w:rFonts w:ascii="Arial" w:hAnsi="Arial"/>
          <w:color w:val="000000"/>
          <w:sz w:val="24"/>
          <w:lang w:val="pt-BR"/>
        </w:rPr>
        <w:t>viabilizar diagnósticos instantâneos no campo com alta sensibilidade e baixo consumo de bateria em smartphones convencionais, adotamos a arquitetura MobileNetV2 (Sandler et al</w:t>
      </w:r>
      <w:r w:rsidRPr="00E95A94">
        <w:rPr>
          <w:rFonts w:ascii="Arial" w:hAnsi="Arial"/>
          <w:color w:val="000000"/>
          <w:sz w:val="24"/>
          <w:lang w:val="pt-BR"/>
        </w:rPr>
        <w:t xml:space="preserve">., 2018),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pré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-treinada no acervo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ImageNet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1K e adaptada via </w:t>
      </w:r>
      <w:proofErr w:type="spellStart"/>
      <w:r w:rsidRPr="00E95A94">
        <w:rPr>
          <w:rFonts w:ascii="Arial" w:hAnsi="Arial"/>
          <w:i/>
          <w:color w:val="000000"/>
          <w:sz w:val="24"/>
          <w:lang w:val="pt-BR"/>
        </w:rPr>
        <w:t>Transfer</w:t>
      </w:r>
      <w:proofErr w:type="spellEnd"/>
      <w:r w:rsidRPr="00E95A94">
        <w:rPr>
          <w:rFonts w:ascii="Arial" w:hAnsi="Arial"/>
          <w:i/>
          <w:color w:val="000000"/>
          <w:sz w:val="24"/>
          <w:lang w:val="pt-BR"/>
        </w:rPr>
        <w:t xml:space="preserve"> Learning</w:t>
      </w:r>
      <w:r w:rsidRPr="00E95A94">
        <w:rPr>
          <w:rFonts w:ascii="Arial" w:hAnsi="Arial"/>
          <w:color w:val="000000"/>
          <w:sz w:val="24"/>
          <w:lang w:val="pt-BR"/>
        </w:rPr>
        <w:t>.</w:t>
      </w:r>
    </w:p>
    <w:p w14:paraId="534A995F" w14:textId="697DCEBF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Enquanto modelos convolucionais densos (como ResNet-50 com ~25,6 milhões de parâmetros ou </w:t>
      </w:r>
      <w:r w:rsidRPr="00AF551A">
        <w:rPr>
          <w:rFonts w:ascii="Arial" w:hAnsi="Arial"/>
          <w:color w:val="000000"/>
          <w:sz w:val="24"/>
          <w:lang w:val="pt-BR"/>
        </w:rPr>
        <w:t>VGG-16 com ~138 milhões de parâmetros) demandam GPUs dedicadas e geram alto aquecimento e consumo elétrico, a MobileNetV2 opera com apenas ~3,5 milhões de parâmetros. Essa estrutura resulta em um arquivo de pesos compactado de 26,38 MB e garante tempo de inferência inferior a 50 milissegundos no próprio processador do celular (</w:t>
      </w:r>
      <w:r w:rsidRPr="00E95A94">
        <w:rPr>
          <w:rFonts w:ascii="Arial" w:hAnsi="Arial"/>
          <w:i/>
          <w:color w:val="000000"/>
          <w:sz w:val="24"/>
          <w:lang w:val="pt-BR"/>
        </w:rPr>
        <w:t>Edge AI</w:t>
      </w:r>
      <w:r w:rsidRPr="00E95A94">
        <w:rPr>
          <w:rFonts w:ascii="Arial" w:hAnsi="Arial"/>
          <w:color w:val="000000"/>
          <w:sz w:val="24"/>
          <w:lang w:val="pt-BR"/>
        </w:rPr>
        <w:t>), viabilizando vistorias contínuas mesmo em aparelhos intermediários dos produtores.</w:t>
      </w:r>
    </w:p>
    <w:p w14:paraId="515ACD18" w14:textId="77777777" w:rsidR="003F4F64" w:rsidRPr="00E95A94" w:rsidRDefault="003F4F64">
      <w:pPr>
        <w:spacing w:after="120" w:line="360" w:lineRule="auto"/>
        <w:ind w:firstLine="709"/>
        <w:jc w:val="both"/>
        <w:rPr>
          <w:lang w:val="pt-BR"/>
        </w:rPr>
      </w:pPr>
    </w:p>
    <w:p w14:paraId="6FEAB2D7" w14:textId="40FA62E9" w:rsidR="006A744D" w:rsidRPr="00E95A94" w:rsidRDefault="00000000" w:rsidP="003F4F64">
      <w:pPr>
        <w:pStyle w:val="Ttulo2"/>
        <w:rPr>
          <w:lang w:val="pt-BR"/>
        </w:rPr>
      </w:pPr>
      <w:bookmarkStart w:id="4" w:name="_Toc243686814"/>
      <w:r w:rsidRPr="00E95A94">
        <w:rPr>
          <w:lang w:val="pt-BR"/>
        </w:rPr>
        <w:t>1.4 Convoluções Separáveis em Profundidade e Blocos Invertidos</w:t>
      </w:r>
      <w:bookmarkEnd w:id="4"/>
    </w:p>
    <w:p w14:paraId="19DBE070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A eficiência computacional da MobileNetV2 fundamenta-se em três soluções arquiteturais principais:</w:t>
      </w:r>
    </w:p>
    <w:p w14:paraId="233DE5C2" w14:textId="003F43FF" w:rsidR="006A744D" w:rsidRPr="00E95A94" w:rsidRDefault="00000000">
      <w:pPr>
        <w:spacing w:before="40" w:after="80" w:line="312" w:lineRule="auto"/>
        <w:ind w:left="709" w:hanging="340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1. Convoluções Separáveis em Profundidade (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Depthwise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 xml:space="preserve"> 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Separable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 xml:space="preserve"> 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Convolutions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>):</w:t>
      </w:r>
      <w:r w:rsidRPr="00E95A94">
        <w:rPr>
          <w:rFonts w:ascii="Arial" w:hAnsi="Arial"/>
          <w:color w:val="000000"/>
          <w:sz w:val="23"/>
          <w:lang w:val="pt-BR"/>
        </w:rPr>
        <w:t xml:space="preserve"> A operação convolucional padrão é dividida em duas etapas sucessivas:</w:t>
      </w:r>
    </w:p>
    <w:p w14:paraId="18A3F861" w14:textId="61F792D5" w:rsidR="006A744D" w:rsidRPr="003F4F64" w:rsidRDefault="00000000" w:rsidP="003F4F64">
      <w:pPr>
        <w:pStyle w:val="Commarcadores"/>
        <w:tabs>
          <w:tab w:val="clear" w:pos="360"/>
          <w:tab w:val="num" w:pos="643"/>
        </w:tabs>
        <w:spacing w:before="40" w:after="80" w:line="312" w:lineRule="auto"/>
        <w:ind w:left="992" w:hanging="283"/>
        <w:jc w:val="both"/>
        <w:rPr>
          <w:color w:val="000000" w:themeColor="text1"/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Uma convolução por profundidade (</w:t>
      </w:r>
      <w:proofErr w:type="spellStart"/>
      <w:r w:rsidRPr="00E95A94">
        <w:rPr>
          <w:rFonts w:ascii="Arial" w:hAnsi="Arial"/>
          <w:i/>
          <w:color w:val="000000"/>
          <w:sz w:val="23"/>
          <w:lang w:val="pt-BR"/>
        </w:rPr>
        <w:t>depthwise</w:t>
      </w:r>
      <w:proofErr w:type="spellEnd"/>
      <w:r w:rsidRPr="003F4F64">
        <w:rPr>
          <w:rFonts w:ascii="Arial" w:hAnsi="Arial"/>
          <w:color w:val="000000" w:themeColor="text1"/>
          <w:sz w:val="23"/>
          <w:lang w:val="pt-BR"/>
        </w:rPr>
        <w:t xml:space="preserve">), que aplica um filtro espacial </w:t>
      </w:r>
      <m:oMath>
        <m:r>
          <w:rPr>
            <w:rFonts w:ascii="Cambria Math" w:hAnsi="Cambria Math"/>
            <w:color w:val="000000" w:themeColor="text1"/>
            <w:sz w:val="23"/>
            <w:lang w:val="pt-BR"/>
          </w:rPr>
          <m:t>K × K</m:t>
        </m:r>
      </m:oMath>
      <w:r w:rsidRPr="003F4F64">
        <w:rPr>
          <w:rFonts w:ascii="Arial" w:hAnsi="Arial"/>
          <w:color w:val="000000" w:themeColor="text1"/>
          <w:sz w:val="23"/>
          <w:lang w:val="pt-BR"/>
        </w:rPr>
        <w:t xml:space="preserve"> individual para cada canal de entrada;</w:t>
      </w:r>
    </w:p>
    <w:p w14:paraId="657C5DDA" w14:textId="4462CABD" w:rsidR="006A744D" w:rsidRPr="00E95A94" w:rsidRDefault="00000000" w:rsidP="003F4F64">
      <w:pPr>
        <w:pStyle w:val="Commarcadores"/>
        <w:tabs>
          <w:tab w:val="clear" w:pos="360"/>
          <w:tab w:val="num" w:pos="643"/>
        </w:tabs>
        <w:spacing w:before="40" w:after="80" w:line="312" w:lineRule="auto"/>
        <w:ind w:left="992" w:hanging="283"/>
        <w:jc w:val="both"/>
        <w:rPr>
          <w:lang w:val="pt-BR"/>
        </w:rPr>
      </w:pPr>
      <w:r w:rsidRPr="003F4F64">
        <w:rPr>
          <w:rFonts w:ascii="Arial" w:hAnsi="Arial"/>
          <w:color w:val="000000" w:themeColor="text1"/>
          <w:sz w:val="23"/>
          <w:lang w:val="pt-BR"/>
        </w:rPr>
        <w:t>Uma convolução linear pontual (</w:t>
      </w:r>
      <w:proofErr w:type="spellStart"/>
      <w:r w:rsidRPr="003F4F64">
        <w:rPr>
          <w:rFonts w:ascii="Arial" w:hAnsi="Arial"/>
          <w:i/>
          <w:color w:val="000000" w:themeColor="text1"/>
          <w:sz w:val="23"/>
          <w:lang w:val="pt-BR"/>
        </w:rPr>
        <w:t>pointwise</w:t>
      </w:r>
      <w:proofErr w:type="spellEnd"/>
      <w:r w:rsidRPr="003F4F64">
        <w:rPr>
          <w:rFonts w:ascii="Arial" w:hAnsi="Arial"/>
          <w:color w:val="000000" w:themeColor="text1"/>
          <w:sz w:val="23"/>
          <w:lang w:val="pt-BR"/>
        </w:rPr>
        <w:t xml:space="preserve">), com núcleo </w:t>
      </w:r>
      <m:oMath>
        <m:r>
          <w:rPr>
            <w:rFonts w:ascii="Cambria Math" w:hAnsi="Cambria Math"/>
            <w:color w:val="000000" w:themeColor="text1"/>
            <w:sz w:val="23"/>
            <w:lang w:val="pt-BR"/>
          </w:rPr>
          <m:t>1 × 1</m:t>
        </m:r>
      </m:oMath>
      <w:r w:rsidRPr="003F4F64">
        <w:rPr>
          <w:rFonts w:ascii="Arial" w:hAnsi="Arial"/>
          <w:color w:val="000000" w:themeColor="text1"/>
          <w:sz w:val="23"/>
          <w:lang w:val="pt-BR"/>
        </w:rPr>
        <w:t>, respon</w:t>
      </w:r>
      <w:r w:rsidRPr="00E95A94">
        <w:rPr>
          <w:rFonts w:ascii="Arial" w:hAnsi="Arial"/>
          <w:color w:val="000000"/>
          <w:sz w:val="23"/>
          <w:lang w:val="pt-BR"/>
        </w:rPr>
        <w:t>sável por combinar linearmente os canais resultantes.</w:t>
      </w:r>
    </w:p>
    <w:p w14:paraId="6F29725F" w14:textId="24ACA0F5" w:rsidR="006A744D" w:rsidRPr="003F4F64" w:rsidRDefault="00000000">
      <w:pPr>
        <w:spacing w:after="120" w:line="360" w:lineRule="auto"/>
        <w:ind w:firstLine="709"/>
        <w:jc w:val="both"/>
        <w:rPr>
          <w:color w:val="000000" w:themeColor="text1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lastRenderedPageBreak/>
        <w:t xml:space="preserve">Com </w:t>
      </w:r>
      <w:r w:rsidRPr="003F4F64">
        <w:rPr>
          <w:rFonts w:ascii="Arial" w:hAnsi="Arial"/>
          <w:color w:val="000000" w:themeColor="text1"/>
          <w:sz w:val="24"/>
          <w:lang w:val="pt-BR"/>
        </w:rPr>
        <w:t xml:space="preserve">filtros espaciais </w:t>
      </w:r>
      <m:oMath>
        <m:r>
          <w:rPr>
            <w:rFonts w:ascii="Cambria Math" w:hAnsi="Cambria Math"/>
            <w:color w:val="000000" w:themeColor="text1"/>
            <w:sz w:val="24"/>
            <w:lang w:val="pt-BR"/>
          </w:rPr>
          <m:t xml:space="preserve">3 × 3 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lang w:val="pt-BR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lang w:val="pt-BR"/>
              </w:rPr>
              <m:t>K = 3</m:t>
            </m:r>
          </m:e>
        </m:d>
      </m:oMath>
      <w:r w:rsidRPr="003F4F64">
        <w:rPr>
          <w:rFonts w:ascii="Arial" w:hAnsi="Arial"/>
          <w:color w:val="000000" w:themeColor="text1"/>
          <w:sz w:val="24"/>
          <w:lang w:val="pt-BR"/>
        </w:rPr>
        <w:t xml:space="preserve"> e grande número de canais de saída (</w:t>
      </w:r>
      <m:oMath>
        <m:r>
          <w:rPr>
            <w:rFonts w:ascii="Cambria Math" w:hAnsi="Cambria Math"/>
            <w:color w:val="000000" w:themeColor="text1"/>
            <w:sz w:val="24"/>
            <w:lang w:val="pt-BR"/>
          </w:rPr>
          <m:t>N &gt;&gt; 9</m:t>
        </m:r>
      </m:oMath>
      <w:r w:rsidRPr="003F4F64">
        <w:rPr>
          <w:rFonts w:ascii="Arial" w:hAnsi="Arial"/>
          <w:color w:val="000000" w:themeColor="text1"/>
          <w:sz w:val="24"/>
          <w:lang w:val="pt-BR"/>
        </w:rPr>
        <w:t>), essa fatoração reduz a quantidade de operações em ponto flutuante (FLOPs) na proporção de:</w:t>
      </w:r>
    </w:p>
    <w:p w14:paraId="2415A238" w14:textId="72F119CB" w:rsidR="006A744D" w:rsidRPr="003F4F64" w:rsidRDefault="003F4F64">
      <w:pPr>
        <w:spacing w:before="120" w:after="120" w:line="288" w:lineRule="auto"/>
        <w:jc w:val="center"/>
        <w:rPr>
          <w:b/>
          <w:color w:val="000000" w:themeColor="text1"/>
          <w:sz w:val="23"/>
          <w:lang w:val="pt-BR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3"/>
              <w:lang w:val="pt-BR"/>
            </w:rPr>
            <m:t>+</m:t>
          </m:r>
          <m:f>
            <m:f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3"/>
                      <w:lang w:val="pt-B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3"/>
                      <w:lang w:val="pt-BR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3"/>
                      <w:lang w:val="pt-BR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3"/>
              <w:lang w:val="pt-BR"/>
            </w:rPr>
            <m:t>≈</m:t>
          </m:r>
          <m:f>
            <m:f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9</m:t>
              </m:r>
            </m:den>
          </m:f>
        </m:oMath>
      </m:oMathPara>
    </w:p>
    <w:p w14:paraId="11B6F8A4" w14:textId="77777777" w:rsidR="003F4F64" w:rsidRPr="003F4F64" w:rsidRDefault="003F4F64">
      <w:pPr>
        <w:spacing w:before="120" w:after="120" w:line="288" w:lineRule="auto"/>
        <w:jc w:val="center"/>
        <w:rPr>
          <w:color w:val="000000" w:themeColor="text1"/>
          <w:lang w:val="pt-BR"/>
        </w:rPr>
      </w:pPr>
    </w:p>
    <w:p w14:paraId="6CFD13FC" w14:textId="77777777" w:rsidR="006A744D" w:rsidRPr="003F4F64" w:rsidRDefault="00000000">
      <w:pPr>
        <w:spacing w:after="120" w:line="360" w:lineRule="auto"/>
        <w:ind w:firstLine="709"/>
        <w:jc w:val="both"/>
        <w:rPr>
          <w:color w:val="000000" w:themeColor="text1"/>
          <w:lang w:val="pt-BR"/>
        </w:rPr>
      </w:pPr>
      <w:r w:rsidRPr="003F4F64">
        <w:rPr>
          <w:rFonts w:ascii="Arial" w:hAnsi="Arial"/>
          <w:color w:val="000000" w:themeColor="text1"/>
          <w:sz w:val="24"/>
          <w:lang w:val="pt-BR"/>
        </w:rPr>
        <w:t>Isso representa uma economia de cerca de 88% no custo computacional em relação à convolução padrão, preservando a capacidade discriminativa dos filtros.</w:t>
      </w:r>
    </w:p>
    <w:p w14:paraId="43F49BFD" w14:textId="684D56BC" w:rsidR="006A744D" w:rsidRPr="003F4F64" w:rsidRDefault="00000000">
      <w:pPr>
        <w:spacing w:before="40" w:after="80" w:line="312" w:lineRule="auto"/>
        <w:ind w:left="709" w:hanging="340"/>
        <w:jc w:val="both"/>
        <w:rPr>
          <w:color w:val="000000" w:themeColor="text1"/>
          <w:lang w:val="pt-BR"/>
        </w:rPr>
      </w:pPr>
      <w:r w:rsidRPr="003F4F64">
        <w:rPr>
          <w:rFonts w:ascii="Arial" w:hAnsi="Arial"/>
          <w:b/>
          <w:color w:val="000000" w:themeColor="text1"/>
          <w:sz w:val="23"/>
          <w:lang w:val="pt-BR"/>
        </w:rPr>
        <w:t>2. Blocos Residuais Invertidos (</w:t>
      </w:r>
      <w:proofErr w:type="spellStart"/>
      <w:r w:rsidRPr="003F4F64">
        <w:rPr>
          <w:rFonts w:ascii="Arial" w:hAnsi="Arial"/>
          <w:b/>
          <w:color w:val="000000" w:themeColor="text1"/>
          <w:sz w:val="23"/>
          <w:lang w:val="pt-BR"/>
        </w:rPr>
        <w:t>Inverted</w:t>
      </w:r>
      <w:proofErr w:type="spellEnd"/>
      <w:r w:rsidRPr="003F4F64">
        <w:rPr>
          <w:rFonts w:ascii="Arial" w:hAnsi="Arial"/>
          <w:b/>
          <w:color w:val="000000" w:themeColor="text1"/>
          <w:sz w:val="23"/>
          <w:lang w:val="pt-BR"/>
        </w:rPr>
        <w:t xml:space="preserve"> Residual </w:t>
      </w:r>
      <w:proofErr w:type="spellStart"/>
      <w:r w:rsidRPr="003F4F64">
        <w:rPr>
          <w:rFonts w:ascii="Arial" w:hAnsi="Arial"/>
          <w:b/>
          <w:color w:val="000000" w:themeColor="text1"/>
          <w:sz w:val="23"/>
          <w:lang w:val="pt-BR"/>
        </w:rPr>
        <w:t>Blocks</w:t>
      </w:r>
      <w:proofErr w:type="spellEnd"/>
      <w:r w:rsidRPr="003F4F64">
        <w:rPr>
          <w:rFonts w:ascii="Arial" w:hAnsi="Arial"/>
          <w:b/>
          <w:color w:val="000000" w:themeColor="text1"/>
          <w:sz w:val="23"/>
          <w:lang w:val="pt-BR"/>
        </w:rPr>
        <w:t>):</w:t>
      </w:r>
      <w:r w:rsidRPr="003F4F64">
        <w:rPr>
          <w:rFonts w:ascii="Arial" w:hAnsi="Arial"/>
          <w:color w:val="000000" w:themeColor="text1"/>
          <w:sz w:val="23"/>
          <w:lang w:val="pt-BR"/>
        </w:rPr>
        <w:t xml:space="preserve"> Ao contrário dos blocos residuais convencionais que comprimem os canais no estágio intermediário, a MobileNetV2 expande a representação compacta de entrada para um espaço temporário de maior dimensionalidade (fator de expansão </w:t>
      </w:r>
      <m:oMath>
        <m:r>
          <w:rPr>
            <w:rFonts w:ascii="Cambria Math" w:hAnsi="Cambria Math"/>
            <w:color w:val="000000" w:themeColor="text1"/>
            <w:sz w:val="23"/>
            <w:lang w:val="pt-BR"/>
          </w:rPr>
          <m:t>t=6</m:t>
        </m:r>
      </m:oMath>
      <w:r w:rsidRPr="003F4F64">
        <w:rPr>
          <w:rFonts w:ascii="Arial" w:hAnsi="Arial"/>
          <w:color w:val="000000" w:themeColor="text1"/>
          <w:sz w:val="23"/>
          <w:lang w:val="pt-BR"/>
        </w:rPr>
        <w:t>), executa a filtragem espacial convolucional e projeta o resultado de volta para o formato reduzido.</w:t>
      </w:r>
    </w:p>
    <w:p w14:paraId="1A11130D" w14:textId="39C5A559" w:rsidR="006A744D" w:rsidRDefault="00000000">
      <w:pPr>
        <w:spacing w:before="40" w:after="80" w:line="312" w:lineRule="auto"/>
        <w:ind w:left="709" w:hanging="340"/>
        <w:jc w:val="both"/>
        <w:rPr>
          <w:rFonts w:ascii="Arial" w:hAnsi="Arial"/>
          <w:color w:val="000000" w:themeColor="text1"/>
          <w:sz w:val="23"/>
          <w:lang w:val="pt-BR"/>
        </w:rPr>
      </w:pPr>
      <w:r w:rsidRPr="003F4F64">
        <w:rPr>
          <w:rFonts w:ascii="Arial" w:hAnsi="Arial"/>
          <w:b/>
          <w:color w:val="000000" w:themeColor="text1"/>
          <w:sz w:val="23"/>
          <w:lang w:val="pt-BR"/>
        </w:rPr>
        <w:t xml:space="preserve">3. Gargalos Lineares (Linear </w:t>
      </w:r>
      <w:proofErr w:type="spellStart"/>
      <w:r w:rsidRPr="003F4F64">
        <w:rPr>
          <w:rFonts w:ascii="Arial" w:hAnsi="Arial"/>
          <w:b/>
          <w:color w:val="000000" w:themeColor="text1"/>
          <w:sz w:val="23"/>
          <w:lang w:val="pt-BR"/>
        </w:rPr>
        <w:t>Bottlenecks</w:t>
      </w:r>
      <w:proofErr w:type="spellEnd"/>
      <w:r w:rsidRPr="003F4F64">
        <w:rPr>
          <w:rFonts w:ascii="Arial" w:hAnsi="Arial"/>
          <w:b/>
          <w:color w:val="000000" w:themeColor="text1"/>
          <w:sz w:val="23"/>
          <w:lang w:val="pt-BR"/>
        </w:rPr>
        <w:t>):</w:t>
      </w:r>
      <w:r w:rsidRPr="003F4F64">
        <w:rPr>
          <w:rFonts w:ascii="Arial" w:hAnsi="Arial"/>
          <w:color w:val="000000" w:themeColor="text1"/>
          <w:sz w:val="23"/>
          <w:lang w:val="pt-BR"/>
        </w:rPr>
        <w:t xml:space="preserve"> O emprego de funções de ativação não lineares (como </w:t>
      </w:r>
      <w:proofErr w:type="spellStart"/>
      <w:r w:rsidRPr="003F4F64">
        <w:rPr>
          <w:rFonts w:ascii="Arial" w:hAnsi="Arial"/>
          <w:color w:val="000000" w:themeColor="text1"/>
          <w:sz w:val="23"/>
          <w:lang w:val="pt-BR"/>
        </w:rPr>
        <w:t>ReLU</w:t>
      </w:r>
      <w:proofErr w:type="spellEnd"/>
      <w:r w:rsidRPr="003F4F64">
        <w:rPr>
          <w:rFonts w:ascii="Arial" w:hAnsi="Arial"/>
          <w:color w:val="000000" w:themeColor="text1"/>
          <w:sz w:val="23"/>
          <w:lang w:val="pt-BR"/>
        </w:rPr>
        <w:t>) em camadas de baixa dimensão pode destruir informações morfológicas relevantes. Por isso, as camadas estreitas de saída dos blocos utilizam projeções lineares, mantendo as sutilezas visuais necessárias para diferenciar necroses foliares.</w:t>
      </w:r>
    </w:p>
    <w:p w14:paraId="4B8CD719" w14:textId="77777777" w:rsidR="003F4F64" w:rsidRPr="003F4F64" w:rsidRDefault="003F4F64">
      <w:pPr>
        <w:spacing w:before="40" w:after="80" w:line="312" w:lineRule="auto"/>
        <w:ind w:left="709" w:hanging="340"/>
        <w:jc w:val="both"/>
        <w:rPr>
          <w:color w:val="000000" w:themeColor="text1"/>
          <w:lang w:val="pt-BR"/>
        </w:rPr>
      </w:pPr>
    </w:p>
    <w:p w14:paraId="1C14A0E8" w14:textId="77777777" w:rsidR="006A744D" w:rsidRPr="003F4F64" w:rsidRDefault="00000000" w:rsidP="003F4F64">
      <w:pPr>
        <w:pStyle w:val="Ttulo2"/>
        <w:rPr>
          <w:lang w:val="pt-BR"/>
        </w:rPr>
      </w:pPr>
      <w:bookmarkStart w:id="5" w:name="_Toc243686815"/>
      <w:r w:rsidRPr="003F4F64">
        <w:rPr>
          <w:lang w:val="pt-BR"/>
        </w:rPr>
        <w:t>1.5 Mitigação do Desbalanceamento Severo via Função de Perda Ponderada</w:t>
      </w:r>
      <w:bookmarkEnd w:id="5"/>
    </w:p>
    <w:p w14:paraId="5E6DAD2F" w14:textId="39ECD8B1" w:rsidR="006A744D" w:rsidRPr="003F4F64" w:rsidRDefault="00000000">
      <w:pPr>
        <w:spacing w:after="120" w:line="360" w:lineRule="auto"/>
        <w:ind w:firstLine="709"/>
        <w:jc w:val="both"/>
        <w:rPr>
          <w:color w:val="000000" w:themeColor="text1"/>
          <w:lang w:val="pt-BR"/>
        </w:rPr>
      </w:pPr>
      <w:r w:rsidRPr="003F4F64">
        <w:rPr>
          <w:rFonts w:ascii="Arial" w:hAnsi="Arial"/>
          <w:color w:val="000000" w:themeColor="text1"/>
          <w:sz w:val="24"/>
          <w:lang w:val="pt-BR"/>
        </w:rPr>
        <w:t xml:space="preserve">O conjunto de imagens apresenta um desbalanceamento amostral expressivo de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lang w:val="pt-BR"/>
          </w:rPr>
          <m:t>36,2 : 1</m:t>
        </m:r>
      </m:oMath>
      <w:r w:rsidRPr="003F4F64">
        <w:rPr>
          <w:rFonts w:ascii="Arial" w:hAnsi="Arial"/>
          <w:color w:val="000000" w:themeColor="text1"/>
          <w:sz w:val="24"/>
          <w:lang w:val="pt-BR"/>
        </w:rPr>
        <w:t>, estendendo-se de 5.507 fotografias na classe mais frequente (</w:t>
      </w:r>
      <w:r w:rsidRPr="003F4F64">
        <w:rPr>
          <w:rFonts w:ascii="Consolas" w:hAnsi="Consolas"/>
          <w:color w:val="000000" w:themeColor="text1"/>
          <w:lang w:val="pt-BR"/>
        </w:rPr>
        <w:t>Orange___</w:t>
      </w:r>
      <w:proofErr w:type="spellStart"/>
      <w:r w:rsidRPr="003F4F64">
        <w:rPr>
          <w:rFonts w:ascii="Consolas" w:hAnsi="Consolas"/>
          <w:color w:val="000000" w:themeColor="text1"/>
          <w:lang w:val="pt-BR"/>
        </w:rPr>
        <w:t>Haunglongbing</w:t>
      </w:r>
      <w:proofErr w:type="spellEnd"/>
      <w:r w:rsidRPr="003F4F64">
        <w:rPr>
          <w:rFonts w:ascii="Consolas" w:hAnsi="Consolas"/>
          <w:color w:val="000000" w:themeColor="text1"/>
          <w:lang w:val="pt-BR"/>
        </w:rPr>
        <w:t>_(</w:t>
      </w:r>
      <w:proofErr w:type="spellStart"/>
      <w:r w:rsidRPr="003F4F64">
        <w:rPr>
          <w:rFonts w:ascii="Consolas" w:hAnsi="Consolas"/>
          <w:color w:val="000000" w:themeColor="text1"/>
          <w:lang w:val="pt-BR"/>
        </w:rPr>
        <w:t>Citrus_greening</w:t>
      </w:r>
      <w:proofErr w:type="spellEnd"/>
      <w:r w:rsidRPr="003F4F64">
        <w:rPr>
          <w:rFonts w:ascii="Consolas" w:hAnsi="Consolas"/>
          <w:color w:val="000000" w:themeColor="text1"/>
          <w:lang w:val="pt-BR"/>
        </w:rPr>
        <w:t>)</w:t>
      </w:r>
      <w:r w:rsidRPr="003F4F64">
        <w:rPr>
          <w:rFonts w:ascii="Arial" w:hAnsi="Arial"/>
          <w:color w:val="000000" w:themeColor="text1"/>
          <w:sz w:val="24"/>
          <w:lang w:val="pt-BR"/>
        </w:rPr>
        <w:t>) a somente 152 fotografias na classe menos representada (</w:t>
      </w:r>
      <w:proofErr w:type="spellStart"/>
      <w:r w:rsidRPr="003F4F64">
        <w:rPr>
          <w:rFonts w:ascii="Consolas" w:hAnsi="Consolas"/>
          <w:color w:val="000000" w:themeColor="text1"/>
          <w:lang w:val="pt-BR"/>
        </w:rPr>
        <w:t>Potato</w:t>
      </w:r>
      <w:proofErr w:type="spellEnd"/>
      <w:r w:rsidRPr="003F4F64">
        <w:rPr>
          <w:rFonts w:ascii="Consolas" w:hAnsi="Consolas"/>
          <w:color w:val="000000" w:themeColor="text1"/>
          <w:lang w:val="pt-BR"/>
        </w:rPr>
        <w:t>___</w:t>
      </w:r>
      <w:proofErr w:type="spellStart"/>
      <w:r w:rsidRPr="003F4F64">
        <w:rPr>
          <w:rFonts w:ascii="Consolas" w:hAnsi="Consolas"/>
          <w:color w:val="000000" w:themeColor="text1"/>
          <w:lang w:val="pt-BR"/>
        </w:rPr>
        <w:t>healthy</w:t>
      </w:r>
      <w:proofErr w:type="spellEnd"/>
      <w:r w:rsidRPr="003F4F64">
        <w:rPr>
          <w:rFonts w:ascii="Arial" w:hAnsi="Arial"/>
          <w:color w:val="000000" w:themeColor="text1"/>
          <w:sz w:val="24"/>
          <w:lang w:val="pt-BR"/>
        </w:rPr>
        <w:t>).</w:t>
      </w:r>
    </w:p>
    <w:p w14:paraId="3099DA2A" w14:textId="77777777" w:rsidR="006A744D" w:rsidRPr="003F4F64" w:rsidRDefault="00000000">
      <w:pPr>
        <w:spacing w:after="120" w:line="360" w:lineRule="auto"/>
        <w:ind w:firstLine="709"/>
        <w:jc w:val="both"/>
        <w:rPr>
          <w:color w:val="000000" w:themeColor="text1"/>
          <w:lang w:val="pt-BR"/>
        </w:rPr>
      </w:pPr>
      <w:r w:rsidRPr="003F4F64">
        <w:rPr>
          <w:rFonts w:ascii="Arial" w:hAnsi="Arial"/>
          <w:color w:val="000000" w:themeColor="text1"/>
          <w:sz w:val="24"/>
          <w:lang w:val="pt-BR"/>
        </w:rPr>
        <w:t xml:space="preserve">Em cenários desbalanceados, redes convolucionais ajustadas com funções de perda não ponderadas tendem a priorizar as classes majoritárias, gerando taxas inaceitáveis de falsos negativos nas patologias raras (He &amp; Garcia, 2009). Para contornar essa assimetria sem recorrer a técnicas de </w:t>
      </w:r>
      <w:proofErr w:type="spellStart"/>
      <w:r w:rsidRPr="003F4F64">
        <w:rPr>
          <w:rFonts w:ascii="Arial" w:hAnsi="Arial"/>
          <w:color w:val="000000" w:themeColor="text1"/>
          <w:sz w:val="24"/>
          <w:lang w:val="pt-BR"/>
        </w:rPr>
        <w:t>sobreamostragem</w:t>
      </w:r>
      <w:proofErr w:type="spellEnd"/>
      <w:r w:rsidRPr="003F4F64">
        <w:rPr>
          <w:rFonts w:ascii="Arial" w:hAnsi="Arial"/>
          <w:color w:val="000000" w:themeColor="text1"/>
          <w:sz w:val="24"/>
          <w:lang w:val="pt-BR"/>
        </w:rPr>
        <w:t xml:space="preserve"> artificial que poderiam introduzir redundâncias e induzir </w:t>
      </w:r>
      <w:proofErr w:type="spellStart"/>
      <w:r w:rsidRPr="003F4F64">
        <w:rPr>
          <w:rFonts w:ascii="Arial" w:hAnsi="Arial"/>
          <w:color w:val="000000" w:themeColor="text1"/>
          <w:sz w:val="24"/>
          <w:lang w:val="pt-BR"/>
        </w:rPr>
        <w:t>sobreajuste</w:t>
      </w:r>
      <w:proofErr w:type="spellEnd"/>
      <w:r w:rsidRPr="003F4F64">
        <w:rPr>
          <w:rFonts w:ascii="Arial" w:hAnsi="Arial"/>
          <w:color w:val="000000" w:themeColor="text1"/>
          <w:sz w:val="24"/>
          <w:lang w:val="pt-BR"/>
        </w:rPr>
        <w:t xml:space="preserve"> (</w:t>
      </w:r>
      <w:proofErr w:type="spellStart"/>
      <w:r w:rsidRPr="003F4F64">
        <w:rPr>
          <w:rFonts w:ascii="Arial" w:hAnsi="Arial"/>
          <w:i/>
          <w:color w:val="000000" w:themeColor="text1"/>
          <w:sz w:val="24"/>
          <w:lang w:val="pt-BR"/>
        </w:rPr>
        <w:t>overfitting</w:t>
      </w:r>
      <w:proofErr w:type="spellEnd"/>
      <w:r w:rsidRPr="003F4F64">
        <w:rPr>
          <w:rFonts w:ascii="Arial" w:hAnsi="Arial"/>
          <w:color w:val="000000" w:themeColor="text1"/>
          <w:sz w:val="24"/>
          <w:lang w:val="pt-BR"/>
        </w:rPr>
        <w:t xml:space="preserve">), configuramos a </w:t>
      </w:r>
      <w:proofErr w:type="spellStart"/>
      <w:r w:rsidRPr="003F4F64">
        <w:rPr>
          <w:rFonts w:ascii="Arial" w:hAnsi="Arial"/>
          <w:b/>
          <w:color w:val="000000" w:themeColor="text1"/>
          <w:sz w:val="24"/>
          <w:lang w:val="pt-BR"/>
        </w:rPr>
        <w:t>CrossEntropyLoss</w:t>
      </w:r>
      <w:proofErr w:type="spellEnd"/>
      <w:r w:rsidRPr="003F4F64">
        <w:rPr>
          <w:rFonts w:ascii="Arial" w:hAnsi="Arial"/>
          <w:b/>
          <w:color w:val="000000" w:themeColor="text1"/>
          <w:sz w:val="24"/>
          <w:lang w:val="pt-BR"/>
        </w:rPr>
        <w:t xml:space="preserve"> com Ponderação Inversa de Classes</w:t>
      </w:r>
      <w:r w:rsidRPr="003F4F64">
        <w:rPr>
          <w:rFonts w:ascii="Arial" w:hAnsi="Arial"/>
          <w:color w:val="000000" w:themeColor="text1"/>
          <w:sz w:val="24"/>
          <w:lang w:val="pt-BR"/>
        </w:rPr>
        <w:t>:</w:t>
      </w:r>
    </w:p>
    <w:p w14:paraId="19533AED" w14:textId="1A6E01A0" w:rsidR="006A744D" w:rsidRPr="003F4F64" w:rsidRDefault="003F4F64">
      <w:pPr>
        <w:spacing w:before="120" w:after="120" w:line="288" w:lineRule="auto"/>
        <w:jc w:val="center"/>
        <w:rPr>
          <w:b/>
          <w:color w:val="000000" w:themeColor="text1"/>
          <w:sz w:val="23"/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3"/>
              <w:lang w:val="pt-BR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3"/>
                      <w:lang w:val="pt-B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3"/>
                      <w:lang w:val="pt-BR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3"/>
                      <w:lang w:val="pt-BR"/>
                    </w:rPr>
                    <m:t>treino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 xml:space="preserve">C ·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3"/>
                      <w:lang w:val="pt-B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3"/>
                      <w:lang w:val="pt-BR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3"/>
                      <w:lang w:val="pt-BR"/>
                    </w:rPr>
                    <m:t>c</m:t>
                  </m:r>
                </m:sub>
              </m:sSub>
            </m:den>
          </m:f>
        </m:oMath>
      </m:oMathPara>
    </w:p>
    <w:p w14:paraId="049303A7" w14:textId="77777777" w:rsidR="003F4F64" w:rsidRPr="003F4F64" w:rsidRDefault="003F4F64">
      <w:pPr>
        <w:spacing w:before="120" w:after="120" w:line="288" w:lineRule="auto"/>
        <w:jc w:val="center"/>
        <w:rPr>
          <w:color w:val="000000" w:themeColor="text1"/>
          <w:lang w:val="pt-BR"/>
        </w:rPr>
      </w:pPr>
    </w:p>
    <w:p w14:paraId="29085C62" w14:textId="6805E974" w:rsidR="006A744D" w:rsidRPr="003F4F64" w:rsidRDefault="003F4F64">
      <w:pPr>
        <w:spacing w:before="120" w:after="120" w:line="288" w:lineRule="auto"/>
        <w:jc w:val="center"/>
        <w:rPr>
          <w:color w:val="000000" w:themeColor="text1"/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ponderada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3"/>
                      <w:lang w:val="pt-B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3"/>
                      <w:lang w:val="pt-BR"/>
                    </w:rPr>
                    <m:t>ŷ, y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3"/>
              <w:lang w:val="pt-BR"/>
            </w:rPr>
            <m:t>= - ∑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c=1..C</m:t>
              </m:r>
            </m:e>
          </m:d>
          <m:sSub>
            <m:sSub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3"/>
              <w:lang w:val="pt-BR"/>
            </w:rPr>
            <m:t>·</m:t>
          </m:r>
          <m:sSub>
            <m:sSubPr>
              <m:ctrlPr>
                <w:rPr>
                  <w:rFonts w:ascii="Cambria Math" w:hAnsi="Cambria Math"/>
                  <w:b/>
                  <w:i/>
                  <w:color w:val="000000" w:themeColor="text1"/>
                  <w:sz w:val="23"/>
                  <w:lang w:val="pt-BR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00000" w:themeColor="text1"/>
              <w:sz w:val="23"/>
              <w:lang w:val="pt-BR"/>
            </w:rPr>
            <m:t>lo</m:t>
          </m:r>
          <m:func>
            <m:funcPr>
              <m:ctrlPr>
                <w:rPr>
                  <w:rFonts w:ascii="Cambria Math" w:hAnsi="Cambria Math"/>
                  <w:b/>
                  <w:color w:val="000000" w:themeColor="text1"/>
                  <w:sz w:val="23"/>
                  <w:lang w:val="pt-BR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3"/>
                  <w:lang w:val="pt-BR"/>
                </w:rPr>
                <m:t>g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3"/>
                      <w:lang w:val="pt-B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3"/>
                          <w:lang w:val="pt-BR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3"/>
                          <w:lang w:val="pt-BR"/>
                        </w:rPr>
                        <m:t>ŷ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3"/>
                          <w:lang w:val="pt-BR"/>
                        </w:rPr>
                        <m:t>c</m:t>
                      </m:r>
                    </m:sub>
                  </m:sSub>
                </m:e>
              </m:d>
            </m:e>
          </m:func>
        </m:oMath>
      </m:oMathPara>
    </w:p>
    <w:p w14:paraId="1F460D22" w14:textId="77777777" w:rsidR="003F4F64" w:rsidRDefault="003F4F64">
      <w:pPr>
        <w:spacing w:after="120" w:line="360" w:lineRule="auto"/>
        <w:ind w:firstLine="709"/>
        <w:jc w:val="both"/>
        <w:rPr>
          <w:rFonts w:ascii="Arial" w:hAnsi="Arial"/>
          <w:color w:val="000000" w:themeColor="text1"/>
          <w:sz w:val="24"/>
          <w:lang w:val="pt-BR"/>
        </w:rPr>
      </w:pPr>
    </w:p>
    <w:p w14:paraId="40CCDD9D" w14:textId="3047373C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 w:themeColor="text1"/>
          <w:sz w:val="24"/>
          <w:lang w:val="pt-BR"/>
        </w:rPr>
      </w:pPr>
      <w:r w:rsidRPr="003F4F64">
        <w:rPr>
          <w:rFonts w:ascii="Arial" w:hAnsi="Arial"/>
          <w:color w:val="000000" w:themeColor="text1"/>
          <w:sz w:val="24"/>
          <w:lang w:val="pt-BR"/>
        </w:rPr>
        <w:t xml:space="preserve">onde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lang w:val="pt-BR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lang w:val="pt-BR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lang w:val="pt-BR"/>
              </w:rPr>
              <m:t>treino</m:t>
            </m:r>
          </m:sub>
        </m:sSub>
        <m:r>
          <w:rPr>
            <w:rFonts w:ascii="Cambria Math" w:hAnsi="Cambria Math"/>
            <w:color w:val="000000" w:themeColor="text1"/>
            <w:sz w:val="24"/>
            <w:lang w:val="pt-BR"/>
          </w:rPr>
          <m:t>= 38.013</m:t>
        </m:r>
      </m:oMath>
      <w:r w:rsidRPr="003F4F64">
        <w:rPr>
          <w:rFonts w:ascii="Arial" w:hAnsi="Arial"/>
          <w:color w:val="000000" w:themeColor="text1"/>
          <w:sz w:val="24"/>
          <w:lang w:val="pt-BR"/>
        </w:rPr>
        <w:t xml:space="preserve"> corresponde ao total de fotos no subconjunto de treino, </w:t>
      </w:r>
      <m:oMath>
        <m:r>
          <w:rPr>
            <w:rFonts w:ascii="Cambria Math" w:hAnsi="Cambria Math"/>
            <w:color w:val="000000" w:themeColor="text1"/>
            <w:sz w:val="24"/>
            <w:lang w:val="pt-BR"/>
          </w:rPr>
          <m:t>C = 38</m:t>
        </m:r>
      </m:oMath>
      <w:r w:rsidRPr="003F4F64">
        <w:rPr>
          <w:rFonts w:ascii="Arial" w:hAnsi="Arial"/>
          <w:color w:val="000000" w:themeColor="text1"/>
          <w:sz w:val="24"/>
          <w:lang w:val="pt-BR"/>
        </w:rPr>
        <w:t xml:space="preserve"> indica a quantidade de classes,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lang w:val="pt-BR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lang w:val="pt-BR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lang w:val="pt-BR"/>
              </w:rPr>
              <m:t>c</m:t>
            </m:r>
          </m:sub>
        </m:sSub>
      </m:oMath>
      <w:r w:rsidRPr="003F4F64">
        <w:rPr>
          <w:rFonts w:ascii="Arial" w:hAnsi="Arial"/>
          <w:color w:val="000000" w:themeColor="text1"/>
          <w:sz w:val="24"/>
          <w:lang w:val="pt-BR"/>
        </w:rPr>
        <w:t xml:space="preserve"> representa o total de amostras da classe </w:t>
      </w:r>
      <m:oMath>
        <m:r>
          <w:rPr>
            <w:rFonts w:ascii="Cambria Math" w:hAnsi="Cambria Math"/>
            <w:color w:val="000000" w:themeColor="text1"/>
            <w:sz w:val="24"/>
            <w:lang w:val="pt-BR"/>
          </w:rPr>
          <m:t>c</m:t>
        </m:r>
      </m:oMath>
      <w:r w:rsidRPr="003F4F64">
        <w:rPr>
          <w:rFonts w:ascii="Arial" w:hAnsi="Arial"/>
          <w:color w:val="000000" w:themeColor="text1"/>
          <w:sz w:val="24"/>
          <w:lang w:val="pt-BR"/>
        </w:rPr>
        <w:t xml:space="preserve">, e os fatores de ponderação são normalizados de tal forma que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lang w:val="pt-BR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4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4"/>
                    <w:lang w:val="pt-BR"/>
                  </w:rPr>
                  <m:t>C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4"/>
            <w:lang w:val="pt-BR"/>
          </w:rPr>
          <m:t xml:space="preserve">· 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color w:val="000000" w:themeColor="text1"/>
                <w:sz w:val="24"/>
                <w:lang w:val="pt-BR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lang w:val="pt-BR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lang w:val="pt-BR"/>
                  </w:rPr>
                  <m:t>c</m:t>
                </m:r>
              </m:sub>
            </m:sSub>
          </m:e>
        </m:nary>
        <m:r>
          <w:rPr>
            <w:rFonts w:ascii="Cambria Math" w:hAnsi="Cambria Math"/>
            <w:color w:val="000000" w:themeColor="text1"/>
            <w:sz w:val="24"/>
            <w:lang w:val="pt-BR"/>
          </w:rPr>
          <m:t>= 1,0</m:t>
        </m:r>
      </m:oMath>
      <w:r w:rsidRPr="003F4F64">
        <w:rPr>
          <w:rFonts w:ascii="Arial" w:hAnsi="Arial"/>
          <w:color w:val="000000" w:themeColor="text1"/>
          <w:sz w:val="24"/>
          <w:lang w:val="pt-BR"/>
        </w:rPr>
        <w:t>. Essa formulação faz com que erros em classes raras produzam gradientes proporcionais à sua escassez, forçando o otimizador AdamW a manter sensibilidade homogênea sobre todas as 38 categorias (evidenciado na curva de convergência da Figura 2).</w:t>
      </w:r>
    </w:p>
    <w:p w14:paraId="347AE947" w14:textId="77777777" w:rsidR="003F4F64" w:rsidRPr="003F4F64" w:rsidRDefault="003F4F64">
      <w:pPr>
        <w:spacing w:after="120" w:line="360" w:lineRule="auto"/>
        <w:ind w:firstLine="709"/>
        <w:jc w:val="both"/>
        <w:rPr>
          <w:color w:val="000000" w:themeColor="text1"/>
          <w:lang w:val="pt-BR"/>
        </w:rPr>
      </w:pPr>
    </w:p>
    <w:p w14:paraId="0E5EAADA" w14:textId="108DE0B2" w:rsidR="006A744D" w:rsidRPr="003F4F64" w:rsidRDefault="00000000" w:rsidP="003F4F64">
      <w:pPr>
        <w:pStyle w:val="Ttulo1"/>
      </w:pPr>
      <w:bookmarkStart w:id="6" w:name="_Toc243686816"/>
      <w:r w:rsidRPr="003F4F64">
        <w:t>2 MEDIDAS DE ACURÁCIA E DIAGNÓSTICO DE DESEMPENHO</w:t>
      </w:r>
      <w:bookmarkEnd w:id="6"/>
    </w:p>
    <w:p w14:paraId="60CD265D" w14:textId="77777777" w:rsidR="006A744D" w:rsidRPr="003F4F64" w:rsidRDefault="00000000" w:rsidP="003F4F64">
      <w:pPr>
        <w:pStyle w:val="Ttulo2"/>
        <w:rPr>
          <w:lang w:val="pt-BR"/>
        </w:rPr>
      </w:pPr>
      <w:bookmarkStart w:id="7" w:name="_Toc243686817"/>
      <w:r w:rsidRPr="003F4F64">
        <w:rPr>
          <w:lang w:val="pt-BR"/>
        </w:rPr>
        <w:t xml:space="preserve">2.1 Metodologia de Avaliação </w:t>
      </w:r>
      <w:proofErr w:type="spellStart"/>
      <w:r w:rsidRPr="003F4F64">
        <w:rPr>
          <w:lang w:val="pt-BR"/>
        </w:rPr>
        <w:t>Multiclasse</w:t>
      </w:r>
      <w:proofErr w:type="spellEnd"/>
      <w:r w:rsidRPr="003F4F64">
        <w:rPr>
          <w:lang w:val="pt-BR"/>
        </w:rPr>
        <w:t xml:space="preserve"> e Seleção de Métricas</w:t>
      </w:r>
      <w:bookmarkEnd w:id="7"/>
    </w:p>
    <w:p w14:paraId="3945AE54" w14:textId="77777777" w:rsidR="006A744D" w:rsidRPr="003F4F64" w:rsidRDefault="00000000">
      <w:pPr>
        <w:spacing w:after="120" w:line="360" w:lineRule="auto"/>
        <w:ind w:firstLine="709"/>
        <w:jc w:val="both"/>
        <w:rPr>
          <w:color w:val="000000" w:themeColor="text1"/>
          <w:lang w:val="pt-BR"/>
        </w:rPr>
      </w:pPr>
      <w:r w:rsidRPr="003F4F64">
        <w:rPr>
          <w:rFonts w:ascii="Arial" w:hAnsi="Arial"/>
          <w:color w:val="000000" w:themeColor="text1"/>
          <w:sz w:val="24"/>
          <w:lang w:val="pt-BR"/>
        </w:rPr>
        <w:t xml:space="preserve">Seguindo as recomendações metodológicas de Sokolova &amp; </w:t>
      </w:r>
      <w:proofErr w:type="spellStart"/>
      <w:r w:rsidRPr="003F4F64">
        <w:rPr>
          <w:rFonts w:ascii="Arial" w:hAnsi="Arial"/>
          <w:color w:val="000000" w:themeColor="text1"/>
          <w:sz w:val="24"/>
          <w:lang w:val="pt-BR"/>
        </w:rPr>
        <w:t>Lapalme</w:t>
      </w:r>
      <w:proofErr w:type="spellEnd"/>
      <w:r w:rsidRPr="003F4F64">
        <w:rPr>
          <w:rFonts w:ascii="Arial" w:hAnsi="Arial"/>
          <w:color w:val="000000" w:themeColor="text1"/>
          <w:sz w:val="24"/>
          <w:lang w:val="pt-BR"/>
        </w:rPr>
        <w:t xml:space="preserve"> (2009) para classificação </w:t>
      </w:r>
      <w:proofErr w:type="spellStart"/>
      <w:r w:rsidRPr="003F4F64">
        <w:rPr>
          <w:rFonts w:ascii="Arial" w:hAnsi="Arial"/>
          <w:color w:val="000000" w:themeColor="text1"/>
          <w:sz w:val="24"/>
          <w:lang w:val="pt-BR"/>
        </w:rPr>
        <w:t>multiclasse</w:t>
      </w:r>
      <w:proofErr w:type="spellEnd"/>
      <w:r w:rsidRPr="003F4F64">
        <w:rPr>
          <w:rFonts w:ascii="Arial" w:hAnsi="Arial"/>
          <w:color w:val="000000" w:themeColor="text1"/>
          <w:sz w:val="24"/>
          <w:lang w:val="pt-BR"/>
        </w:rPr>
        <w:t xml:space="preserve"> desbalanceada, a acurácia global (Top-1) não deve ser utilizada isoladamente. Para avaliar o modelo sob diferentes perspectivas operacionais, estabelecemos um painel com métricas complementares:</w:t>
      </w:r>
    </w:p>
    <w:p w14:paraId="413D9F9D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3F4F64">
        <w:rPr>
          <w:rFonts w:ascii="Arial" w:hAnsi="Arial"/>
          <w:b/>
          <w:color w:val="000000" w:themeColor="text1"/>
          <w:sz w:val="23"/>
          <w:lang w:val="pt-BR"/>
        </w:rPr>
        <w:t xml:space="preserve">Top-1 </w:t>
      </w:r>
      <w:proofErr w:type="spellStart"/>
      <w:r w:rsidRPr="003F4F64">
        <w:rPr>
          <w:rFonts w:ascii="Arial" w:hAnsi="Arial"/>
          <w:b/>
          <w:color w:val="000000" w:themeColor="text1"/>
          <w:sz w:val="23"/>
          <w:lang w:val="pt-BR"/>
        </w:rPr>
        <w:t>Accuracy</w:t>
      </w:r>
      <w:proofErr w:type="spellEnd"/>
      <w:r w:rsidRPr="003F4F64">
        <w:rPr>
          <w:rFonts w:ascii="Arial" w:hAnsi="Arial"/>
          <w:b/>
          <w:color w:val="000000" w:themeColor="text1"/>
          <w:sz w:val="23"/>
          <w:lang w:val="pt-BR"/>
        </w:rPr>
        <w:t>:</w:t>
      </w:r>
      <w:r w:rsidRPr="003F4F64">
        <w:rPr>
          <w:rFonts w:ascii="Arial" w:hAnsi="Arial"/>
          <w:color w:val="000000" w:themeColor="text1"/>
          <w:sz w:val="23"/>
          <w:lang w:val="pt-BR"/>
        </w:rPr>
        <w:t xml:space="preserve"> Propor</w:t>
      </w:r>
      <w:r w:rsidRPr="00E95A94">
        <w:rPr>
          <w:rFonts w:ascii="Arial" w:hAnsi="Arial"/>
          <w:color w:val="000000"/>
          <w:sz w:val="23"/>
          <w:lang w:val="pt-BR"/>
        </w:rPr>
        <w:t xml:space="preserve">ção em que a classe de maior probabilidade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Softmax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coincide com o rótulo de referência agronômico;</w:t>
      </w:r>
    </w:p>
    <w:p w14:paraId="74210E5E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 xml:space="preserve">Top-3 e Top-5 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Accuracy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>:</w:t>
      </w:r>
      <w:r w:rsidRPr="00E95A94">
        <w:rPr>
          <w:rFonts w:ascii="Arial" w:hAnsi="Arial"/>
          <w:color w:val="000000"/>
          <w:sz w:val="23"/>
          <w:lang w:val="pt-BR"/>
        </w:rPr>
        <w:t xml:space="preserve"> Probabilidade de a patologia correta estar presente entre as 3 ou 5 maiores estimativas do classificador;</w:t>
      </w:r>
    </w:p>
    <w:p w14:paraId="33311F2A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Macro F1-Score:</w:t>
      </w:r>
      <w:r w:rsidRPr="00E95A94">
        <w:rPr>
          <w:rFonts w:ascii="Arial" w:hAnsi="Arial"/>
          <w:color w:val="000000"/>
          <w:sz w:val="23"/>
          <w:lang w:val="pt-BR"/>
        </w:rPr>
        <w:t xml:space="preserve"> Média aritmética dos F1-Scores das 38 classes sem ponderação por volume, punindo severamente inconsistências em classes minoritárias;</w:t>
      </w:r>
    </w:p>
    <w:p w14:paraId="7E856133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Weighted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 xml:space="preserve"> F1-Score:</w:t>
      </w:r>
      <w:r w:rsidRPr="00E95A94">
        <w:rPr>
          <w:rFonts w:ascii="Arial" w:hAnsi="Arial"/>
          <w:color w:val="000000"/>
          <w:sz w:val="23"/>
          <w:lang w:val="pt-BR"/>
        </w:rPr>
        <w:t xml:space="preserve"> Média dos F1-Scores ponderada pela frequência real de cada patologia no conjunto de teste.</w:t>
      </w:r>
    </w:p>
    <w:p w14:paraId="5DEEE4A6" w14:textId="77777777" w:rsidR="006A744D" w:rsidRPr="00E95A94" w:rsidRDefault="00000000" w:rsidP="003F4F64">
      <w:pPr>
        <w:pStyle w:val="Ttulo2"/>
        <w:rPr>
          <w:lang w:val="pt-BR"/>
        </w:rPr>
      </w:pPr>
      <w:bookmarkStart w:id="8" w:name="_Toc243686818"/>
      <w:r w:rsidRPr="00E95A94">
        <w:rPr>
          <w:lang w:val="pt-BR"/>
        </w:rPr>
        <w:t>2.2 Painel Consolidado de Desempenho no Teste Cego</w:t>
      </w:r>
      <w:bookmarkEnd w:id="8"/>
    </w:p>
    <w:p w14:paraId="0C65EF9E" w14:textId="3DA64290" w:rsidR="00DC78E0" w:rsidRPr="00DC78E0" w:rsidRDefault="00000000" w:rsidP="00DC78E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Avaliamos o modelo </w:t>
      </w:r>
      <w:r w:rsidRPr="00AF551A">
        <w:rPr>
          <w:rFonts w:ascii="Arial" w:hAnsi="Arial"/>
          <w:color w:val="000000"/>
          <w:sz w:val="24"/>
          <w:lang w:val="pt-BR"/>
        </w:rPr>
        <w:t>sobre as 8.146 amostras inéditas do co</w:t>
      </w:r>
      <w:r w:rsidRPr="00E95A94">
        <w:rPr>
          <w:rFonts w:ascii="Arial" w:hAnsi="Arial"/>
          <w:color w:val="000000"/>
          <w:sz w:val="24"/>
          <w:lang w:val="pt-BR"/>
        </w:rPr>
        <w:t xml:space="preserve">njunto de teste cego independente. Os resultados consolidados (registrados em </w:t>
      </w:r>
      <w:proofErr w:type="spellStart"/>
      <w:r w:rsidR="003F4F64">
        <w:rPr>
          <w:rFonts w:ascii="Consolas" w:hAnsi="Consolas"/>
          <w:color w:val="212121"/>
          <w:lang w:val="pt-BR"/>
        </w:rPr>
        <w:t>r</w:t>
      </w:r>
      <w:r w:rsidRPr="00E95A94">
        <w:rPr>
          <w:rFonts w:ascii="Consolas" w:hAnsi="Consolas"/>
          <w:color w:val="212121"/>
          <w:lang w:val="pt-BR"/>
        </w:rPr>
        <w:t>eports</w:t>
      </w:r>
      <w:proofErr w:type="spellEnd"/>
      <w:r w:rsidRPr="00E95A94">
        <w:rPr>
          <w:rFonts w:ascii="Consolas" w:hAnsi="Consolas"/>
          <w:color w:val="212121"/>
          <w:lang w:val="pt-BR"/>
        </w:rPr>
        <w:t>/</w:t>
      </w:r>
      <w:proofErr w:type="spellStart"/>
      <w:r w:rsidRPr="00E95A94">
        <w:rPr>
          <w:rFonts w:ascii="Consolas" w:hAnsi="Consolas"/>
          <w:color w:val="212121"/>
          <w:lang w:val="pt-BR"/>
        </w:rPr>
        <w:t>metrics</w:t>
      </w:r>
      <w:proofErr w:type="spellEnd"/>
      <w:r w:rsidRPr="00E95A94">
        <w:rPr>
          <w:rFonts w:ascii="Consolas" w:hAnsi="Consolas"/>
          <w:color w:val="212121"/>
          <w:lang w:val="pt-BR"/>
        </w:rPr>
        <w:t>/</w:t>
      </w:r>
      <w:proofErr w:type="spellStart"/>
      <w:r w:rsidRPr="00E95A94">
        <w:rPr>
          <w:rFonts w:ascii="Consolas" w:hAnsi="Consolas"/>
          <w:color w:val="212121"/>
          <w:lang w:val="pt-BR"/>
        </w:rPr>
        <w:t>metricas_resumo.json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e </w:t>
      </w:r>
      <w:proofErr w:type="spellStart"/>
      <w:r w:rsidRPr="00E95A94">
        <w:rPr>
          <w:rFonts w:ascii="Consolas" w:hAnsi="Consolas"/>
          <w:color w:val="212121"/>
          <w:lang w:val="pt-BR"/>
        </w:rPr>
        <w:t>reports</w:t>
      </w:r>
      <w:proofErr w:type="spellEnd"/>
      <w:r w:rsidRPr="00E95A94">
        <w:rPr>
          <w:rFonts w:ascii="Consolas" w:hAnsi="Consolas"/>
          <w:color w:val="212121"/>
          <w:lang w:val="pt-BR"/>
        </w:rPr>
        <w:t>/</w:t>
      </w:r>
      <w:proofErr w:type="spellStart"/>
      <w:r w:rsidRPr="00E95A94">
        <w:rPr>
          <w:rFonts w:ascii="Consolas" w:hAnsi="Consolas"/>
          <w:color w:val="212121"/>
          <w:lang w:val="pt-BR"/>
        </w:rPr>
        <w:t>metrics</w:t>
      </w:r>
      <w:proofErr w:type="spellEnd"/>
      <w:r w:rsidRPr="00E95A94">
        <w:rPr>
          <w:rFonts w:ascii="Consolas" w:hAnsi="Consolas"/>
          <w:color w:val="212121"/>
          <w:lang w:val="pt-BR"/>
        </w:rPr>
        <w:t>/classification_report.csv</w:t>
      </w:r>
      <w:r w:rsidRPr="00E95A94">
        <w:rPr>
          <w:rFonts w:ascii="Arial" w:hAnsi="Arial"/>
          <w:color w:val="000000"/>
          <w:sz w:val="24"/>
          <w:lang w:val="pt-BR"/>
        </w:rPr>
        <w:t xml:space="preserve">, com convergência ilustrada na </w:t>
      </w:r>
      <w:r w:rsidRPr="00E95A94">
        <w:rPr>
          <w:rFonts w:ascii="Arial" w:hAnsi="Arial"/>
          <w:color w:val="000000"/>
          <w:sz w:val="24"/>
          <w:lang w:val="pt-BR"/>
        </w:rPr>
        <w:lastRenderedPageBreak/>
        <w:t>Figura 2 e predições visuais na Figura 4) comprovam a alta eficácia do classificador, sintetizada na Tabela 1:</w:t>
      </w:r>
    </w:p>
    <w:p w14:paraId="514FB92D" w14:textId="77777777" w:rsidR="006A744D" w:rsidRPr="00E95A94" w:rsidRDefault="00000000">
      <w:pPr>
        <w:keepNext/>
        <w:spacing w:before="24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>Tabela 1 – Indicadores Consolidados de Eficácia e Desempenho no Teste Cego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835"/>
        <w:gridCol w:w="1587"/>
        <w:gridCol w:w="1814"/>
        <w:gridCol w:w="2835"/>
      </w:tblGrid>
      <w:tr w:rsidR="006A744D" w14:paraId="7C3E3F0D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FC7F0" w14:textId="77777777" w:rsidR="006A744D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0"/>
              </w:rPr>
              <w:t>Indicador</w:t>
            </w:r>
            <w:proofErr w:type="spellEnd"/>
            <w:r>
              <w:rPr>
                <w:rFonts w:ascii="Arial" w:hAnsi="Arial"/>
                <w:b/>
                <w:color w:val="000000"/>
                <w:sz w:val="20"/>
              </w:rPr>
              <w:t xml:space="preserve"> de Eficácia </w:t>
            </w:r>
            <w:proofErr w:type="spellStart"/>
            <w:r>
              <w:rPr>
                <w:rFonts w:ascii="Arial" w:hAnsi="Arial"/>
                <w:b/>
                <w:color w:val="000000"/>
                <w:sz w:val="20"/>
              </w:rPr>
              <w:t>Analítica</w:t>
            </w:r>
            <w:proofErr w:type="spellEnd"/>
          </w:p>
        </w:tc>
        <w:tc>
          <w:tcPr>
            <w:tcW w:w="1587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6452A" w14:textId="77777777" w:rsidR="006A744D" w:rsidRDefault="00000000"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 Obtido</w:t>
            </w:r>
          </w:p>
        </w:tc>
        <w:tc>
          <w:tcPr>
            <w:tcW w:w="181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82337" w14:textId="77777777" w:rsidR="006A744D" w:rsidRDefault="00000000"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Benchmark de Mercado</w:t>
            </w:r>
          </w:p>
        </w:tc>
        <w:tc>
          <w:tcPr>
            <w:tcW w:w="2835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ABCF59" w14:textId="77777777" w:rsidR="006A744D" w:rsidRDefault="00000000"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Interpretação Operacional</w:t>
            </w:r>
          </w:p>
        </w:tc>
      </w:tr>
      <w:tr w:rsidR="006A744D" w:rsidRPr="00E95A94" w14:paraId="659685B9" w14:textId="77777777">
        <w:trPr>
          <w:jc w:val="center"/>
        </w:trPr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5DEFD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Acurácia Global (Top-1)</w:t>
            </w:r>
          </w:p>
        </w:tc>
        <w:tc>
          <w:tcPr>
            <w:tcW w:w="158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48871F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99,41%</w:t>
            </w:r>
          </w:p>
        </w:tc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7489CE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85,0% – 92,0%</w:t>
            </w:r>
          </w:p>
        </w:tc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759A2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Diagnóstico primário correto em mais de 99,4% dos casos no teste independente.</w:t>
            </w:r>
          </w:p>
        </w:tc>
      </w:tr>
      <w:tr w:rsidR="006A744D" w:rsidRPr="00E95A94" w14:paraId="5CDED3EB" w14:textId="77777777">
        <w:trPr>
          <w:jc w:val="center"/>
        </w:trPr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4FD4C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Acurácia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Top-3</w:t>
            </w:r>
          </w:p>
        </w:tc>
        <w:tc>
          <w:tcPr>
            <w:tcW w:w="1587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C62673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99,96%</w:t>
            </w:r>
          </w:p>
        </w:tc>
        <w:tc>
          <w:tcPr>
            <w:tcW w:w="1814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BDDB72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95,0% – 97,0%</w:t>
            </w:r>
          </w:p>
        </w:tc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8A42B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Apenas 3 amostras em 8.146 deixaram de figurar entre as três principais alternativas.</w:t>
            </w:r>
          </w:p>
        </w:tc>
      </w:tr>
      <w:tr w:rsidR="006A744D" w:rsidRPr="00E95A94" w14:paraId="3CC4877E" w14:textId="77777777">
        <w:trPr>
          <w:jc w:val="center"/>
        </w:trPr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4D774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Acurácia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Top-5</w:t>
            </w:r>
          </w:p>
        </w:tc>
        <w:tc>
          <w:tcPr>
            <w:tcW w:w="158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A6B5B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99,98%</w:t>
            </w:r>
          </w:p>
        </w:tc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589C0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98,0% – 99,0%</w:t>
            </w:r>
          </w:p>
        </w:tc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28927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Cobertura diagnóstica praticamente total dentro das cinco principais predições.</w:t>
            </w:r>
          </w:p>
        </w:tc>
      </w:tr>
      <w:tr w:rsidR="006A744D" w:rsidRPr="00E95A94" w14:paraId="03E11947" w14:textId="77777777">
        <w:trPr>
          <w:jc w:val="center"/>
        </w:trPr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EBCF2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Macro F1-Score</w:t>
            </w:r>
          </w:p>
        </w:tc>
        <w:tc>
          <w:tcPr>
            <w:tcW w:w="1587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F37764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99,19%</w:t>
            </w:r>
          </w:p>
        </w:tc>
        <w:tc>
          <w:tcPr>
            <w:tcW w:w="1814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80B40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80,0% – 88,0%</w:t>
            </w:r>
          </w:p>
        </w:tc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45A83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Desempenho balanceado entre classes majoritárias e raras, sem negligência de minorias.</w:t>
            </w:r>
          </w:p>
        </w:tc>
      </w:tr>
      <w:tr w:rsidR="006A744D" w:rsidRPr="00E95A94" w14:paraId="0D7F7E29" w14:textId="77777777">
        <w:trPr>
          <w:jc w:val="center"/>
        </w:trPr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93696B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Weighted F1-Score</w:t>
            </w:r>
          </w:p>
        </w:tc>
        <w:tc>
          <w:tcPr>
            <w:tcW w:w="158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4029A7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99,41%</w:t>
            </w:r>
          </w:p>
        </w:tc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AC834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85,0% – 92,0%</w:t>
            </w:r>
          </w:p>
        </w:tc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F593F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Alta precisão e sensibilidade na distribuição ponderada global.</w:t>
            </w:r>
          </w:p>
        </w:tc>
      </w:tr>
      <w:tr w:rsidR="006A744D" w:rsidRPr="00E95A94" w14:paraId="1B8F9FE1" w14:textId="77777777">
        <w:trPr>
          <w:jc w:val="center"/>
        </w:trPr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7AE2D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Macro Precision</w:t>
            </w:r>
          </w:p>
        </w:tc>
        <w:tc>
          <w:tcPr>
            <w:tcW w:w="1587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1F8E4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99,07%</w:t>
            </w:r>
          </w:p>
        </w:tc>
        <w:tc>
          <w:tcPr>
            <w:tcW w:w="1814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64F77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82,0% – 89,0%</w:t>
            </w:r>
          </w:p>
        </w:tc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38630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Baixo índice de alarmes falsos, evitando aplicações químicas desnecessárias.</w:t>
            </w:r>
          </w:p>
        </w:tc>
      </w:tr>
      <w:tr w:rsidR="006A744D" w:rsidRPr="00E95A94" w14:paraId="5FDEDA3B" w14:textId="77777777">
        <w:trPr>
          <w:jc w:val="center"/>
        </w:trPr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F5364E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Macro Recall (</w:t>
            </w: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Sensibilidade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>)</w:t>
            </w:r>
          </w:p>
        </w:tc>
        <w:tc>
          <w:tcPr>
            <w:tcW w:w="158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3137B0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99,38%</w:t>
            </w:r>
          </w:p>
        </w:tc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21D66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80,0% – 87,0%</w:t>
            </w:r>
          </w:p>
        </w:tc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9EB051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Alta capacidade de detecção de patologias logo nos primeiros sintomas foliares.</w:t>
            </w:r>
          </w:p>
        </w:tc>
      </w:tr>
      <w:tr w:rsidR="006A744D" w:rsidRPr="00E95A94" w14:paraId="07BD2ABA" w14:textId="77777777">
        <w:trPr>
          <w:jc w:val="center"/>
        </w:trPr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6FC3A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Latência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Média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On-Device</w:t>
            </w:r>
          </w:p>
        </w:tc>
        <w:tc>
          <w:tcPr>
            <w:tcW w:w="1587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6FB0A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&lt; 30 ms</w:t>
            </w:r>
          </w:p>
        </w:tc>
        <w:tc>
          <w:tcPr>
            <w:tcW w:w="1814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96A6D" w14:textId="77777777" w:rsidR="006A744D" w:rsidRDefault="00000000" w:rsidP="00DC78E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1.500 ms (Nuvem)</w:t>
            </w:r>
          </w:p>
        </w:tc>
        <w:tc>
          <w:tcPr>
            <w:tcW w:w="2835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B4AF7D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Processamento instantâneo no hardware local, sem requisições de rede.</w:t>
            </w:r>
          </w:p>
        </w:tc>
      </w:tr>
      <w:tr w:rsidR="006A744D" w:rsidRPr="00E95A94" w14:paraId="3E44ABF3" w14:textId="77777777">
        <w:trPr>
          <w:jc w:val="center"/>
        </w:trPr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1CCCA7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Tamanho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do Checkpoint</w:t>
            </w:r>
          </w:p>
        </w:tc>
        <w:tc>
          <w:tcPr>
            <w:tcW w:w="158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40D85" w14:textId="77777777" w:rsidR="006A744D" w:rsidRDefault="0000000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b/>
                <w:color w:val="141414"/>
                <w:sz w:val="19"/>
              </w:rPr>
              <w:t>26,38 MB</w:t>
            </w:r>
          </w:p>
        </w:tc>
        <w:tc>
          <w:tcPr>
            <w:tcW w:w="1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75BB1" w14:textId="77777777" w:rsidR="006A744D" w:rsidRDefault="00000000" w:rsidP="00DC78E0">
            <w:pPr>
              <w:spacing w:before="20" w:after="40" w:line="264" w:lineRule="auto"/>
              <w:jc w:val="center"/>
            </w:pPr>
            <w:r>
              <w:rPr>
                <w:rFonts w:ascii="Arial" w:hAnsi="Arial"/>
                <w:color w:val="141414"/>
                <w:sz w:val="19"/>
              </w:rPr>
              <w:t>&gt; 150 MB (ResNets)</w:t>
            </w:r>
          </w:p>
        </w:tc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56DDF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Arquivo leve, compatível com a capacidade de memória de smartphones populares.</w:t>
            </w:r>
          </w:p>
        </w:tc>
      </w:tr>
    </w:tbl>
    <w:p w14:paraId="6B855BFF" w14:textId="77777777" w:rsidR="006A744D" w:rsidRDefault="00000000">
      <w:pPr>
        <w:spacing w:before="80" w:after="240" w:line="264" w:lineRule="auto"/>
        <w:jc w:val="center"/>
        <w:rPr>
          <w:rFonts w:ascii="Arial" w:hAnsi="Arial"/>
          <w:i/>
          <w:color w:val="464646"/>
          <w:sz w:val="19"/>
          <w:lang w:val="pt-BR"/>
        </w:rPr>
      </w:pPr>
      <w:r w:rsidRPr="00E95A94">
        <w:rPr>
          <w:rFonts w:ascii="Arial" w:hAnsi="Arial"/>
          <w:i/>
          <w:color w:val="464646"/>
          <w:sz w:val="19"/>
          <w:lang w:val="pt-BR"/>
        </w:rPr>
        <w:t>Fonte: Elaborado pelos autores (2026).</w:t>
      </w:r>
    </w:p>
    <w:p w14:paraId="2E6216E1" w14:textId="77777777" w:rsidR="00AF551A" w:rsidRPr="00E95A94" w:rsidRDefault="00AF551A" w:rsidP="00AF551A">
      <w:pPr>
        <w:rPr>
          <w:lang w:val="pt-BR"/>
        </w:rPr>
      </w:pPr>
    </w:p>
    <w:p w14:paraId="762733DA" w14:textId="541129A7" w:rsidR="006A744D" w:rsidRPr="00E95A94" w:rsidRDefault="00000000" w:rsidP="00DC78E0">
      <w:pPr>
        <w:pStyle w:val="Ttulo2"/>
        <w:rPr>
          <w:lang w:val="pt-BR"/>
        </w:rPr>
      </w:pPr>
      <w:bookmarkStart w:id="9" w:name="_Toc243686819"/>
      <w:r w:rsidRPr="00E95A94">
        <w:rPr>
          <w:lang w:val="pt-BR"/>
        </w:rPr>
        <w:t>2.3 Auditoria da Classe Minoritária</w:t>
      </w:r>
      <w:bookmarkEnd w:id="9"/>
    </w:p>
    <w:p w14:paraId="58FD39E4" w14:textId="77777777" w:rsidR="006A744D" w:rsidRPr="00DC78E0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 classe </w:t>
      </w:r>
      <w:proofErr w:type="spellStart"/>
      <w:r w:rsidRPr="00E95A94">
        <w:rPr>
          <w:rFonts w:ascii="Consolas" w:hAnsi="Consolas"/>
          <w:color w:val="212121"/>
          <w:lang w:val="pt-BR"/>
        </w:rPr>
        <w:t>Potato</w:t>
      </w:r>
      <w:proofErr w:type="spellEnd"/>
      <w:r w:rsidRPr="00E95A94">
        <w:rPr>
          <w:rFonts w:ascii="Consolas" w:hAnsi="Consolas"/>
          <w:color w:val="212121"/>
          <w:lang w:val="pt-BR"/>
        </w:rPr>
        <w:t>___</w:t>
      </w:r>
      <w:proofErr w:type="spellStart"/>
      <w:r w:rsidRPr="00E95A94">
        <w:rPr>
          <w:rFonts w:ascii="Consolas" w:hAnsi="Consolas"/>
          <w:color w:val="212121"/>
          <w:lang w:val="pt-BR"/>
        </w:rPr>
        <w:t>healthy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é o principal termômetro do comportamento do modelo frente ao desbalanceamento, contando com 152 fotografias no total e </w:t>
      </w:r>
      <w:r w:rsidRPr="00E95A94">
        <w:rPr>
          <w:rFonts w:ascii="Arial" w:hAnsi="Arial"/>
          <w:color w:val="000000"/>
          <w:sz w:val="24"/>
          <w:lang w:val="pt-BR"/>
        </w:rPr>
        <w:lastRenderedPageBreak/>
        <w:t xml:space="preserve">exatamente </w:t>
      </w:r>
      <w:r w:rsidRPr="00E95A94">
        <w:rPr>
          <w:rFonts w:ascii="Arial" w:hAnsi="Arial"/>
          <w:b/>
          <w:color w:val="000000"/>
          <w:sz w:val="24"/>
          <w:lang w:val="pt-BR"/>
        </w:rPr>
        <w:t>23 amostras no split cego de teste</w:t>
      </w:r>
      <w:r w:rsidRPr="00E95A94">
        <w:rPr>
          <w:rFonts w:ascii="Arial" w:hAnsi="Arial"/>
          <w:color w:val="000000"/>
          <w:sz w:val="24"/>
          <w:lang w:val="pt-BR"/>
        </w:rPr>
        <w:t xml:space="preserve">. </w:t>
      </w:r>
      <w:r w:rsidRPr="00DC78E0">
        <w:rPr>
          <w:rFonts w:ascii="Arial" w:hAnsi="Arial"/>
          <w:color w:val="000000"/>
          <w:sz w:val="24"/>
          <w:lang w:val="pt-BR"/>
        </w:rPr>
        <w:t>O modelo alcançou as seguintes métricas nessa classe:</w:t>
      </w:r>
    </w:p>
    <w:p w14:paraId="05A2B7DF" w14:textId="77777777" w:rsidR="006A744D" w:rsidRDefault="00000000">
      <w:pPr>
        <w:pStyle w:val="Commarcadores"/>
        <w:spacing w:before="40" w:after="80" w:line="312" w:lineRule="auto"/>
        <w:ind w:left="709" w:hanging="283"/>
        <w:jc w:val="both"/>
      </w:pPr>
      <w:proofErr w:type="spellStart"/>
      <w:r>
        <w:rPr>
          <w:rFonts w:ascii="Arial" w:hAnsi="Arial"/>
          <w:b/>
          <w:color w:val="000000"/>
          <w:sz w:val="23"/>
        </w:rPr>
        <w:t>Verdadeiros</w:t>
      </w:r>
      <w:proofErr w:type="spellEnd"/>
      <w:r>
        <w:rPr>
          <w:rFonts w:ascii="Arial" w:hAnsi="Arial"/>
          <w:b/>
          <w:color w:val="000000"/>
          <w:sz w:val="23"/>
        </w:rPr>
        <w:t xml:space="preserve"> Positivos (TP):</w:t>
      </w:r>
      <w:r>
        <w:rPr>
          <w:rFonts w:ascii="Arial" w:hAnsi="Arial"/>
          <w:color w:val="000000"/>
          <w:sz w:val="23"/>
        </w:rPr>
        <w:t xml:space="preserve"> 23</w:t>
      </w:r>
    </w:p>
    <w:p w14:paraId="4E74A9E5" w14:textId="77777777" w:rsidR="006A744D" w:rsidRDefault="00000000">
      <w:pPr>
        <w:pStyle w:val="Commarcadores"/>
        <w:spacing w:before="40" w:after="80" w:line="312" w:lineRule="auto"/>
        <w:ind w:left="709" w:hanging="283"/>
        <w:jc w:val="both"/>
      </w:pPr>
      <w:r>
        <w:rPr>
          <w:rFonts w:ascii="Arial" w:hAnsi="Arial"/>
          <w:b/>
          <w:color w:val="000000"/>
          <w:sz w:val="23"/>
        </w:rPr>
        <w:t>Falsos Positivos (FP):</w:t>
      </w:r>
      <w:r>
        <w:rPr>
          <w:rFonts w:ascii="Arial" w:hAnsi="Arial"/>
          <w:color w:val="000000"/>
          <w:sz w:val="23"/>
        </w:rPr>
        <w:t xml:space="preserve"> 0</w:t>
      </w:r>
    </w:p>
    <w:p w14:paraId="6CA6A5C2" w14:textId="77777777" w:rsidR="006A744D" w:rsidRDefault="00000000">
      <w:pPr>
        <w:pStyle w:val="Commarcadores"/>
        <w:spacing w:before="40" w:after="80" w:line="312" w:lineRule="auto"/>
        <w:ind w:left="709" w:hanging="283"/>
        <w:jc w:val="both"/>
      </w:pPr>
      <w:r>
        <w:rPr>
          <w:rFonts w:ascii="Arial" w:hAnsi="Arial"/>
          <w:b/>
          <w:color w:val="000000"/>
          <w:sz w:val="23"/>
        </w:rPr>
        <w:t>Falsos Negativos (FN):</w:t>
      </w:r>
      <w:r>
        <w:rPr>
          <w:rFonts w:ascii="Arial" w:hAnsi="Arial"/>
          <w:color w:val="000000"/>
          <w:sz w:val="23"/>
        </w:rPr>
        <w:t xml:space="preserve"> 0</w:t>
      </w:r>
    </w:p>
    <w:p w14:paraId="5031EF13" w14:textId="77777777" w:rsidR="006A744D" w:rsidRDefault="00000000">
      <w:pPr>
        <w:pStyle w:val="Commarcadores"/>
        <w:spacing w:before="40" w:after="80" w:line="312" w:lineRule="auto"/>
        <w:ind w:left="709" w:hanging="283"/>
        <w:jc w:val="both"/>
      </w:pPr>
      <w:r>
        <w:rPr>
          <w:rFonts w:ascii="Arial" w:hAnsi="Arial"/>
          <w:b/>
          <w:color w:val="000000"/>
          <w:sz w:val="23"/>
        </w:rPr>
        <w:t>Precisão:</w:t>
      </w:r>
      <w:r>
        <w:rPr>
          <w:rFonts w:ascii="Arial" w:hAnsi="Arial"/>
          <w:color w:val="000000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100,00%</w:t>
      </w:r>
    </w:p>
    <w:p w14:paraId="26AD7F73" w14:textId="77777777" w:rsidR="006A744D" w:rsidRDefault="00000000">
      <w:pPr>
        <w:pStyle w:val="Commarcadores"/>
        <w:spacing w:before="40" w:after="80" w:line="312" w:lineRule="auto"/>
        <w:ind w:left="709" w:hanging="283"/>
        <w:jc w:val="both"/>
      </w:pPr>
      <w:r>
        <w:rPr>
          <w:rFonts w:ascii="Arial" w:hAnsi="Arial"/>
          <w:b/>
          <w:color w:val="000000"/>
          <w:sz w:val="23"/>
        </w:rPr>
        <w:t>Sensibilidade (*Recall*):</w:t>
      </w:r>
      <w:r>
        <w:rPr>
          <w:rFonts w:ascii="Arial" w:hAnsi="Arial"/>
          <w:color w:val="000000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100,00%</w:t>
      </w:r>
    </w:p>
    <w:p w14:paraId="68FF268E" w14:textId="77777777" w:rsidR="006A744D" w:rsidRDefault="00000000">
      <w:pPr>
        <w:pStyle w:val="Commarcadores"/>
        <w:spacing w:before="40" w:after="80" w:line="312" w:lineRule="auto"/>
        <w:ind w:left="709" w:hanging="283"/>
        <w:jc w:val="both"/>
      </w:pPr>
      <w:r>
        <w:rPr>
          <w:rFonts w:ascii="Arial" w:hAnsi="Arial"/>
          <w:b/>
          <w:color w:val="000000"/>
          <w:sz w:val="23"/>
        </w:rPr>
        <w:t>F1-Score:</w:t>
      </w:r>
      <w:r>
        <w:rPr>
          <w:rFonts w:ascii="Arial" w:hAnsi="Arial"/>
          <w:color w:val="000000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100,00%</w:t>
      </w:r>
    </w:p>
    <w:p w14:paraId="1F77163D" w14:textId="77777777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Esse resultado confirma a eficácia prática da função de perda ponderada, comprovando que o modelo manteve sensibilidade máxima na classe minoritária sem comprometer o aprendizado das patologias mais recorrentes.</w:t>
      </w:r>
    </w:p>
    <w:p w14:paraId="5C5F75E7" w14:textId="77777777" w:rsidR="00DC78E0" w:rsidRPr="00E95A94" w:rsidRDefault="00DC78E0">
      <w:pPr>
        <w:spacing w:after="120" w:line="360" w:lineRule="auto"/>
        <w:ind w:firstLine="709"/>
        <w:jc w:val="both"/>
        <w:rPr>
          <w:lang w:val="pt-BR"/>
        </w:rPr>
      </w:pPr>
    </w:p>
    <w:p w14:paraId="369CF748" w14:textId="636A2285" w:rsidR="006A744D" w:rsidRPr="00E95A94" w:rsidRDefault="00000000" w:rsidP="00DC78E0">
      <w:pPr>
        <w:pStyle w:val="Ttulo2"/>
        <w:rPr>
          <w:lang w:val="pt-BR"/>
        </w:rPr>
      </w:pPr>
      <w:bookmarkStart w:id="10" w:name="_Toc243686820"/>
      <w:r w:rsidRPr="00E95A94">
        <w:rPr>
          <w:lang w:val="pt-BR"/>
        </w:rPr>
        <w:t xml:space="preserve">2.4 Matriz de Confusão </w:t>
      </w:r>
      <m:oMath>
        <m:r>
          <m:rPr>
            <m:sty m:val="bi"/>
          </m:rPr>
          <w:rPr>
            <w:rFonts w:ascii="Cambria Math" w:hAnsi="Cambria Math"/>
            <w:lang w:val="pt-BR"/>
          </w:rPr>
          <m:t>38</m:t>
        </m:r>
        <m:r>
          <m:rPr>
            <m:sty m:val="bi"/>
          </m:rPr>
          <w:rPr>
            <w:rFonts w:ascii="Cambria Math" w:hAnsi="Cambria Math"/>
            <w:lang w:val="pt-BR"/>
          </w:rPr>
          <m:t>x</m:t>
        </m:r>
        <m:r>
          <m:rPr>
            <m:sty m:val="bi"/>
          </m:rPr>
          <w:rPr>
            <w:rFonts w:ascii="Cambria Math" w:hAnsi="Cambria Math"/>
            <w:lang w:val="pt-BR"/>
          </w:rPr>
          <m:t>38</m:t>
        </m:r>
      </m:oMath>
      <w:r w:rsidRPr="00E95A94">
        <w:rPr>
          <w:lang w:val="pt-BR"/>
        </w:rPr>
        <w:t xml:space="preserve"> e Análise dos Casos Limítrofes</w:t>
      </w:r>
      <w:bookmarkEnd w:id="10"/>
    </w:p>
    <w:p w14:paraId="3EC745D2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 matriz de confusão normalizada por </w:t>
      </w:r>
      <w:r w:rsidRPr="00DC78E0">
        <w:rPr>
          <w:rFonts w:ascii="Arial" w:hAnsi="Arial"/>
          <w:color w:val="000000"/>
          <w:sz w:val="24"/>
          <w:lang w:val="pt-BR"/>
        </w:rPr>
        <w:t>revocação (Figura 3) a</w:t>
      </w:r>
      <w:r w:rsidRPr="00E95A94">
        <w:rPr>
          <w:rFonts w:ascii="Arial" w:hAnsi="Arial"/>
          <w:color w:val="000000"/>
          <w:sz w:val="24"/>
          <w:lang w:val="pt-BR"/>
        </w:rPr>
        <w:t xml:space="preserve">presenta concentração quase absoluta na diagonal principal em todas as 38 classes (com índices superiores a 0,97). A taxa total de erro residual limitou-se a </w:t>
      </w:r>
      <w:r w:rsidRPr="00DC78E0">
        <w:rPr>
          <w:rFonts w:ascii="Arial" w:hAnsi="Arial"/>
          <w:bCs/>
          <w:color w:val="000000"/>
          <w:sz w:val="24"/>
          <w:lang w:val="pt-BR"/>
        </w:rPr>
        <w:t>0,59%</w:t>
      </w:r>
      <w:r w:rsidRPr="00E95A94">
        <w:rPr>
          <w:rFonts w:ascii="Arial" w:hAnsi="Arial"/>
          <w:color w:val="000000"/>
          <w:sz w:val="24"/>
          <w:lang w:val="pt-BR"/>
        </w:rPr>
        <w:t>, correspondendo a 48 classificações divergentes em um universo de 8.146 amostras de teste.</w:t>
      </w:r>
    </w:p>
    <w:p w14:paraId="7DCE59C2" w14:textId="1FE872DB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Ao auditar detalhadamente esses 48 casos com base no </w:t>
      </w:r>
      <w:r w:rsidRPr="00E95A94">
        <w:rPr>
          <w:rFonts w:ascii="Consolas" w:hAnsi="Consolas"/>
          <w:color w:val="212121"/>
          <w:lang w:val="pt-BR"/>
        </w:rPr>
        <w:t>classification_report.csv</w:t>
      </w:r>
      <w:r w:rsidRPr="00E95A94">
        <w:rPr>
          <w:rFonts w:ascii="Arial" w:hAnsi="Arial"/>
          <w:color w:val="000000"/>
          <w:sz w:val="24"/>
          <w:lang w:val="pt-BR"/>
        </w:rPr>
        <w:t xml:space="preserve">, constatamos que os erros </w:t>
      </w:r>
      <w:r w:rsidR="00DC78E0" w:rsidRPr="00E95A94">
        <w:rPr>
          <w:rFonts w:ascii="Arial" w:hAnsi="Arial"/>
          <w:color w:val="000000"/>
          <w:sz w:val="24"/>
          <w:lang w:val="pt-BR"/>
        </w:rPr>
        <w:t>se concentram</w:t>
      </w:r>
      <w:r w:rsidRPr="00E95A94">
        <w:rPr>
          <w:rFonts w:ascii="Arial" w:hAnsi="Arial"/>
          <w:color w:val="000000"/>
          <w:sz w:val="24"/>
          <w:lang w:val="pt-BR"/>
        </w:rPr>
        <w:t xml:space="preserve"> em patologias </w:t>
      </w:r>
      <w:r w:rsidRPr="00DC78E0">
        <w:rPr>
          <w:rFonts w:ascii="Arial" w:hAnsi="Arial"/>
          <w:color w:val="000000"/>
          <w:sz w:val="24"/>
          <w:lang w:val="pt-BR"/>
        </w:rPr>
        <w:t>com forte semelhança morfológica nos estágios iniciais</w:t>
      </w:r>
      <w:r w:rsidRPr="00E95A94">
        <w:rPr>
          <w:rFonts w:ascii="Arial" w:hAnsi="Arial"/>
          <w:color w:val="000000"/>
          <w:sz w:val="24"/>
          <w:lang w:val="pt-BR"/>
        </w:rPr>
        <w:t>:</w:t>
      </w:r>
    </w:p>
    <w:p w14:paraId="70566AD3" w14:textId="7417FCE7" w:rsidR="006A744D" w:rsidRPr="00E95A94" w:rsidRDefault="00000000">
      <w:pPr>
        <w:spacing w:before="40" w:after="80" w:line="312" w:lineRule="auto"/>
        <w:ind w:left="709" w:hanging="340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1. Milho (Corn):</w:t>
      </w:r>
      <w:r w:rsidRPr="00E95A94">
        <w:rPr>
          <w:rFonts w:ascii="Arial" w:hAnsi="Arial"/>
          <w:color w:val="000000"/>
          <w:sz w:val="23"/>
          <w:lang w:val="pt-BR"/>
        </w:rPr>
        <w:t xml:space="preserve"> Confusão entre 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Cercospora_leaf_spot</w:t>
      </w:r>
      <w:proofErr w:type="spellEnd"/>
      <w:r w:rsidRPr="00E95A94">
        <w:rPr>
          <w:rFonts w:ascii="Consolas" w:hAnsi="Consolas"/>
          <w:color w:val="212121"/>
          <w:sz w:val="21"/>
          <w:lang w:val="pt-BR"/>
        </w:rPr>
        <w:t xml:space="preserve"> 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Gray_leaf_spot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e 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Northern_Leaf_Blight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(15 casos em que a Mancha de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Turcicum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foi identificada como Cercosporiose, resultando em precisão de 83,70% para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Cercospora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e sensibilidade de 89,80% para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Turcicum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>). Durante as primeiras 72 horas de infecção, ambas as doenças produzem estrias necróticas lineares e estreitas paralelas às nervuras secundárias da folha, cuja diferenciação visual a olho nu é desafiadora até mesmo para profissionais experientes (Casela et al., 2006).</w:t>
      </w:r>
    </w:p>
    <w:p w14:paraId="3E4D0A87" w14:textId="6D707078" w:rsidR="006A744D" w:rsidRDefault="00000000">
      <w:pPr>
        <w:spacing w:before="40" w:after="80" w:line="312" w:lineRule="auto"/>
        <w:ind w:left="709" w:hanging="340"/>
        <w:jc w:val="both"/>
        <w:rPr>
          <w:rFonts w:ascii="Arial" w:hAnsi="Arial"/>
          <w:color w:val="000000"/>
          <w:sz w:val="23"/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2. Tomate (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Tomato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>):</w:t>
      </w:r>
      <w:r w:rsidRPr="00E95A94">
        <w:rPr>
          <w:rFonts w:ascii="Arial" w:hAnsi="Arial"/>
          <w:color w:val="000000"/>
          <w:sz w:val="23"/>
          <w:lang w:val="pt-BR"/>
        </w:rPr>
        <w:t xml:space="preserve"> Casos limítrofes entre 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Target_Spot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(Mancha Alvo), 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Early_blight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(Pinta Preta) e </w:t>
      </w:r>
      <w:proofErr w:type="spellStart"/>
      <w:r w:rsidRPr="00E95A94">
        <w:rPr>
          <w:rFonts w:ascii="Consolas" w:hAnsi="Consolas"/>
          <w:color w:val="212121"/>
          <w:sz w:val="21"/>
          <w:lang w:val="pt-BR"/>
        </w:rPr>
        <w:t>Late_blight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(Requeima). Em folíolos muito jovens, as lesões necróticas ainda não apresentam os anéis concêntricos típicos, manifestando-se como manchas aquosas escuras muito similares aos danos causados pelo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oomiceto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da requeima.</w:t>
      </w:r>
    </w:p>
    <w:p w14:paraId="0F1C5D7B" w14:textId="77777777" w:rsidR="00DC78E0" w:rsidRPr="00E95A94" w:rsidRDefault="00DC78E0">
      <w:pPr>
        <w:spacing w:before="40" w:after="80" w:line="312" w:lineRule="auto"/>
        <w:ind w:left="709" w:hanging="340"/>
        <w:jc w:val="both"/>
        <w:rPr>
          <w:lang w:val="pt-BR"/>
        </w:rPr>
      </w:pPr>
    </w:p>
    <w:p w14:paraId="2C99A9D9" w14:textId="2E923E58" w:rsidR="006A744D" w:rsidRPr="00DC78E0" w:rsidRDefault="00DC78E0" w:rsidP="00DC78E0">
      <w:pPr>
        <w:pStyle w:val="Ttulo2"/>
        <w:rPr>
          <w:lang w:val="pt-BR"/>
        </w:rPr>
      </w:pPr>
      <w:bookmarkStart w:id="11" w:name="_Toc243686821"/>
      <w:r w:rsidRPr="00DC78E0">
        <w:rPr>
          <w:rFonts w:asciiTheme="minorHAnsi" w:eastAsiaTheme="minorEastAsia" w:hAnsiTheme="minorHAnsi" w:cstheme="minorBidi"/>
          <w:lang w:val="pt-BR"/>
        </w:rPr>
        <w:lastRenderedPageBreak/>
        <w:t xml:space="preserve">2.5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Protocolo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de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Engenharia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de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Confiabilidade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e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Limiar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de</w:t>
      </w:r>
      <w:r w:rsidRPr="00DC78E0">
        <w:rPr>
          <w:rFonts w:asciiTheme="minorHAnsi" w:eastAsiaTheme="minorEastAsia" w:hAnsiTheme="minorHAnsi" w:cstheme="minorBidi"/>
          <w:lang w:val="pt-BR"/>
        </w:rPr>
        <w:t xml:space="preserve"> 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Decis</w:t>
      </w:r>
      <w:r w:rsidRPr="00DC78E0">
        <w:rPr>
          <w:rFonts w:asciiTheme="minorHAnsi" w:eastAsiaTheme="minorEastAsia" w:hAnsiTheme="minorHAnsi" w:cstheme="minorBidi"/>
          <w:lang w:val="pt-BR"/>
        </w:rPr>
        <w:t>ã</w:t>
      </w:r>
      <w:r w:rsidRPr="00DC78E0">
        <w:rPr>
          <w:rFonts w:asciiTheme="minorHAnsi" w:eastAsiaTheme="minorEastAsia" w:hAnsiTheme="minorHAnsi" w:cstheme="minorBidi"/>
          <w:iCs/>
          <w:lang w:val="pt-BR"/>
        </w:rPr>
        <w:t>o</w:t>
      </w:r>
      <w:bookmarkEnd w:id="11"/>
    </w:p>
    <w:p w14:paraId="1E15A447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Para dar segurança operacional ao agrônomo e evitar tomadas de decisão errôneas no manejo químico, incorporamos dois mecanismos defensivos ao produto:</w:t>
      </w:r>
    </w:p>
    <w:p w14:paraId="3F4C0558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Janela Diagnóstica Top-3 (99,96%):</w:t>
      </w:r>
      <w:r w:rsidRPr="00E95A94">
        <w:rPr>
          <w:rFonts w:ascii="Arial" w:hAnsi="Arial"/>
          <w:color w:val="000000"/>
          <w:sz w:val="23"/>
          <w:lang w:val="pt-BR"/>
        </w:rPr>
        <w:t xml:space="preserve"> A interface exibe a patologia mais provável acompanhada das duas hipóteses seguintes com seus respectivos percentuais de certeza;</w:t>
      </w:r>
    </w:p>
    <w:p w14:paraId="6275DABB" w14:textId="0081C56C" w:rsidR="006A744D" w:rsidRPr="00DC78E0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 xml:space="preserve">Limiar de Confiança a 85% (Confidence 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Threshold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>):</w:t>
      </w:r>
      <w:r w:rsidRPr="00E95A94">
        <w:rPr>
          <w:rFonts w:ascii="Arial" w:hAnsi="Arial"/>
          <w:color w:val="000000"/>
          <w:sz w:val="23"/>
          <w:lang w:val="pt-BR"/>
        </w:rPr>
        <w:t xml:space="preserve"> Se a probabilidade máxima da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Softmax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for inferior a 85%, o aplicativo exibe a indicação </w:t>
      </w:r>
      <w:r w:rsidRPr="00E95A94">
        <w:rPr>
          <w:rFonts w:ascii="Arial" w:hAnsi="Arial"/>
          <w:i/>
          <w:color w:val="000000"/>
          <w:sz w:val="23"/>
          <w:lang w:val="pt-BR"/>
        </w:rPr>
        <w:t>"Diagnóstico com Similaridade Morfológica"</w:t>
      </w:r>
      <w:r w:rsidRPr="00E95A94">
        <w:rPr>
          <w:rFonts w:ascii="Arial" w:hAnsi="Arial"/>
          <w:color w:val="000000"/>
          <w:sz w:val="23"/>
          <w:lang w:val="pt-BR"/>
        </w:rPr>
        <w:t>, orientando o operador a coletar novas imagens sob outro ângulo de iluminação ou separar uma amostra para envio ao laboratório agronômico de apoio.</w:t>
      </w:r>
    </w:p>
    <w:p w14:paraId="186DCDF5" w14:textId="77777777" w:rsidR="00DC78E0" w:rsidRPr="00E95A94" w:rsidRDefault="00DC78E0" w:rsidP="00DC78E0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5E552900" w14:textId="72CC50CC" w:rsidR="006A744D" w:rsidRPr="00E95A94" w:rsidRDefault="00000000" w:rsidP="00DC78E0">
      <w:pPr>
        <w:pStyle w:val="Ttulo1"/>
        <w:rPr>
          <w:lang w:val="pt-BR"/>
        </w:rPr>
      </w:pPr>
      <w:bookmarkStart w:id="12" w:name="_Toc243686822"/>
      <w:r w:rsidRPr="00E95A94">
        <w:rPr>
          <w:lang w:val="pt-BR"/>
        </w:rPr>
        <w:t>3 ESPECIFICAÇÃO TÉCNICA DO PRODUTO: AGROSENSE MOBILE</w:t>
      </w:r>
      <w:bookmarkEnd w:id="12"/>
    </w:p>
    <w:p w14:paraId="0412C284" w14:textId="77777777" w:rsidR="006A744D" w:rsidRPr="00E95A94" w:rsidRDefault="00000000" w:rsidP="00DC78E0">
      <w:pPr>
        <w:pStyle w:val="Ttulo2"/>
        <w:rPr>
          <w:lang w:val="pt-BR"/>
        </w:rPr>
      </w:pPr>
      <w:bookmarkStart w:id="13" w:name="_Toc243686823"/>
      <w:r w:rsidRPr="00E95A94">
        <w:rPr>
          <w:lang w:val="pt-BR"/>
        </w:rPr>
        <w:t xml:space="preserve">3.1 Arquitetura e Engenharia de Aplicação </w:t>
      </w:r>
      <w:proofErr w:type="spellStart"/>
      <w:r w:rsidRPr="00E95A94">
        <w:rPr>
          <w:lang w:val="pt-BR"/>
        </w:rPr>
        <w:t>On</w:t>
      </w:r>
      <w:proofErr w:type="spellEnd"/>
      <w:r w:rsidRPr="00E95A94">
        <w:rPr>
          <w:lang w:val="pt-BR"/>
        </w:rPr>
        <w:t>-Device (Edge AI)</w:t>
      </w:r>
      <w:bookmarkEnd w:id="13"/>
    </w:p>
    <w:p w14:paraId="5EBCE970" w14:textId="5D87043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O aplicativo </w:t>
      </w:r>
      <w:proofErr w:type="spellStart"/>
      <w:r w:rsidRPr="00E95A94">
        <w:rPr>
          <w:rFonts w:ascii="Arial" w:hAnsi="Arial"/>
          <w:b/>
          <w:color w:val="000000"/>
          <w:sz w:val="24"/>
          <w:lang w:val="pt-BR"/>
        </w:rPr>
        <w:t>AgroSense</w:t>
      </w:r>
      <w:proofErr w:type="spellEnd"/>
      <w:r w:rsidRPr="00E95A94">
        <w:rPr>
          <w:rFonts w:ascii="Arial" w:hAnsi="Arial"/>
          <w:b/>
          <w:color w:val="000000"/>
          <w:sz w:val="24"/>
          <w:lang w:val="pt-BR"/>
        </w:rPr>
        <w:t xml:space="preserve"> Mobile</w:t>
      </w:r>
      <w:r w:rsidRPr="00E95A94">
        <w:rPr>
          <w:rFonts w:ascii="Arial" w:hAnsi="Arial"/>
          <w:color w:val="000000"/>
          <w:sz w:val="24"/>
          <w:lang w:val="pt-BR"/>
        </w:rPr>
        <w:t xml:space="preserve"> </w:t>
      </w:r>
      <w:r w:rsidRPr="00DC78E0">
        <w:rPr>
          <w:rFonts w:ascii="Arial" w:hAnsi="Arial"/>
          <w:color w:val="000000"/>
          <w:sz w:val="24"/>
          <w:lang w:val="pt-BR"/>
        </w:rPr>
        <w:t>foi projetado para operar com total autonomia off-line,</w:t>
      </w:r>
      <w:r w:rsidRPr="00E95A94">
        <w:rPr>
          <w:rFonts w:ascii="Arial" w:hAnsi="Arial"/>
          <w:color w:val="000000"/>
          <w:sz w:val="24"/>
          <w:lang w:val="pt-BR"/>
        </w:rPr>
        <w:t xml:space="preserve"> eliminando a dependência de conectividade 4G ou 5G, que é frequentemente inacessível em áreas rurais brasileiras.</w:t>
      </w:r>
    </w:p>
    <w:p w14:paraId="10546354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 estrutura do software (ilustrada </w:t>
      </w:r>
      <w:r w:rsidRPr="00DC78E0">
        <w:rPr>
          <w:rFonts w:ascii="Arial" w:hAnsi="Arial"/>
          <w:color w:val="000000"/>
          <w:sz w:val="24"/>
          <w:lang w:val="pt-BR"/>
        </w:rPr>
        <w:t>na Figura 1) organiza</w:t>
      </w:r>
      <w:r w:rsidRPr="00E95A94">
        <w:rPr>
          <w:rFonts w:ascii="Arial" w:hAnsi="Arial"/>
          <w:color w:val="000000"/>
          <w:sz w:val="24"/>
          <w:lang w:val="pt-BR"/>
        </w:rPr>
        <w:t>-se em três camadas integradas:</w:t>
      </w:r>
    </w:p>
    <w:p w14:paraId="107347BD" w14:textId="77777777" w:rsidR="006A744D" w:rsidRPr="00E95A94" w:rsidRDefault="00000000">
      <w:pPr>
        <w:spacing w:before="40" w:after="80" w:line="312" w:lineRule="auto"/>
        <w:ind w:left="709" w:hanging="340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1. Camada de Captura e Apresentação (UI/UX Mobile):</w:t>
      </w:r>
      <w:r w:rsidRPr="00E95A94">
        <w:rPr>
          <w:rFonts w:ascii="Arial" w:hAnsi="Arial"/>
          <w:color w:val="000000"/>
          <w:sz w:val="23"/>
          <w:lang w:val="pt-BR"/>
        </w:rPr>
        <w:t xml:space="preserve"> Interface desenvolvida em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Flutter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com guias dinâmicas de enquadramento, sensor de luminosidade ambiente e foco assistido, conduzindo o operador a capturar o limbo foliar na distância focal adequada;</w:t>
      </w:r>
    </w:p>
    <w:p w14:paraId="3193D64F" w14:textId="77777777" w:rsidR="006A744D" w:rsidRPr="00E95A94" w:rsidRDefault="00000000">
      <w:pPr>
        <w:spacing w:before="40" w:after="80" w:line="312" w:lineRule="auto"/>
        <w:ind w:left="709" w:hanging="340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2. Motor Edge AI Embarcado (Core Local):</w:t>
      </w:r>
      <w:r w:rsidRPr="00E95A94">
        <w:rPr>
          <w:rFonts w:ascii="Arial" w:hAnsi="Arial"/>
          <w:color w:val="000000"/>
          <w:sz w:val="23"/>
          <w:lang w:val="pt-BR"/>
        </w:rPr>
        <w:t xml:space="preserve"> Grafo compilado da MobileNetV2 executado via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runtime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otimizado (ONNX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Runtime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Mobile), com aproveitamento de aceleração por hardware (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NPUs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dos chipsets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Snapdragon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,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MediaTek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APU e Apple Neural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Engine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>);</w:t>
      </w:r>
    </w:p>
    <w:p w14:paraId="0F915477" w14:textId="77777777" w:rsidR="006A744D" w:rsidRDefault="00000000">
      <w:pPr>
        <w:spacing w:before="40" w:after="80" w:line="312" w:lineRule="auto"/>
        <w:ind w:left="709" w:hanging="340"/>
        <w:jc w:val="both"/>
        <w:rPr>
          <w:rFonts w:ascii="Arial" w:hAnsi="Arial"/>
          <w:color w:val="000000"/>
          <w:sz w:val="23"/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3. Módulo de Suporte Agronômico Local:</w:t>
      </w:r>
      <w:r w:rsidRPr="00E95A94">
        <w:rPr>
          <w:rFonts w:ascii="Arial" w:hAnsi="Arial"/>
          <w:color w:val="000000"/>
          <w:sz w:val="23"/>
          <w:lang w:val="pt-BR"/>
        </w:rPr>
        <w:t xml:space="preserve"> Base de dados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SQLite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embarcada e criptografada contendo bulas oficiais registradas no MAPA, princípios ativos recomendados e diretrizes do Manejo Integrado de Pragas e Doenças (MIP/MID).</w:t>
      </w:r>
    </w:p>
    <w:p w14:paraId="312F2FAC" w14:textId="77777777" w:rsidR="00DC78E0" w:rsidRPr="00E95A94" w:rsidRDefault="00DC78E0">
      <w:pPr>
        <w:spacing w:before="40" w:after="80" w:line="312" w:lineRule="auto"/>
        <w:ind w:left="709" w:hanging="340"/>
        <w:jc w:val="both"/>
        <w:rPr>
          <w:lang w:val="pt-BR"/>
        </w:rPr>
      </w:pPr>
    </w:p>
    <w:p w14:paraId="556222CF" w14:textId="06A2E89E" w:rsidR="006A744D" w:rsidRPr="00E95A94" w:rsidRDefault="00000000" w:rsidP="00DC78E0">
      <w:pPr>
        <w:pStyle w:val="Ttulo2"/>
        <w:rPr>
          <w:lang w:val="pt-BR"/>
        </w:rPr>
      </w:pPr>
      <w:bookmarkStart w:id="14" w:name="_Toc243686824"/>
      <w:r w:rsidRPr="00E95A94">
        <w:rPr>
          <w:lang w:val="pt-BR"/>
        </w:rPr>
        <w:lastRenderedPageBreak/>
        <w:t>3.2 Pipeline Local de Pré-processamento e Inferência em Baixa Latência</w:t>
      </w:r>
      <w:bookmarkEnd w:id="14"/>
    </w:p>
    <w:p w14:paraId="30DE4747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O fluxo de processamento ocorre integralmente no celular em cinco etapas sequenciais:</w:t>
      </w:r>
    </w:p>
    <w:p w14:paraId="5A612DBB" w14:textId="77777777" w:rsidR="006A744D" w:rsidRPr="00DC78E0" w:rsidRDefault="00000000">
      <w:pPr>
        <w:spacing w:before="40" w:after="80" w:line="312" w:lineRule="auto"/>
        <w:ind w:left="709" w:hanging="340"/>
        <w:jc w:val="both"/>
        <w:rPr>
          <w:color w:val="000000" w:themeColor="text1"/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1. Aquisição da Imagem:</w:t>
      </w:r>
      <w:r w:rsidRPr="00E95A94">
        <w:rPr>
          <w:rFonts w:ascii="Arial" w:hAnsi="Arial"/>
          <w:color w:val="000000"/>
          <w:sz w:val="23"/>
          <w:lang w:val="pt-BR"/>
        </w:rPr>
        <w:t xml:space="preserve"> Captura do quadro pela câmera nativa com conversão forçada </w:t>
      </w:r>
      <w:r w:rsidRPr="00DC78E0">
        <w:rPr>
          <w:rFonts w:ascii="Arial" w:hAnsi="Arial"/>
          <w:color w:val="000000" w:themeColor="text1"/>
          <w:sz w:val="23"/>
          <w:lang w:val="pt-BR"/>
        </w:rPr>
        <w:t>para RGB (descartando canais alfa ou formatos brutos de sensor para evitar incompatibilidades de dimensões);</w:t>
      </w:r>
    </w:p>
    <w:p w14:paraId="5D244EF3" w14:textId="6FC45755" w:rsidR="006A744D" w:rsidRPr="00DC78E0" w:rsidRDefault="00000000">
      <w:pPr>
        <w:spacing w:before="40" w:after="80" w:line="312" w:lineRule="auto"/>
        <w:ind w:left="709" w:hanging="340"/>
        <w:jc w:val="both"/>
        <w:rPr>
          <w:color w:val="000000" w:themeColor="text1"/>
          <w:lang w:val="pt-BR"/>
        </w:rPr>
      </w:pPr>
      <w:r w:rsidRPr="00DC78E0">
        <w:rPr>
          <w:rFonts w:ascii="Arial" w:hAnsi="Arial"/>
          <w:b/>
          <w:color w:val="000000" w:themeColor="text1"/>
          <w:sz w:val="23"/>
          <w:lang w:val="pt-BR"/>
        </w:rPr>
        <w:t>2. Ajuste Espacial:</w:t>
      </w:r>
      <w:r w:rsidRPr="00DC78E0">
        <w:rPr>
          <w:rFonts w:ascii="Arial" w:hAnsi="Arial"/>
          <w:color w:val="000000" w:themeColor="text1"/>
          <w:sz w:val="23"/>
          <w:lang w:val="pt-BR"/>
        </w:rPr>
        <w:t xml:space="preserve"> Redimensionamento </w:t>
      </w:r>
      <w:proofErr w:type="spellStart"/>
      <w:r w:rsidRPr="00DC78E0">
        <w:rPr>
          <w:rFonts w:ascii="Arial" w:hAnsi="Arial"/>
          <w:color w:val="000000" w:themeColor="text1"/>
          <w:sz w:val="23"/>
          <w:lang w:val="pt-BR"/>
        </w:rPr>
        <w:t>bilinear</w:t>
      </w:r>
      <w:proofErr w:type="spellEnd"/>
      <w:r w:rsidRPr="00DC78E0">
        <w:rPr>
          <w:rFonts w:ascii="Arial" w:hAnsi="Arial"/>
          <w:color w:val="000000" w:themeColor="text1"/>
          <w:sz w:val="23"/>
          <w:lang w:val="pt-BR"/>
        </w:rPr>
        <w:t xml:space="preserve"> de alta velocidade para a resolução padrão de </w:t>
      </w:r>
      <m:oMath>
        <m:r>
          <w:rPr>
            <w:rFonts w:ascii="Cambria Math" w:hAnsi="Cambria Math"/>
            <w:color w:val="000000" w:themeColor="text1"/>
            <w:sz w:val="23"/>
            <w:lang w:val="pt-BR"/>
          </w:rPr>
          <m:t>224 × 224 × 3</m:t>
        </m:r>
      </m:oMath>
      <w:r w:rsidRPr="00DC78E0">
        <w:rPr>
          <w:rFonts w:ascii="Arial" w:hAnsi="Arial"/>
          <w:color w:val="000000" w:themeColor="text1"/>
          <w:sz w:val="23"/>
          <w:lang w:val="pt-BR"/>
        </w:rPr>
        <w:t xml:space="preserve"> pixels;</w:t>
      </w:r>
    </w:p>
    <w:p w14:paraId="54F5AF52" w14:textId="6375C5DB" w:rsidR="006A744D" w:rsidRPr="00DC78E0" w:rsidRDefault="00000000">
      <w:pPr>
        <w:spacing w:before="40" w:after="80" w:line="312" w:lineRule="auto"/>
        <w:ind w:left="709" w:hanging="340"/>
        <w:jc w:val="both"/>
        <w:rPr>
          <w:color w:val="000000" w:themeColor="text1"/>
          <w:lang w:val="pt-BR"/>
        </w:rPr>
      </w:pPr>
      <w:r w:rsidRPr="00DC78E0">
        <w:rPr>
          <w:rFonts w:ascii="Arial" w:hAnsi="Arial"/>
          <w:b/>
          <w:color w:val="000000" w:themeColor="text1"/>
          <w:sz w:val="23"/>
          <w:lang w:val="pt-BR"/>
        </w:rPr>
        <w:t>3. Padronização Estatística:</w:t>
      </w:r>
      <w:r w:rsidRPr="00DC78E0">
        <w:rPr>
          <w:rFonts w:ascii="Arial" w:hAnsi="Arial"/>
          <w:color w:val="000000" w:themeColor="text1"/>
          <w:sz w:val="23"/>
          <w:lang w:val="pt-BR"/>
        </w:rPr>
        <w:t xml:space="preserve"> Aplicação da normalização afim baseada nos parâmetros do </w:t>
      </w:r>
      <w:proofErr w:type="spellStart"/>
      <w:r w:rsidRPr="00DC78E0">
        <w:rPr>
          <w:rFonts w:ascii="Arial" w:hAnsi="Arial"/>
          <w:color w:val="000000" w:themeColor="text1"/>
          <w:sz w:val="23"/>
          <w:lang w:val="pt-BR"/>
        </w:rPr>
        <w:t>ImageNet</w:t>
      </w:r>
      <w:proofErr w:type="spellEnd"/>
      <w:r w:rsidRPr="00DC78E0">
        <w:rPr>
          <w:rFonts w:ascii="Arial" w:hAnsi="Arial"/>
          <w:color w:val="000000" w:themeColor="text1"/>
          <w:sz w:val="23"/>
          <w:lang w:val="pt-BR"/>
        </w:rPr>
        <w:t xml:space="preserve"> (</w:t>
      </w:r>
      <m:oMath>
        <m:r>
          <w:rPr>
            <w:rFonts w:ascii="Cambria Math" w:hAnsi="Cambria Math"/>
            <w:color w:val="000000" w:themeColor="text1"/>
            <w:sz w:val="23"/>
          </w:rPr>
          <m:t>μ</m:t>
        </m:r>
        <m:r>
          <w:rPr>
            <w:rFonts w:ascii="Cambria Math" w:hAnsi="Cambria Math"/>
            <w:color w:val="000000" w:themeColor="text1"/>
            <w:sz w:val="23"/>
            <w:lang w:val="pt-BR"/>
          </w:rPr>
          <m:t xml:space="preserve"> = [0,485; 0,456; 0,406]</m:t>
        </m:r>
      </m:oMath>
      <w:r w:rsidRPr="00DC78E0">
        <w:rPr>
          <w:rFonts w:ascii="Arial" w:hAnsi="Arial"/>
          <w:color w:val="000000" w:themeColor="text1"/>
          <w:sz w:val="23"/>
          <w:lang w:val="pt-BR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3"/>
          </w:rPr>
          <m:t>σ</m:t>
        </m:r>
        <m:r>
          <w:rPr>
            <w:rFonts w:ascii="Cambria Math" w:hAnsi="Cambria Math"/>
            <w:color w:val="000000" w:themeColor="text1"/>
            <w:sz w:val="23"/>
            <w:lang w:val="pt-BR"/>
          </w:rPr>
          <m:t xml:space="preserve"> = [0,229; 0,224; 0,225]</m:t>
        </m:r>
      </m:oMath>
      <w:r w:rsidRPr="00DC78E0">
        <w:rPr>
          <w:rFonts w:ascii="Arial" w:hAnsi="Arial"/>
          <w:color w:val="000000" w:themeColor="text1"/>
          <w:sz w:val="23"/>
          <w:lang w:val="pt-BR"/>
        </w:rPr>
        <w:t>);</w:t>
      </w:r>
    </w:p>
    <w:p w14:paraId="7053BDF8" w14:textId="77777777" w:rsidR="006A744D" w:rsidRPr="00E95A94" w:rsidRDefault="00000000">
      <w:pPr>
        <w:spacing w:before="40" w:after="80" w:line="312" w:lineRule="auto"/>
        <w:ind w:left="709" w:hanging="340"/>
        <w:jc w:val="both"/>
        <w:rPr>
          <w:lang w:val="pt-BR"/>
        </w:rPr>
      </w:pPr>
      <w:r w:rsidRPr="00DC78E0">
        <w:rPr>
          <w:rFonts w:ascii="Arial" w:hAnsi="Arial"/>
          <w:b/>
          <w:color w:val="000000" w:themeColor="text1"/>
          <w:sz w:val="23"/>
          <w:lang w:val="pt-BR"/>
        </w:rPr>
        <w:t>4. Inferência Convolucional:</w:t>
      </w:r>
      <w:r w:rsidRPr="00DC78E0">
        <w:rPr>
          <w:rFonts w:ascii="Arial" w:hAnsi="Arial"/>
          <w:color w:val="000000" w:themeColor="text1"/>
          <w:sz w:val="23"/>
          <w:lang w:val="pt-BR"/>
        </w:rPr>
        <w:t xml:space="preserve"> Propagação direta (</w:t>
      </w:r>
      <w:proofErr w:type="spellStart"/>
      <w:r w:rsidRPr="00DC78E0">
        <w:rPr>
          <w:rFonts w:ascii="Arial" w:hAnsi="Arial"/>
          <w:i/>
          <w:color w:val="000000" w:themeColor="text1"/>
          <w:sz w:val="23"/>
          <w:lang w:val="pt-BR"/>
        </w:rPr>
        <w:t>forward</w:t>
      </w:r>
      <w:proofErr w:type="spellEnd"/>
      <w:r w:rsidRPr="00DC78E0">
        <w:rPr>
          <w:rFonts w:ascii="Arial" w:hAnsi="Arial"/>
          <w:i/>
          <w:color w:val="000000" w:themeColor="text1"/>
          <w:sz w:val="23"/>
          <w:lang w:val="pt-BR"/>
        </w:rPr>
        <w:t xml:space="preserve"> </w:t>
      </w:r>
      <w:proofErr w:type="spellStart"/>
      <w:r w:rsidRPr="00DC78E0">
        <w:rPr>
          <w:rFonts w:ascii="Arial" w:hAnsi="Arial"/>
          <w:i/>
          <w:color w:val="000000" w:themeColor="text1"/>
          <w:sz w:val="23"/>
          <w:lang w:val="pt-BR"/>
        </w:rPr>
        <w:t>pass</w:t>
      </w:r>
      <w:proofErr w:type="spellEnd"/>
      <w:r w:rsidRPr="00DC78E0">
        <w:rPr>
          <w:rFonts w:ascii="Arial" w:hAnsi="Arial"/>
          <w:color w:val="000000" w:themeColor="text1"/>
          <w:sz w:val="23"/>
          <w:lang w:val="pt-BR"/>
        </w:rPr>
        <w:t>) pelas camadas residuais invertidas da MobileNetV2</w:t>
      </w:r>
      <w:r w:rsidRPr="00E95A94">
        <w:rPr>
          <w:rFonts w:ascii="Arial" w:hAnsi="Arial"/>
          <w:color w:val="000000"/>
          <w:sz w:val="23"/>
          <w:lang w:val="pt-BR"/>
        </w:rPr>
        <w:t xml:space="preserve">, com </w:t>
      </w:r>
      <w:r w:rsidRPr="00DC78E0">
        <w:rPr>
          <w:rFonts w:ascii="Arial" w:hAnsi="Arial"/>
          <w:color w:val="000000"/>
          <w:sz w:val="23"/>
          <w:lang w:val="pt-BR"/>
        </w:rPr>
        <w:t>latência típica de 25 a 30 milissegundos em chipsets intermediário</w:t>
      </w:r>
      <w:r w:rsidRPr="00E95A94">
        <w:rPr>
          <w:rFonts w:ascii="Arial" w:hAnsi="Arial"/>
          <w:color w:val="000000"/>
          <w:sz w:val="23"/>
          <w:lang w:val="pt-BR"/>
        </w:rPr>
        <w:t>s;</w:t>
      </w:r>
    </w:p>
    <w:p w14:paraId="57ABC37C" w14:textId="77777777" w:rsidR="006A744D" w:rsidRDefault="00000000">
      <w:pPr>
        <w:spacing w:before="40" w:after="80" w:line="312" w:lineRule="auto"/>
        <w:ind w:left="709" w:hanging="340"/>
        <w:jc w:val="both"/>
        <w:rPr>
          <w:rFonts w:ascii="Arial" w:hAnsi="Arial"/>
          <w:color w:val="000000"/>
          <w:sz w:val="23"/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 xml:space="preserve">5. Decodificação 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Softmax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>:</w:t>
      </w:r>
      <w:r w:rsidRPr="00E95A94">
        <w:rPr>
          <w:rFonts w:ascii="Arial" w:hAnsi="Arial"/>
          <w:color w:val="000000"/>
          <w:sz w:val="23"/>
          <w:lang w:val="pt-BR"/>
        </w:rPr>
        <w:t xml:space="preserve"> Geração do vetor de probabilidades para as 38 classes e apresentação imediata do diagnóstico na tela.</w:t>
      </w:r>
    </w:p>
    <w:p w14:paraId="46F826FC" w14:textId="77777777" w:rsidR="00DC78E0" w:rsidRPr="00E95A94" w:rsidRDefault="00DC78E0">
      <w:pPr>
        <w:spacing w:before="40" w:after="80" w:line="312" w:lineRule="auto"/>
        <w:ind w:left="709" w:hanging="340"/>
        <w:jc w:val="both"/>
        <w:rPr>
          <w:lang w:val="pt-BR"/>
        </w:rPr>
      </w:pPr>
    </w:p>
    <w:p w14:paraId="73775791" w14:textId="38FC732E" w:rsidR="006A744D" w:rsidRPr="00E95A94" w:rsidRDefault="00000000" w:rsidP="00DC78E0">
      <w:pPr>
        <w:pStyle w:val="Ttulo2"/>
        <w:rPr>
          <w:lang w:val="pt-BR"/>
        </w:rPr>
      </w:pPr>
      <w:bookmarkStart w:id="15" w:name="_Toc243686825"/>
      <w:r w:rsidRPr="00E95A94">
        <w:rPr>
          <w:lang w:val="pt-BR"/>
        </w:rPr>
        <w:t>3.3 Jornada do Usuário e Geração de Laudo Técnico Georreferenciado</w:t>
      </w:r>
      <w:bookmarkEnd w:id="15"/>
    </w:p>
    <w:p w14:paraId="4467489E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O fluxo de utilização foi modelado para integrar-se à rotina prática de inspeção de lavouras:</w:t>
      </w:r>
    </w:p>
    <w:p w14:paraId="4959A173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O técnico ou produtor aponta a câmera para a folha suspeita;</w:t>
      </w:r>
    </w:p>
    <w:p w14:paraId="0E93A0A2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 xml:space="preserve">Em menos de meio segundo, o aplicativo indica a cultura, a patologia detectada, o índice de confiança probabilística e o nível de severidade estimado (conforme demonstrado nos exemplos de </w:t>
      </w:r>
      <w:r w:rsidRPr="00DC78E0">
        <w:rPr>
          <w:rFonts w:ascii="Arial" w:hAnsi="Arial"/>
          <w:color w:val="000000"/>
          <w:sz w:val="23"/>
          <w:lang w:val="pt-BR"/>
        </w:rPr>
        <w:t>teste da Figura 4);</w:t>
      </w:r>
    </w:p>
    <w:p w14:paraId="508610E3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 xml:space="preserve">O sistema gera </w:t>
      </w:r>
      <w:r w:rsidRPr="00DC78E0">
        <w:rPr>
          <w:rFonts w:ascii="Arial" w:hAnsi="Arial"/>
          <w:color w:val="000000"/>
          <w:sz w:val="23"/>
          <w:lang w:val="pt-BR"/>
        </w:rPr>
        <w:t>um Laudo Técnico Fitossanitário contendo</w:t>
      </w:r>
      <w:r w:rsidRPr="00E95A94">
        <w:rPr>
          <w:rFonts w:ascii="Arial" w:hAnsi="Arial"/>
          <w:color w:val="000000"/>
          <w:sz w:val="23"/>
          <w:lang w:val="pt-BR"/>
        </w:rPr>
        <w:t xml:space="preserve"> as coordenadas geográficas captadas pelo receptor GPS do próprio aparelho (que funciona de forma independente da rede celular);</w:t>
      </w:r>
    </w:p>
    <w:p w14:paraId="4242AA7C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As ocorrências são armazenadas no banco local do dispositivo, organizadas por data, cultura, talhão e número do lote.</w:t>
      </w:r>
    </w:p>
    <w:p w14:paraId="12931E9B" w14:textId="77777777" w:rsidR="006A744D" w:rsidRPr="00E95A94" w:rsidRDefault="00000000" w:rsidP="00DC78E0">
      <w:pPr>
        <w:pStyle w:val="Ttulo2"/>
        <w:rPr>
          <w:lang w:val="pt-BR"/>
        </w:rPr>
      </w:pPr>
      <w:bookmarkStart w:id="16" w:name="_Toc243686826"/>
      <w:r w:rsidRPr="00E95A94">
        <w:rPr>
          <w:lang w:val="pt-BR"/>
        </w:rPr>
        <w:t>3.4 Telemetria Assíncrona e Dashboard Epidemiológico Corporativo</w:t>
      </w:r>
      <w:bookmarkEnd w:id="16"/>
    </w:p>
    <w:p w14:paraId="3109E5B2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Embora a inferência ocorra 100% off-line, o aplicativo dispõe de rotinas de sincronização em segundo plano (</w:t>
      </w:r>
      <w:r w:rsidRPr="00E95A94">
        <w:rPr>
          <w:rFonts w:ascii="Arial" w:hAnsi="Arial"/>
          <w:i/>
          <w:color w:val="000000"/>
          <w:sz w:val="24"/>
          <w:lang w:val="pt-BR"/>
        </w:rPr>
        <w:t xml:space="preserve">background </w:t>
      </w:r>
      <w:proofErr w:type="spellStart"/>
      <w:r w:rsidRPr="00E95A94">
        <w:rPr>
          <w:rFonts w:ascii="Arial" w:hAnsi="Arial"/>
          <w:i/>
          <w:color w:val="000000"/>
          <w:sz w:val="24"/>
          <w:lang w:val="pt-BR"/>
        </w:rPr>
        <w:t>sync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>):</w:t>
      </w:r>
    </w:p>
    <w:p w14:paraId="63BD98C8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lastRenderedPageBreak/>
        <w:t xml:space="preserve">Ao retornar à sede da propriedade ou alcançar uma conexão Wi-Fi/4G, os dados dos laudos georreferenciados são sincronizados com o ambiente em nuvem da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AgroSense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>;</w:t>
      </w:r>
    </w:p>
    <w:p w14:paraId="7B9B168E" w14:textId="77777777" w:rsidR="006A744D" w:rsidRPr="00DC78E0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 xml:space="preserve">A diretoria técnica e a equipe </w:t>
      </w:r>
      <w:r w:rsidRPr="00DC78E0">
        <w:rPr>
          <w:rFonts w:ascii="Arial" w:hAnsi="Arial"/>
          <w:color w:val="000000"/>
          <w:sz w:val="23"/>
          <w:lang w:val="pt-BR"/>
        </w:rPr>
        <w:t>agronômica da cooperativa têm acesso a um Dashboard Epidemiológico em Tempo Real, com m</w:t>
      </w:r>
      <w:r w:rsidRPr="00E95A94">
        <w:rPr>
          <w:rFonts w:ascii="Arial" w:hAnsi="Arial"/>
          <w:color w:val="000000"/>
          <w:sz w:val="23"/>
          <w:lang w:val="pt-BR"/>
        </w:rPr>
        <w:t>apas de calor que indicam a evolução espacial de patógenos na região, permitindo intervenções rápidas e compras conjuntas de insumos agrícolas com desconto por volume.</w:t>
      </w:r>
    </w:p>
    <w:p w14:paraId="3DEFBB25" w14:textId="77777777" w:rsidR="00DC78E0" w:rsidRPr="00E95A94" w:rsidRDefault="00DC78E0" w:rsidP="00DC78E0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07BD46FE" w14:textId="306836FA" w:rsidR="006A744D" w:rsidRPr="00E95A94" w:rsidRDefault="00000000" w:rsidP="00DC78E0">
      <w:pPr>
        <w:pStyle w:val="Ttulo1"/>
        <w:rPr>
          <w:lang w:val="pt-BR"/>
        </w:rPr>
      </w:pPr>
      <w:bookmarkStart w:id="17" w:name="_Toc243686827"/>
      <w:r w:rsidRPr="00E95A94">
        <w:rPr>
          <w:lang w:val="pt-BR"/>
        </w:rPr>
        <w:t xml:space="preserve">4 </w:t>
      </w:r>
      <w:r w:rsidR="00AF551A">
        <w:rPr>
          <w:lang w:val="pt-BR"/>
        </w:rPr>
        <w:t>MODELO</w:t>
      </w:r>
      <w:r w:rsidRPr="00E95A94">
        <w:rPr>
          <w:lang w:val="pt-BR"/>
        </w:rPr>
        <w:t xml:space="preserve"> DE NEGÓCIOS E ROI</w:t>
      </w:r>
      <w:bookmarkEnd w:id="17"/>
    </w:p>
    <w:p w14:paraId="03592610" w14:textId="009019F3" w:rsidR="006A744D" w:rsidRPr="00E95A94" w:rsidRDefault="00000000" w:rsidP="00DC78E0">
      <w:pPr>
        <w:pStyle w:val="Ttulo2"/>
        <w:rPr>
          <w:lang w:val="pt-BR"/>
        </w:rPr>
      </w:pPr>
      <w:bookmarkStart w:id="18" w:name="_Toc243686828"/>
      <w:r w:rsidRPr="00E95A94">
        <w:rPr>
          <w:lang w:val="pt-BR"/>
        </w:rPr>
        <w:t>4.1 Business Model Canvas</w:t>
      </w:r>
      <w:bookmarkEnd w:id="18"/>
    </w:p>
    <w:p w14:paraId="0E15F89A" w14:textId="2934F889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O modelo de negócios </w:t>
      </w:r>
      <w:r w:rsidRPr="00DC78E0">
        <w:rPr>
          <w:rFonts w:ascii="Arial" w:hAnsi="Arial"/>
          <w:color w:val="000000"/>
          <w:sz w:val="24"/>
          <w:lang w:val="pt-BR"/>
        </w:rPr>
        <w:t xml:space="preserve">da </w:t>
      </w:r>
      <w:proofErr w:type="spellStart"/>
      <w:r w:rsidRPr="00DC78E0">
        <w:rPr>
          <w:rFonts w:ascii="Arial" w:hAnsi="Arial"/>
          <w:color w:val="000000"/>
          <w:sz w:val="24"/>
          <w:lang w:val="pt-BR"/>
        </w:rPr>
        <w:t>AgroSense</w:t>
      </w:r>
      <w:proofErr w:type="spellEnd"/>
      <w:r w:rsidRPr="00DC78E0">
        <w:rPr>
          <w:rFonts w:ascii="Arial" w:hAnsi="Arial"/>
          <w:color w:val="000000"/>
          <w:sz w:val="24"/>
          <w:lang w:val="pt-BR"/>
        </w:rPr>
        <w:t xml:space="preserve"> </w:t>
      </w:r>
      <w:proofErr w:type="spellStart"/>
      <w:r w:rsidRPr="00DC78E0">
        <w:rPr>
          <w:rFonts w:ascii="Arial" w:hAnsi="Arial"/>
          <w:color w:val="000000"/>
          <w:sz w:val="24"/>
          <w:lang w:val="pt-BR"/>
        </w:rPr>
        <w:t>Analytics</w:t>
      </w:r>
      <w:proofErr w:type="spellEnd"/>
      <w:r w:rsidRPr="00DC78E0">
        <w:rPr>
          <w:rFonts w:ascii="Arial" w:hAnsi="Arial"/>
          <w:color w:val="000000"/>
          <w:sz w:val="24"/>
          <w:lang w:val="pt-BR"/>
        </w:rPr>
        <w:t xml:space="preserve"> opera sob a lógica B2B SaaS (Software as a Service), ate</w:t>
      </w:r>
      <w:r w:rsidRPr="00E95A94">
        <w:rPr>
          <w:rFonts w:ascii="Arial" w:hAnsi="Arial"/>
          <w:color w:val="000000"/>
          <w:sz w:val="24"/>
          <w:lang w:val="pt-BR"/>
        </w:rPr>
        <w:t xml:space="preserve">ndendo diretamente a cooperativas agrícolas e </w:t>
      </w:r>
      <w:r w:rsidRPr="00DC78E0">
        <w:rPr>
          <w:rFonts w:ascii="Arial" w:hAnsi="Arial"/>
          <w:color w:val="000000"/>
          <w:sz w:val="24"/>
          <w:lang w:val="pt-BR"/>
        </w:rPr>
        <w:t xml:space="preserve">empresas de consultoria agronômica. A matriz de 9 blocos </w:t>
      </w:r>
      <w:r w:rsidR="00DC78E0">
        <w:rPr>
          <w:rFonts w:ascii="Arial" w:hAnsi="Arial"/>
          <w:color w:val="000000"/>
          <w:sz w:val="24"/>
          <w:lang w:val="pt-BR"/>
        </w:rPr>
        <w:t xml:space="preserve">do BMC </w:t>
      </w:r>
      <w:r w:rsidRPr="00DC78E0">
        <w:rPr>
          <w:rFonts w:ascii="Arial" w:hAnsi="Arial"/>
          <w:color w:val="000000"/>
          <w:sz w:val="24"/>
          <w:lang w:val="pt-BR"/>
        </w:rPr>
        <w:t>está sintetizada na Tabela 2 e diagramada na Figura 5:</w:t>
      </w:r>
    </w:p>
    <w:p w14:paraId="2C68A453" w14:textId="77777777" w:rsidR="00AF551A" w:rsidRPr="00DC78E0" w:rsidRDefault="00AF551A">
      <w:pPr>
        <w:spacing w:after="120" w:line="360" w:lineRule="auto"/>
        <w:ind w:firstLine="709"/>
        <w:jc w:val="both"/>
        <w:rPr>
          <w:lang w:val="pt-BR"/>
        </w:rPr>
      </w:pPr>
    </w:p>
    <w:p w14:paraId="7BEED5AD" w14:textId="77777777" w:rsidR="006A744D" w:rsidRPr="00E95A94" w:rsidRDefault="00000000">
      <w:pPr>
        <w:keepNext/>
        <w:spacing w:before="24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 xml:space="preserve">Tabela 2 – Business Model Canvas Consolidado da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AgroSense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 xml:space="preserve">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Analytics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 xml:space="preserve"> (Modelo B2B SaaS)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6A744D" w14:paraId="69A73E59" w14:textId="77777777">
        <w:trPr>
          <w:jc w:val="center"/>
        </w:trPr>
        <w:tc>
          <w:tcPr>
            <w:tcW w:w="2551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8854B9" w14:textId="77777777" w:rsidR="006A744D" w:rsidRDefault="00000000"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Bloco do Canvas</w:t>
            </w:r>
          </w:p>
        </w:tc>
        <w:tc>
          <w:tcPr>
            <w:tcW w:w="65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6EEE2" w14:textId="77777777" w:rsidR="006A744D" w:rsidRDefault="00000000"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Especificação Estratégica AgroSense Analytics</w:t>
            </w:r>
          </w:p>
        </w:tc>
      </w:tr>
      <w:tr w:rsidR="006A744D" w:rsidRPr="00E95A94" w14:paraId="7E4105B6" w14:textId="77777777">
        <w:trPr>
          <w:jc w:val="center"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FCBE6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Proposta de Valor</w:t>
            </w:r>
          </w:p>
        </w:tc>
        <w:tc>
          <w:tcPr>
            <w:tcW w:w="6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E2228" w14:textId="646DF47A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Diagnóstico fitopatológico em tempo real (&lt; 50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ms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) 100% off-line via Edge AI; acurácia comprovada de 99,41%; resgate de 5% a 15% de safra; economia de defensivos de R</w:t>
            </w:r>
            <w:r w:rsidR="00DC78E0">
              <w:rPr>
                <w:rFonts w:ascii="Arial" w:hAnsi="Arial"/>
                <w:color w:val="141414"/>
                <w:sz w:val="19"/>
                <w:lang w:val="pt-BR"/>
              </w:rPr>
              <w:t>$</w:t>
            </w:r>
            <w:r w:rsidRPr="00DC78E0">
              <w:rPr>
                <w:rFonts w:ascii="Arial" w:hAnsi="Arial"/>
                <w:color w:val="141414"/>
                <w:sz w:val="19"/>
                <w:lang w:val="pt-BR"/>
              </w:rPr>
              <w:t>180 a R</w:t>
            </w:r>
            <w:r w:rsidR="00DC78E0" w:rsidRPr="00DC78E0">
              <w:rPr>
                <w:rFonts w:ascii="Arial" w:hAnsi="Arial"/>
                <w:color w:val="141414"/>
                <w:sz w:val="19"/>
                <w:lang w:val="pt-BR"/>
              </w:rPr>
              <w:t>$</w:t>
            </w: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350/ha; conformidade com metas ESG.</w:t>
            </w:r>
          </w:p>
        </w:tc>
      </w:tr>
      <w:tr w:rsidR="006A744D" w:rsidRPr="00E95A94" w14:paraId="0775765A" w14:textId="77777777">
        <w:trPr>
          <w:jc w:val="center"/>
        </w:trPr>
        <w:tc>
          <w:tcPr>
            <w:tcW w:w="255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50544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Segmentos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Clientes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(ICP)</w:t>
            </w:r>
          </w:p>
        </w:tc>
        <w:tc>
          <w:tcPr>
            <w:tcW w:w="65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7B5C7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Cooperativas Agrícolas de médio e grande porte (ex.: Coamo,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C.Vale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, Cocamar); Redes de Revendas de Insumos Químicos e Biológicos; Grandes Grupos e Tradings (&gt; 10.000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ha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).</w:t>
            </w:r>
          </w:p>
        </w:tc>
      </w:tr>
      <w:tr w:rsidR="006A744D" w:rsidRPr="00E95A94" w14:paraId="596B7634" w14:textId="77777777">
        <w:trPr>
          <w:jc w:val="center"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A131E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Canais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Distribuição</w:t>
            </w:r>
            <w:proofErr w:type="spellEnd"/>
          </w:p>
        </w:tc>
        <w:tc>
          <w:tcPr>
            <w:tcW w:w="6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CC371E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Equipe própria de vendas consultivas B2B corporativas; feiras do setor agropecuário (Agrishow, Show Rural,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Expodireto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); canais móveis corporativos (Google Play Enterprise e Apple Business).</w:t>
            </w:r>
          </w:p>
        </w:tc>
      </w:tr>
      <w:tr w:rsidR="006A744D" w:rsidRPr="00E95A94" w14:paraId="2ADF0D75" w14:textId="77777777">
        <w:trPr>
          <w:jc w:val="center"/>
        </w:trPr>
        <w:tc>
          <w:tcPr>
            <w:tcW w:w="255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A28FEC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 xml:space="preserve">Relacionamento com </w:t>
            </w: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Clientes</w:t>
            </w:r>
            <w:proofErr w:type="spellEnd"/>
          </w:p>
        </w:tc>
        <w:tc>
          <w:tcPr>
            <w:tcW w:w="65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77FAD9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Customer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Success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técnico especializado com engenheiros agrônomos; suporte de campo; capacitação e treinamento de equipes técnicas; comitê fitossanitário conjunto.</w:t>
            </w:r>
          </w:p>
        </w:tc>
      </w:tr>
      <w:tr w:rsidR="006A744D" w:rsidRPr="00E95A94" w14:paraId="2A384FA9" w14:textId="77777777">
        <w:trPr>
          <w:jc w:val="center"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404F0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 xml:space="preserve">Fontes de </w:t>
            </w: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Receita</w:t>
            </w:r>
            <w:proofErr w:type="spellEnd"/>
          </w:p>
        </w:tc>
        <w:tc>
          <w:tcPr>
            <w:tcW w:w="6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E574E" w14:textId="270BA7A2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1. Assinatura anual SaaS por hectare monitorado (R</w:t>
            </w:r>
            <w:r w:rsidR="00C96B51">
              <w:rPr>
                <w:rFonts w:ascii="Arial" w:hAnsi="Arial"/>
                <w:color w:val="141414"/>
                <w:sz w:val="19"/>
                <w:lang w:val="pt-BR"/>
              </w:rPr>
              <w:t xml:space="preserve">$ </w:t>
            </w:r>
            <w:r w:rsidRPr="00C96B51">
              <w:rPr>
                <w:rFonts w:ascii="Arial" w:hAnsi="Arial"/>
                <w:color w:val="141414"/>
                <w:sz w:val="19"/>
                <w:lang w:val="pt-BR"/>
              </w:rPr>
              <w:t>2,50 a R</w:t>
            </w:r>
            <w:r w:rsidR="00C96B51">
              <w:rPr>
                <w:rFonts w:ascii="Arial" w:hAnsi="Arial"/>
                <w:color w:val="141414"/>
                <w:sz w:val="19"/>
                <w:lang w:val="pt-BR"/>
              </w:rPr>
              <w:t>$</w:t>
            </w: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6,00/ha/ano); 2. Licenças mensais por agrônomo de campo (R$ 150/mês); 3. Taxa de implantação e integração com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ERPs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via API.</w:t>
            </w:r>
          </w:p>
        </w:tc>
      </w:tr>
      <w:tr w:rsidR="006A744D" w:rsidRPr="00E95A94" w14:paraId="70FA943A" w14:textId="77777777">
        <w:trPr>
          <w:jc w:val="center"/>
        </w:trPr>
        <w:tc>
          <w:tcPr>
            <w:tcW w:w="255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54D7D7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Recursos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>-Chave</w:t>
            </w:r>
          </w:p>
        </w:tc>
        <w:tc>
          <w:tcPr>
            <w:tcW w:w="65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E93DF4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Grafo compilado e calibrado da MobileNetV2 (propriedade intelectual); pipeline de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MLOps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automatizado; acervo curado de 54k+ fotos; equipe multidisciplinar (IA + Agronomia).</w:t>
            </w:r>
          </w:p>
        </w:tc>
      </w:tr>
      <w:tr w:rsidR="006A744D" w:rsidRPr="00E95A94" w14:paraId="41A65708" w14:textId="77777777">
        <w:trPr>
          <w:jc w:val="center"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156610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lastRenderedPageBreak/>
              <w:t>Atividades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>-Chave</w:t>
            </w:r>
          </w:p>
        </w:tc>
        <w:tc>
          <w:tcPr>
            <w:tcW w:w="6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94A5B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Pesquisa e aprimoramento contínuo dos modelos convolucionais; desenvolvimento de software móvel de alta performance; homologação de bulas de defensivos com o MAPA.</w:t>
            </w:r>
          </w:p>
        </w:tc>
      </w:tr>
      <w:tr w:rsidR="006A744D" w:rsidRPr="00E95A94" w14:paraId="3DD5E0CD" w14:textId="77777777">
        <w:trPr>
          <w:jc w:val="center"/>
        </w:trPr>
        <w:tc>
          <w:tcPr>
            <w:tcW w:w="255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59CCF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Parcerias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Principais</w:t>
            </w:r>
            <w:proofErr w:type="spellEnd"/>
          </w:p>
        </w:tc>
        <w:tc>
          <w:tcPr>
            <w:tcW w:w="65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3D6EF1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Cooperativas agrícolas pioneiras para testes de campo piloto; institutos de pesquisa e universidades (Mackenzie, Embrapa, IAC); laboratórios de análise molecular fitopatológica.</w:t>
            </w:r>
          </w:p>
        </w:tc>
      </w:tr>
      <w:tr w:rsidR="006A744D" w:rsidRPr="00E95A94" w14:paraId="5C285C7D" w14:textId="77777777">
        <w:trPr>
          <w:jc w:val="center"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DFCBA" w14:textId="77777777" w:rsidR="006A744D" w:rsidRDefault="00000000">
            <w:pPr>
              <w:spacing w:before="20" w:after="40" w:line="264" w:lineRule="auto"/>
            </w:pPr>
            <w:proofErr w:type="spellStart"/>
            <w:r>
              <w:rPr>
                <w:rFonts w:ascii="Arial" w:hAnsi="Arial"/>
                <w:b/>
                <w:color w:val="141414"/>
                <w:sz w:val="19"/>
              </w:rPr>
              <w:t>Estrutura</w:t>
            </w:r>
            <w:proofErr w:type="spellEnd"/>
            <w:r>
              <w:rPr>
                <w:rFonts w:ascii="Arial" w:hAnsi="Arial"/>
                <w:b/>
                <w:color w:val="141414"/>
                <w:sz w:val="19"/>
              </w:rPr>
              <w:t xml:space="preserve"> de Custos</w:t>
            </w:r>
          </w:p>
        </w:tc>
        <w:tc>
          <w:tcPr>
            <w:tcW w:w="6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546C3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P&amp;D em Machine Learning (custos de computação em GPU para ciclos de retreinamento); engenharia de software móvel e nuvem; equipe técnica de agronomia e suporte; despesas de vendas corporativas B2B e compliance LGPD.</w:t>
            </w:r>
          </w:p>
        </w:tc>
      </w:tr>
    </w:tbl>
    <w:p w14:paraId="1371035A" w14:textId="77777777" w:rsidR="006A744D" w:rsidRPr="00E95A94" w:rsidRDefault="00000000">
      <w:pPr>
        <w:spacing w:before="80" w:after="240" w:line="264" w:lineRule="auto"/>
        <w:jc w:val="center"/>
        <w:rPr>
          <w:lang w:val="pt-BR"/>
        </w:rPr>
      </w:pPr>
      <w:r w:rsidRPr="00E95A94">
        <w:rPr>
          <w:rFonts w:ascii="Arial" w:hAnsi="Arial"/>
          <w:i/>
          <w:color w:val="464646"/>
          <w:sz w:val="19"/>
          <w:lang w:val="pt-BR"/>
        </w:rPr>
        <w:t>Fonte: Elaborado pelos autores (2026).</w:t>
      </w:r>
    </w:p>
    <w:p w14:paraId="53D84DDD" w14:textId="77777777" w:rsidR="00C96B51" w:rsidRDefault="00C96B51">
      <w:pPr>
        <w:keepNext/>
        <w:spacing w:before="280" w:after="80"/>
        <w:rPr>
          <w:rFonts w:ascii="Arial" w:hAnsi="Arial"/>
          <w:b/>
          <w:color w:val="000000"/>
          <w:sz w:val="24"/>
          <w:lang w:val="pt-BR"/>
        </w:rPr>
      </w:pPr>
    </w:p>
    <w:p w14:paraId="719A424C" w14:textId="052ABE6F" w:rsidR="006A744D" w:rsidRPr="00E95A94" w:rsidRDefault="00000000" w:rsidP="00C96B51">
      <w:pPr>
        <w:pStyle w:val="Ttulo2"/>
        <w:rPr>
          <w:lang w:val="pt-BR"/>
        </w:rPr>
      </w:pPr>
      <w:bookmarkStart w:id="19" w:name="_Toc243686829"/>
      <w:r w:rsidRPr="00E95A94">
        <w:rPr>
          <w:lang w:val="pt-BR"/>
        </w:rPr>
        <w:t>4.2 Modelo de Monetização SaaS B2B por Hectare e Assento Técnico</w:t>
      </w:r>
      <w:bookmarkEnd w:id="19"/>
    </w:p>
    <w:p w14:paraId="45EE5D10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A política comercial foi desenhada para facilitar a adoção em larga escala por cooperativas e gerar receita recorrente previsível (ARR):</w:t>
      </w:r>
    </w:p>
    <w:p w14:paraId="6475079A" w14:textId="0FA8A53B" w:rsidR="006A744D" w:rsidRPr="00C96B51" w:rsidRDefault="00000000">
      <w:pPr>
        <w:spacing w:before="40" w:after="80" w:line="312" w:lineRule="auto"/>
        <w:ind w:left="709" w:hanging="340"/>
        <w:jc w:val="both"/>
        <w:rPr>
          <w:rFonts w:ascii="Arial" w:hAnsi="Arial"/>
          <w:color w:val="000000"/>
          <w:sz w:val="23"/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1. Cobrança por Área sob Gestão:</w:t>
      </w:r>
      <w:r w:rsidRPr="00E95A94">
        <w:rPr>
          <w:rFonts w:ascii="Arial" w:hAnsi="Arial"/>
          <w:color w:val="000000"/>
          <w:sz w:val="23"/>
          <w:lang w:val="pt-BR"/>
        </w:rPr>
        <w:t xml:space="preserve"> A cooperativa contrata a ferramenta para atender sua carteira de cooperados, pagando uma taxa anual escalonada de </w:t>
      </w:r>
      <w:r w:rsidRPr="00C96B51">
        <w:rPr>
          <w:rFonts w:ascii="Arial" w:hAnsi="Arial"/>
          <w:color w:val="000000"/>
          <w:sz w:val="23"/>
          <w:lang w:val="pt-BR"/>
        </w:rPr>
        <w:t>R$ 2,50 a R$ 6,00 por hectare assistido</w:t>
      </w:r>
      <w:r w:rsidRPr="00E95A94">
        <w:rPr>
          <w:rFonts w:ascii="Arial" w:hAnsi="Arial"/>
          <w:color w:val="000000"/>
          <w:sz w:val="23"/>
          <w:lang w:val="pt-BR"/>
        </w:rPr>
        <w:t>. Em uma cooperativa regional com 200.000 hectares monitorados, isso gera um ARR previsível de R</w:t>
      </w:r>
      <w:r w:rsidR="00C96B51">
        <w:rPr>
          <w:rFonts w:ascii="Arial" w:hAnsi="Arial"/>
          <w:color w:val="000000"/>
          <w:sz w:val="23"/>
          <w:lang w:val="pt-BR"/>
        </w:rPr>
        <w:t xml:space="preserve">$ </w:t>
      </w:r>
      <w:r w:rsidRPr="00C96B51">
        <w:rPr>
          <w:rFonts w:ascii="Arial" w:hAnsi="Arial"/>
          <w:color w:val="000000"/>
          <w:sz w:val="23"/>
          <w:lang w:val="pt-BR"/>
        </w:rPr>
        <w:t>500.000 a R</w:t>
      </w:r>
      <w:r w:rsidR="00C96B51" w:rsidRPr="00C96B51">
        <w:rPr>
          <w:rFonts w:ascii="Arial" w:hAnsi="Arial"/>
          <w:color w:val="000000"/>
          <w:sz w:val="23"/>
          <w:lang w:val="pt-BR"/>
        </w:rPr>
        <w:t>$</w:t>
      </w:r>
      <w:r w:rsidRPr="00E95A94">
        <w:rPr>
          <w:rFonts w:ascii="Arial" w:hAnsi="Arial"/>
          <w:color w:val="000000"/>
          <w:sz w:val="23"/>
          <w:lang w:val="pt-BR"/>
        </w:rPr>
        <w:t xml:space="preserve"> 1.200.000.</w:t>
      </w:r>
    </w:p>
    <w:p w14:paraId="78B18226" w14:textId="77777777" w:rsidR="006A744D" w:rsidRPr="00E95A94" w:rsidRDefault="00000000">
      <w:pPr>
        <w:spacing w:before="40" w:after="80" w:line="312" w:lineRule="auto"/>
        <w:ind w:left="709" w:hanging="340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2. Assentos Técnicos Especializados:</w:t>
      </w:r>
      <w:r w:rsidRPr="00E95A94">
        <w:rPr>
          <w:rFonts w:ascii="Arial" w:hAnsi="Arial"/>
          <w:color w:val="000000"/>
          <w:sz w:val="23"/>
          <w:lang w:val="pt-BR"/>
        </w:rPr>
        <w:t xml:space="preserve"> Licenças profissionais voltadas aos engenheiros agrônomos de campo para emissão de prescrições formais com Anotação de Responsabilidade Técnica (ART) </w:t>
      </w:r>
      <w:r w:rsidRPr="00C96B51">
        <w:rPr>
          <w:rFonts w:ascii="Arial" w:hAnsi="Arial"/>
          <w:color w:val="000000"/>
          <w:sz w:val="23"/>
          <w:lang w:val="pt-BR"/>
        </w:rPr>
        <w:t>por R$ 150 mensais por usuário</w:t>
      </w:r>
      <w:r w:rsidRPr="00E95A94">
        <w:rPr>
          <w:rFonts w:ascii="Arial" w:hAnsi="Arial"/>
          <w:color w:val="000000"/>
          <w:sz w:val="23"/>
          <w:lang w:val="pt-BR"/>
        </w:rPr>
        <w:t>.</w:t>
      </w:r>
    </w:p>
    <w:p w14:paraId="4CDAD886" w14:textId="77777777" w:rsidR="006A744D" w:rsidRDefault="00000000">
      <w:pPr>
        <w:spacing w:before="40" w:after="80" w:line="312" w:lineRule="auto"/>
        <w:ind w:left="709" w:hanging="340"/>
        <w:jc w:val="both"/>
        <w:rPr>
          <w:rFonts w:ascii="Arial" w:hAnsi="Arial"/>
          <w:color w:val="000000"/>
          <w:sz w:val="23"/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3. Módulo de Integração Enterprise:</w:t>
      </w:r>
      <w:r w:rsidRPr="00E95A94">
        <w:rPr>
          <w:rFonts w:ascii="Arial" w:hAnsi="Arial"/>
          <w:color w:val="000000"/>
          <w:sz w:val="23"/>
          <w:lang w:val="pt-BR"/>
        </w:rPr>
        <w:t xml:space="preserve"> Taxa de implantação para conexão direta via API REST com softwares de gestão agropecuária e telemetria (Totvs Agro, SAP Agro,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Climate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 xml:space="preserve"> </w:t>
      </w:r>
      <w:proofErr w:type="spellStart"/>
      <w:r w:rsidRPr="00E95A94">
        <w:rPr>
          <w:rFonts w:ascii="Arial" w:hAnsi="Arial"/>
          <w:color w:val="000000"/>
          <w:sz w:val="23"/>
          <w:lang w:val="pt-BR"/>
        </w:rPr>
        <w:t>FieldView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>).</w:t>
      </w:r>
    </w:p>
    <w:p w14:paraId="1EAFC646" w14:textId="77777777" w:rsidR="00C96B51" w:rsidRPr="00E95A94" w:rsidRDefault="00C96B51">
      <w:pPr>
        <w:spacing w:before="40" w:after="80" w:line="312" w:lineRule="auto"/>
        <w:ind w:left="709" w:hanging="340"/>
        <w:jc w:val="both"/>
        <w:rPr>
          <w:lang w:val="pt-BR"/>
        </w:rPr>
      </w:pPr>
    </w:p>
    <w:p w14:paraId="02B17C1A" w14:textId="503A963C" w:rsidR="006A744D" w:rsidRPr="00E95A94" w:rsidRDefault="00000000" w:rsidP="00C96B51">
      <w:pPr>
        <w:pStyle w:val="Ttulo2"/>
        <w:rPr>
          <w:lang w:val="pt-BR"/>
        </w:rPr>
      </w:pPr>
      <w:bookmarkStart w:id="20" w:name="_Toc243686830"/>
      <w:r w:rsidRPr="00E95A94">
        <w:rPr>
          <w:lang w:val="pt-BR"/>
        </w:rPr>
        <w:t xml:space="preserve">4.3 </w:t>
      </w:r>
      <w:r w:rsidR="00AF551A">
        <w:rPr>
          <w:lang w:val="pt-BR"/>
        </w:rPr>
        <w:t>O</w:t>
      </w:r>
      <w:r w:rsidRPr="00E95A94">
        <w:rPr>
          <w:lang w:val="pt-BR"/>
        </w:rPr>
        <w:t xml:space="preserve"> Retorno Financeiro para Cooperativas</w:t>
      </w:r>
      <w:bookmarkEnd w:id="20"/>
    </w:p>
    <w:p w14:paraId="6DF2A8BD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Para quantificar o impacto financeiro nas cooperativas, modelamos o retorno sobre investimento (ROI) em uma fazenda padrão </w:t>
      </w:r>
      <w:r w:rsidRPr="00C96B51">
        <w:rPr>
          <w:rFonts w:ascii="Arial" w:hAnsi="Arial"/>
          <w:color w:val="000000"/>
          <w:sz w:val="24"/>
          <w:lang w:val="pt-BR"/>
        </w:rPr>
        <w:t>de 1.000 hectares com</w:t>
      </w:r>
      <w:r w:rsidRPr="00E95A94">
        <w:rPr>
          <w:rFonts w:ascii="Arial" w:hAnsi="Arial"/>
          <w:color w:val="000000"/>
          <w:sz w:val="24"/>
          <w:lang w:val="pt-BR"/>
        </w:rPr>
        <w:t xml:space="preserve"> cultivo de soja e milho:</w:t>
      </w:r>
    </w:p>
    <w:p w14:paraId="11405CD1" w14:textId="77777777" w:rsidR="006A744D" w:rsidRPr="00E95A94" w:rsidRDefault="00000000" w:rsidP="00C96B51">
      <w:pPr>
        <w:pStyle w:val="Commarcadores"/>
        <w:numPr>
          <w:ilvl w:val="0"/>
          <w:numId w:val="10"/>
        </w:numPr>
        <w:spacing w:before="40" w:after="80" w:line="312" w:lineRule="auto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 xml:space="preserve">Cenário Convencional (Sem </w:t>
      </w:r>
      <w:proofErr w:type="spellStart"/>
      <w:r w:rsidRPr="00E95A94">
        <w:rPr>
          <w:rFonts w:ascii="Arial" w:hAnsi="Arial"/>
          <w:b/>
          <w:color w:val="000000"/>
          <w:sz w:val="23"/>
          <w:lang w:val="pt-BR"/>
        </w:rPr>
        <w:t>AgroSense</w:t>
      </w:r>
      <w:proofErr w:type="spellEnd"/>
      <w:r w:rsidRPr="00E95A94">
        <w:rPr>
          <w:rFonts w:ascii="Arial" w:hAnsi="Arial"/>
          <w:b/>
          <w:color w:val="000000"/>
          <w:sz w:val="23"/>
          <w:lang w:val="pt-BR"/>
        </w:rPr>
        <w:t xml:space="preserve"> Mobile):</w:t>
      </w:r>
    </w:p>
    <w:p w14:paraId="6D357598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Identificação tardia de patologias como Ferrugem Asiática ou Requeima após cerca de 10 dias de infecção visível;</w:t>
      </w:r>
    </w:p>
    <w:p w14:paraId="36ED46D9" w14:textId="1AF7034E" w:rsidR="006A744D" w:rsidRPr="00C96B51" w:rsidRDefault="00000000">
      <w:pPr>
        <w:pStyle w:val="Commarcadores"/>
        <w:spacing w:before="40" w:after="80" w:line="312" w:lineRule="auto"/>
        <w:ind w:left="709" w:hanging="283"/>
        <w:jc w:val="both"/>
        <w:rPr>
          <w:rFonts w:ascii="Arial" w:hAnsi="Arial"/>
          <w:color w:val="000000"/>
          <w:sz w:val="23"/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lastRenderedPageBreak/>
        <w:t>Perda média de 10% do potencial produtivo em razão da desfolha precoce (equivalente a 6 sacas de soja por hectare a R</w:t>
      </w:r>
      <w:r w:rsidR="00C96B51">
        <w:rPr>
          <w:rFonts w:ascii="Arial" w:hAnsi="Arial"/>
          <w:color w:val="000000"/>
          <w:sz w:val="23"/>
          <w:lang w:val="pt-BR"/>
        </w:rPr>
        <w:t xml:space="preserve">$ </w:t>
      </w:r>
      <w:r w:rsidRPr="00C96B51">
        <w:rPr>
          <w:rFonts w:ascii="Arial" w:hAnsi="Arial"/>
          <w:color w:val="000000"/>
          <w:sz w:val="23"/>
          <w:lang w:val="pt-BR"/>
        </w:rPr>
        <w:t>115/saca, resultando em perda de R</w:t>
      </w:r>
      <w:r w:rsidR="00C96B51">
        <w:rPr>
          <w:rFonts w:ascii="Arial" w:hAnsi="Arial"/>
          <w:color w:val="000000"/>
          <w:sz w:val="23"/>
          <w:lang w:val="pt-BR"/>
        </w:rPr>
        <w:t>$</w:t>
      </w:r>
      <w:r w:rsidRPr="00E95A94">
        <w:rPr>
          <w:rFonts w:ascii="Arial" w:hAnsi="Arial"/>
          <w:color w:val="000000"/>
          <w:sz w:val="23"/>
          <w:lang w:val="pt-BR"/>
        </w:rPr>
        <w:t xml:space="preserve"> 690/ha);</w:t>
      </w:r>
    </w:p>
    <w:p w14:paraId="47C3CBC6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Aplicação generalizada de defensivos químicos em talhões sadios adjacentes como medida preventiva não direcionada (custo aproximado de R$ 220/ha por entrada de pulverizador);</w:t>
      </w:r>
    </w:p>
    <w:p w14:paraId="3D6D35B5" w14:textId="77777777" w:rsidR="006A744D" w:rsidRPr="00C96B51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Prejuízo Econômico Total Estimado:</w:t>
      </w:r>
      <w:r w:rsidRPr="00E95A94">
        <w:rPr>
          <w:rFonts w:ascii="Arial" w:hAnsi="Arial"/>
          <w:color w:val="000000"/>
          <w:sz w:val="23"/>
          <w:lang w:val="pt-BR"/>
        </w:rPr>
        <w:t xml:space="preserve"> R$ 780.000,00 por safra.</w:t>
      </w:r>
    </w:p>
    <w:p w14:paraId="5A82F0F9" w14:textId="77777777" w:rsidR="00C96B51" w:rsidRPr="00E95A94" w:rsidRDefault="00C96B51" w:rsidP="00C96B51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21B2453C" w14:textId="77777777" w:rsidR="006A744D" w:rsidRDefault="00000000" w:rsidP="00C96B51">
      <w:pPr>
        <w:pStyle w:val="Commarcadores"/>
        <w:numPr>
          <w:ilvl w:val="0"/>
          <w:numId w:val="10"/>
        </w:numPr>
        <w:spacing w:before="40" w:after="80" w:line="312" w:lineRule="auto"/>
        <w:jc w:val="both"/>
      </w:pPr>
      <w:proofErr w:type="spellStart"/>
      <w:r>
        <w:rPr>
          <w:rFonts w:ascii="Arial" w:hAnsi="Arial"/>
          <w:b/>
          <w:color w:val="000000"/>
          <w:sz w:val="23"/>
        </w:rPr>
        <w:t>Cenário</w:t>
      </w:r>
      <w:proofErr w:type="spellEnd"/>
      <w:r>
        <w:rPr>
          <w:rFonts w:ascii="Arial" w:hAnsi="Arial"/>
          <w:b/>
          <w:color w:val="000000"/>
          <w:sz w:val="23"/>
        </w:rPr>
        <w:t xml:space="preserve"> com </w:t>
      </w:r>
      <w:proofErr w:type="spellStart"/>
      <w:r>
        <w:rPr>
          <w:rFonts w:ascii="Arial" w:hAnsi="Arial"/>
          <w:b/>
          <w:color w:val="000000"/>
          <w:sz w:val="23"/>
        </w:rPr>
        <w:t>AgroSense</w:t>
      </w:r>
      <w:proofErr w:type="spellEnd"/>
      <w:r>
        <w:rPr>
          <w:rFonts w:ascii="Arial" w:hAnsi="Arial"/>
          <w:b/>
          <w:color w:val="000000"/>
          <w:sz w:val="23"/>
        </w:rPr>
        <w:t xml:space="preserve"> Mobile:</w:t>
      </w:r>
    </w:p>
    <w:p w14:paraId="4F16D887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Diagnóstico precoce logo nos estágios iniciais de infecção (dia 2 a 3) com taxa de assertividade de 99,41%;</w:t>
      </w:r>
    </w:p>
    <w:p w14:paraId="3A7D82B1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Pulverização localizada estritamente nos focos de contaminação identificados (</w:t>
      </w:r>
      <w:r w:rsidRPr="00E95A94">
        <w:rPr>
          <w:rFonts w:ascii="Arial" w:hAnsi="Arial"/>
          <w:i/>
          <w:color w:val="000000"/>
          <w:sz w:val="23"/>
          <w:lang w:val="pt-BR"/>
        </w:rPr>
        <w:t xml:space="preserve">spot </w:t>
      </w:r>
      <w:proofErr w:type="spellStart"/>
      <w:r w:rsidRPr="00E95A94">
        <w:rPr>
          <w:rFonts w:ascii="Arial" w:hAnsi="Arial"/>
          <w:i/>
          <w:color w:val="000000"/>
          <w:sz w:val="23"/>
          <w:lang w:val="pt-BR"/>
        </w:rPr>
        <w:t>spraying</w:t>
      </w:r>
      <w:proofErr w:type="spellEnd"/>
      <w:r w:rsidRPr="00E95A94">
        <w:rPr>
          <w:rFonts w:ascii="Arial" w:hAnsi="Arial"/>
          <w:color w:val="000000"/>
          <w:sz w:val="23"/>
          <w:lang w:val="pt-BR"/>
        </w:rPr>
        <w:t>);</w:t>
      </w:r>
    </w:p>
    <w:p w14:paraId="7C0B9D5C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>Eliminação de pulverizações defensivas em talhões sadios (respaldada pela sensibilidade de 100% observada nas classes de plantas sadias);</w:t>
      </w:r>
    </w:p>
    <w:p w14:paraId="64A0C330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 xml:space="preserve">Redução no custo de defensivos de </w:t>
      </w:r>
      <w:r w:rsidRPr="00E95A94">
        <w:rPr>
          <w:rFonts w:ascii="Arial" w:hAnsi="Arial"/>
          <w:b/>
          <w:color w:val="000000"/>
          <w:sz w:val="23"/>
          <w:lang w:val="pt-BR"/>
        </w:rPr>
        <w:t>R$ 180 a R$ 350/ha</w:t>
      </w:r>
      <w:r w:rsidRPr="00E95A94">
        <w:rPr>
          <w:rFonts w:ascii="Arial" w:hAnsi="Arial"/>
          <w:color w:val="000000"/>
          <w:sz w:val="23"/>
          <w:lang w:val="pt-BR"/>
        </w:rPr>
        <w:t xml:space="preserve"> através da aplicação direcionada;</w:t>
      </w:r>
    </w:p>
    <w:p w14:paraId="066CF084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color w:val="000000"/>
          <w:sz w:val="23"/>
          <w:lang w:val="pt-BR"/>
        </w:rPr>
        <w:t xml:space="preserve">Resgate de </w:t>
      </w:r>
      <w:r w:rsidRPr="00E95A94">
        <w:rPr>
          <w:rFonts w:ascii="Arial" w:hAnsi="Arial"/>
          <w:b/>
          <w:color w:val="000000"/>
          <w:sz w:val="23"/>
          <w:lang w:val="pt-BR"/>
        </w:rPr>
        <w:t>5% a 15% de safra</w:t>
      </w:r>
      <w:r w:rsidRPr="00E95A94">
        <w:rPr>
          <w:rFonts w:ascii="Arial" w:hAnsi="Arial"/>
          <w:color w:val="000000"/>
          <w:sz w:val="23"/>
          <w:lang w:val="pt-BR"/>
        </w:rPr>
        <w:t xml:space="preserve"> que seria perdida (estimativa conservadora de 8% de recuperação da produção, preservando cerca de R$ 550/ha);</w:t>
      </w:r>
    </w:p>
    <w:p w14:paraId="1C53B6E5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Ganho Econômico Líquido Preservado:</w:t>
      </w:r>
      <w:r w:rsidRPr="00E95A94">
        <w:rPr>
          <w:rFonts w:ascii="Arial" w:hAnsi="Arial"/>
          <w:color w:val="000000"/>
          <w:sz w:val="23"/>
          <w:lang w:val="pt-BR"/>
        </w:rPr>
        <w:t xml:space="preserve"> Mais </w:t>
      </w:r>
      <w:r w:rsidRPr="00C96B51">
        <w:rPr>
          <w:rFonts w:ascii="Arial" w:hAnsi="Arial"/>
          <w:color w:val="000000"/>
          <w:sz w:val="23"/>
          <w:lang w:val="pt-BR"/>
        </w:rPr>
        <w:t>de R$ 560.000,00 por safra;</w:t>
      </w:r>
    </w:p>
    <w:p w14:paraId="529C38D8" w14:textId="1EB93303" w:rsidR="006A744D" w:rsidRPr="00C96B51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Retorno sobre o Investimento (ROI da Ferramenta):</w:t>
      </w:r>
      <w:r w:rsidRPr="00E95A94">
        <w:rPr>
          <w:rFonts w:ascii="Arial" w:hAnsi="Arial"/>
          <w:color w:val="000000"/>
          <w:sz w:val="23"/>
          <w:lang w:val="pt-BR"/>
        </w:rPr>
        <w:t xml:space="preserve"> O custo anual de assinatura do software (R</w:t>
      </w:r>
      <w:r w:rsidR="00C96B51">
        <w:rPr>
          <w:rFonts w:ascii="Arial" w:hAnsi="Arial"/>
          <w:color w:val="000000"/>
          <w:sz w:val="23"/>
          <w:lang w:val="pt-BR"/>
        </w:rPr>
        <w:t xml:space="preserve">$ </w:t>
      </w:r>
      <w:r w:rsidRPr="00C96B51">
        <w:rPr>
          <w:rFonts w:ascii="Arial" w:hAnsi="Arial"/>
          <w:color w:val="000000"/>
          <w:sz w:val="23"/>
          <w:lang w:val="pt-BR"/>
        </w:rPr>
        <w:t>4.000,00 para 1.000 hectares a R</w:t>
      </w:r>
      <w:r w:rsidR="00C96B51" w:rsidRPr="00C96B51">
        <w:rPr>
          <w:rFonts w:ascii="Arial" w:hAnsi="Arial"/>
          <w:color w:val="000000"/>
          <w:sz w:val="23"/>
          <w:lang w:val="pt-BR"/>
        </w:rPr>
        <w:t>$</w:t>
      </w:r>
      <w:r w:rsidRPr="00E95A94">
        <w:rPr>
          <w:rFonts w:ascii="Arial" w:hAnsi="Arial"/>
          <w:color w:val="000000"/>
          <w:sz w:val="23"/>
          <w:lang w:val="pt-BR"/>
        </w:rPr>
        <w:t xml:space="preserve"> 4,00/ha) é amortizado em </w:t>
      </w:r>
      <w:r w:rsidRPr="00C96B51">
        <w:rPr>
          <w:rFonts w:ascii="Arial" w:hAnsi="Arial"/>
          <w:color w:val="000000"/>
          <w:sz w:val="23"/>
          <w:lang w:val="pt-BR"/>
        </w:rPr>
        <w:t>menos de uma semana</w:t>
      </w:r>
      <w:r w:rsidRPr="00E95A94">
        <w:rPr>
          <w:rFonts w:ascii="Arial" w:hAnsi="Arial"/>
          <w:color w:val="000000"/>
          <w:sz w:val="23"/>
          <w:lang w:val="pt-BR"/>
        </w:rPr>
        <w:t xml:space="preserve"> de operação no início do ciclo vegetativo.</w:t>
      </w:r>
    </w:p>
    <w:p w14:paraId="1AFA2560" w14:textId="77777777" w:rsidR="00C96B51" w:rsidRPr="00E95A94" w:rsidRDefault="00C96B51" w:rsidP="00C96B51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4E3DA583" w14:textId="77777777" w:rsidR="006A744D" w:rsidRPr="00E95A94" w:rsidRDefault="00000000" w:rsidP="00C96B51">
      <w:pPr>
        <w:pStyle w:val="Ttulo2"/>
        <w:rPr>
          <w:lang w:val="pt-BR"/>
        </w:rPr>
      </w:pPr>
      <w:bookmarkStart w:id="21" w:name="_Toc243686831"/>
      <w:r w:rsidRPr="00E95A94">
        <w:rPr>
          <w:lang w:val="pt-BR"/>
        </w:rPr>
        <w:t>4.4 Alinhamento com Critérios ESG e Metas ODS 2 e ODS 12 da ONU</w:t>
      </w:r>
      <w:bookmarkEnd w:id="21"/>
    </w:p>
    <w:p w14:paraId="2E0373C6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 tecnologia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AgroSense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gera impactos positivos que vão além do resultado econômico imediato, reforçando o posicionamento socioambiental da cooperativa frente ao mercado nacional e internacional:</w:t>
      </w:r>
    </w:p>
    <w:p w14:paraId="557D3CF5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Diminuição da Carga Química no Ecossistema:</w:t>
      </w:r>
      <w:r w:rsidRPr="00E95A94">
        <w:rPr>
          <w:rFonts w:ascii="Arial" w:hAnsi="Arial"/>
          <w:color w:val="000000"/>
          <w:sz w:val="23"/>
          <w:lang w:val="pt-BR"/>
        </w:rPr>
        <w:t xml:space="preserve"> A aplicação em taxa variável reduz o volume total de fungicidas e inseticidas aplicados em até 30%, diminuindo a contaminação de lençóis freáticos e corpos hídricos;</w:t>
      </w:r>
    </w:p>
    <w:p w14:paraId="40986E87" w14:textId="77777777" w:rsidR="006A744D" w:rsidRPr="00E95A94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Segurança Ocupacional no Campo:</w:t>
      </w:r>
      <w:r w:rsidRPr="00E95A94">
        <w:rPr>
          <w:rFonts w:ascii="Arial" w:hAnsi="Arial"/>
          <w:color w:val="000000"/>
          <w:sz w:val="23"/>
          <w:lang w:val="pt-BR"/>
        </w:rPr>
        <w:t xml:space="preserve"> Menor exposição de operadores e tratoristas a compostos químicos defensivos;</w:t>
      </w:r>
    </w:p>
    <w:p w14:paraId="32D4FD9F" w14:textId="77777777" w:rsidR="006A744D" w:rsidRPr="00C96B51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Contribuição aos Objetivos de Desenvolvimento Sustentável (ODS):</w:t>
      </w:r>
      <w:r w:rsidRPr="00E95A94">
        <w:rPr>
          <w:rFonts w:ascii="Arial" w:hAnsi="Arial"/>
          <w:color w:val="000000"/>
          <w:sz w:val="23"/>
          <w:lang w:val="pt-BR"/>
        </w:rPr>
        <w:t xml:space="preserve"> Atuação direta no cumprimento do ODS 2 (</w:t>
      </w:r>
      <w:r w:rsidRPr="00E95A94">
        <w:rPr>
          <w:rFonts w:ascii="Arial" w:hAnsi="Arial"/>
          <w:i/>
          <w:color w:val="000000"/>
          <w:sz w:val="23"/>
          <w:lang w:val="pt-BR"/>
        </w:rPr>
        <w:t>Fome Zero e Agricultura Sustentável</w:t>
      </w:r>
      <w:r w:rsidRPr="00E95A94">
        <w:rPr>
          <w:rFonts w:ascii="Arial" w:hAnsi="Arial"/>
          <w:color w:val="000000"/>
          <w:sz w:val="23"/>
          <w:lang w:val="pt-BR"/>
        </w:rPr>
        <w:t>) e do ODS 12 (</w:t>
      </w:r>
      <w:r w:rsidRPr="00E95A94">
        <w:rPr>
          <w:rFonts w:ascii="Arial" w:hAnsi="Arial"/>
          <w:i/>
          <w:color w:val="000000"/>
          <w:sz w:val="23"/>
          <w:lang w:val="pt-BR"/>
        </w:rPr>
        <w:t>Consumo e Produção Responsáveis</w:t>
      </w:r>
      <w:r w:rsidRPr="00E95A94">
        <w:rPr>
          <w:rFonts w:ascii="Arial" w:hAnsi="Arial"/>
          <w:color w:val="000000"/>
          <w:sz w:val="23"/>
          <w:lang w:val="pt-BR"/>
        </w:rPr>
        <w:t>).</w:t>
      </w:r>
    </w:p>
    <w:p w14:paraId="217DC1A4" w14:textId="77777777" w:rsidR="00C96B51" w:rsidRPr="00E95A94" w:rsidRDefault="00C96B51" w:rsidP="00C96B51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301288AA" w14:textId="408FF62B" w:rsidR="006A744D" w:rsidRPr="00E95A94" w:rsidRDefault="00000000" w:rsidP="00C96B51">
      <w:pPr>
        <w:pStyle w:val="Ttulo1"/>
        <w:rPr>
          <w:lang w:val="pt-BR"/>
        </w:rPr>
      </w:pPr>
      <w:bookmarkStart w:id="22" w:name="_Toc243686832"/>
      <w:r w:rsidRPr="00E95A94">
        <w:rPr>
          <w:lang w:val="pt-BR"/>
        </w:rPr>
        <w:lastRenderedPageBreak/>
        <w:t>5 DATA STORYTELLING E ROTEIRO PARA A ETAPA 4</w:t>
      </w:r>
      <w:bookmarkEnd w:id="22"/>
    </w:p>
    <w:p w14:paraId="5211BBAC" w14:textId="77777777" w:rsidR="006A744D" w:rsidRPr="00E95A94" w:rsidRDefault="00000000" w:rsidP="00C96B51">
      <w:pPr>
        <w:pStyle w:val="Ttulo2"/>
        <w:rPr>
          <w:lang w:val="pt-BR"/>
        </w:rPr>
      </w:pPr>
      <w:bookmarkStart w:id="23" w:name="_Toc243686833"/>
      <w:r w:rsidRPr="00E95A94">
        <w:rPr>
          <w:lang w:val="pt-BR"/>
        </w:rPr>
        <w:t>5.1 O Arco Narrativo Corporativo Linear em 4 Atos</w:t>
      </w:r>
      <w:bookmarkEnd w:id="23"/>
    </w:p>
    <w:p w14:paraId="0D598E21" w14:textId="3E80B792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Para apresentar os resultados à parceiros estratégicos na Etapa 4, estruturamos o </w:t>
      </w:r>
      <w:r w:rsidRPr="00E95A94">
        <w:rPr>
          <w:rFonts w:ascii="Arial" w:hAnsi="Arial"/>
          <w:i/>
          <w:color w:val="000000"/>
          <w:sz w:val="24"/>
          <w:lang w:val="pt-BR"/>
        </w:rPr>
        <w:t xml:space="preserve">Data </w:t>
      </w:r>
      <w:proofErr w:type="spellStart"/>
      <w:r w:rsidRPr="00E95A94">
        <w:rPr>
          <w:rFonts w:ascii="Arial" w:hAnsi="Arial"/>
          <w:i/>
          <w:color w:val="000000"/>
          <w:sz w:val="24"/>
          <w:lang w:val="pt-BR"/>
        </w:rPr>
        <w:t>Storytelling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segundo um </w:t>
      </w:r>
      <w:proofErr w:type="spellStart"/>
      <w:r w:rsidRPr="00C96B51">
        <w:rPr>
          <w:rFonts w:ascii="Arial" w:hAnsi="Arial"/>
          <w:bCs/>
          <w:color w:val="000000"/>
          <w:sz w:val="24"/>
          <w:lang w:val="pt-BR"/>
        </w:rPr>
        <w:t>Pitch</w:t>
      </w:r>
      <w:proofErr w:type="spellEnd"/>
      <w:r w:rsidRPr="00C96B51">
        <w:rPr>
          <w:rFonts w:ascii="Arial" w:hAnsi="Arial"/>
          <w:bCs/>
          <w:color w:val="000000"/>
          <w:sz w:val="24"/>
          <w:lang w:val="pt-BR"/>
        </w:rPr>
        <w:t xml:space="preserve"> Executivo Linear em </w:t>
      </w:r>
      <w:r w:rsidR="002B49C5">
        <w:rPr>
          <w:rFonts w:ascii="Arial" w:hAnsi="Arial"/>
          <w:bCs/>
          <w:color w:val="000000"/>
          <w:sz w:val="24"/>
          <w:lang w:val="pt-BR"/>
        </w:rPr>
        <w:t>3</w:t>
      </w:r>
      <w:r w:rsidRPr="00C96B51">
        <w:rPr>
          <w:rFonts w:ascii="Arial" w:hAnsi="Arial"/>
          <w:bCs/>
          <w:color w:val="000000"/>
          <w:sz w:val="24"/>
          <w:lang w:val="pt-BR"/>
        </w:rPr>
        <w:t xml:space="preserve"> Atos</w:t>
      </w:r>
      <w:r w:rsidRPr="00C96B51">
        <w:rPr>
          <w:rFonts w:ascii="Arial" w:hAnsi="Arial"/>
          <w:color w:val="000000"/>
          <w:sz w:val="24"/>
          <w:lang w:val="pt-BR"/>
        </w:rPr>
        <w:t>, conectando as</w:t>
      </w:r>
      <w:r w:rsidRPr="00E95A94">
        <w:rPr>
          <w:rFonts w:ascii="Arial" w:hAnsi="Arial"/>
          <w:color w:val="000000"/>
          <w:sz w:val="24"/>
          <w:lang w:val="pt-BR"/>
        </w:rPr>
        <w:t xml:space="preserve"> dores agronômicas à robustez da modelagem de dados:</w:t>
      </w:r>
    </w:p>
    <w:p w14:paraId="3FAE36E5" w14:textId="77777777" w:rsidR="006A744D" w:rsidRPr="00E95A94" w:rsidRDefault="00000000" w:rsidP="00C96B51">
      <w:pPr>
        <w:pStyle w:val="Commarcadores"/>
        <w:numPr>
          <w:ilvl w:val="0"/>
          <w:numId w:val="0"/>
        </w:numPr>
        <w:spacing w:before="40" w:after="80" w:line="312" w:lineRule="auto"/>
        <w:ind w:left="360" w:firstLine="349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>Ato 1: O Prejuízo Invisível no Talhão (A Dor do Negócio)</w:t>
      </w:r>
    </w:p>
    <w:p w14:paraId="197CBDCB" w14:textId="23022DB6" w:rsidR="006A744D" w:rsidRPr="00C96B51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C96B51">
        <w:rPr>
          <w:rFonts w:ascii="Arial" w:hAnsi="Arial"/>
          <w:i/>
          <w:color w:val="000000"/>
          <w:sz w:val="23"/>
          <w:lang w:val="pt-BR"/>
        </w:rPr>
        <w:t>Narrativa:</w:t>
      </w:r>
      <w:r w:rsidRPr="00C96B51">
        <w:rPr>
          <w:rFonts w:ascii="Arial" w:hAnsi="Arial"/>
          <w:color w:val="000000"/>
          <w:sz w:val="23"/>
          <w:lang w:val="pt-BR"/>
        </w:rPr>
        <w:t xml:space="preserve"> O Brasil alimenta mais de 1 bilhão de pessoas, mas perde anualmente mais de R$ 55 bilhões para</w:t>
      </w:r>
      <w:r w:rsidRPr="00E95A94">
        <w:rPr>
          <w:rFonts w:ascii="Arial" w:hAnsi="Arial"/>
          <w:color w:val="000000"/>
          <w:sz w:val="23"/>
          <w:lang w:val="pt-BR"/>
        </w:rPr>
        <w:t xml:space="preserve"> pragas e doenças foliares. O agrônomo não consegue </w:t>
      </w:r>
      <w:r w:rsidRPr="00C96B51">
        <w:rPr>
          <w:rFonts w:ascii="Arial" w:hAnsi="Arial"/>
          <w:color w:val="000000"/>
          <w:sz w:val="23"/>
          <w:lang w:val="pt-BR"/>
        </w:rPr>
        <w:t xml:space="preserve">monitorar todos os talhões ao mesmo tempo. E quando recorre a ferramentas digitais em nuvem, depara-se com uma limitação crítica: mais de 70% da área agrícola brasileira não tem cobertura de internet móvel 4G. </w:t>
      </w:r>
      <w:r w:rsidR="00C96B51" w:rsidRPr="00C96B51">
        <w:rPr>
          <w:rFonts w:ascii="Arial" w:hAnsi="Arial"/>
          <w:color w:val="000000"/>
          <w:sz w:val="23"/>
          <w:lang w:val="pt-BR"/>
        </w:rPr>
        <w:t>Quando</w:t>
      </w:r>
      <w:r w:rsidRPr="00C96B51">
        <w:rPr>
          <w:rFonts w:ascii="Arial" w:hAnsi="Arial"/>
          <w:color w:val="000000"/>
          <w:sz w:val="23"/>
          <w:lang w:val="pt-BR"/>
        </w:rPr>
        <w:t xml:space="preserve"> a decisão precisa ser tomada, o</w:t>
      </w:r>
      <w:r w:rsidRPr="00E95A94">
        <w:rPr>
          <w:rFonts w:ascii="Arial" w:hAnsi="Arial"/>
          <w:color w:val="000000"/>
          <w:sz w:val="23"/>
          <w:lang w:val="pt-BR"/>
        </w:rPr>
        <w:t xml:space="preserve"> celular exibe a mensagem: </w:t>
      </w:r>
      <w:r w:rsidRPr="00E95A94">
        <w:rPr>
          <w:rFonts w:ascii="Arial" w:hAnsi="Arial"/>
          <w:i/>
          <w:color w:val="000000"/>
          <w:sz w:val="23"/>
          <w:lang w:val="pt-BR"/>
        </w:rPr>
        <w:t>"Sem conexão"</w:t>
      </w:r>
      <w:r w:rsidRPr="00E95A94">
        <w:rPr>
          <w:rFonts w:ascii="Arial" w:hAnsi="Arial"/>
          <w:color w:val="000000"/>
          <w:sz w:val="23"/>
          <w:lang w:val="pt-BR"/>
        </w:rPr>
        <w:t>.</w:t>
      </w:r>
    </w:p>
    <w:p w14:paraId="152B24C3" w14:textId="77777777" w:rsidR="00C96B51" w:rsidRPr="00E95A94" w:rsidRDefault="00C96B51" w:rsidP="00C96B51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6189DCFA" w14:textId="47D3C4B2" w:rsidR="006A744D" w:rsidRPr="00E95A94" w:rsidRDefault="00000000" w:rsidP="00C96B51">
      <w:pPr>
        <w:pStyle w:val="Commarcadores"/>
        <w:numPr>
          <w:ilvl w:val="0"/>
          <w:numId w:val="0"/>
        </w:numPr>
        <w:spacing w:before="40" w:after="80" w:line="312" w:lineRule="auto"/>
        <w:ind w:left="709"/>
        <w:jc w:val="both"/>
        <w:rPr>
          <w:lang w:val="pt-BR"/>
        </w:rPr>
      </w:pPr>
      <w:r w:rsidRPr="00E95A94">
        <w:rPr>
          <w:rFonts w:ascii="Arial" w:hAnsi="Arial"/>
          <w:b/>
          <w:color w:val="000000"/>
          <w:sz w:val="23"/>
          <w:lang w:val="pt-BR"/>
        </w:rPr>
        <w:t xml:space="preserve">Ato 2: </w:t>
      </w:r>
      <w:proofErr w:type="spellStart"/>
      <w:r w:rsidR="002B49C5" w:rsidRPr="002B49C5">
        <w:rPr>
          <w:rFonts w:ascii="Arial" w:hAnsi="Arial"/>
          <w:b/>
          <w:color w:val="000000"/>
          <w:sz w:val="23"/>
          <w:lang w:val="pt-BR"/>
        </w:rPr>
        <w:t>AgroSense</w:t>
      </w:r>
      <w:proofErr w:type="spellEnd"/>
      <w:r w:rsidR="002B49C5" w:rsidRPr="002B49C5">
        <w:rPr>
          <w:rFonts w:ascii="Arial" w:hAnsi="Arial"/>
          <w:b/>
          <w:color w:val="000000"/>
          <w:sz w:val="23"/>
          <w:lang w:val="pt-BR"/>
        </w:rPr>
        <w:t xml:space="preserve"> Mobile — Diagnóstico Instantâneo na Palma da Mão e Sem Conexão (A Proposta de Valor)</w:t>
      </w:r>
    </w:p>
    <w:p w14:paraId="00EF408F" w14:textId="29FAB9CE" w:rsidR="006A744D" w:rsidRPr="003772B2" w:rsidRDefault="00000000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E95A94">
        <w:rPr>
          <w:rFonts w:ascii="Arial" w:hAnsi="Arial"/>
          <w:i/>
          <w:color w:val="000000"/>
          <w:sz w:val="23"/>
          <w:lang w:val="pt-BR"/>
        </w:rPr>
        <w:t>Narrativa:</w:t>
      </w:r>
      <w:r w:rsidRPr="00E95A94">
        <w:rPr>
          <w:rFonts w:ascii="Arial" w:hAnsi="Arial"/>
          <w:color w:val="000000"/>
          <w:sz w:val="23"/>
          <w:lang w:val="pt-BR"/>
        </w:rPr>
        <w:t xml:space="preserve"> </w:t>
      </w:r>
      <w:r w:rsidR="002B49C5" w:rsidRPr="002B49C5">
        <w:rPr>
          <w:rFonts w:ascii="Arial" w:hAnsi="Arial"/>
          <w:color w:val="000000"/>
          <w:sz w:val="23"/>
          <w:lang w:val="pt-BR"/>
        </w:rPr>
        <w:t xml:space="preserve">Para romper esse isolamento digital, entregamos o </w:t>
      </w:r>
      <w:proofErr w:type="spellStart"/>
      <w:r w:rsidR="002B49C5" w:rsidRPr="002B49C5">
        <w:rPr>
          <w:rFonts w:ascii="Arial" w:hAnsi="Arial"/>
          <w:b/>
          <w:bCs/>
          <w:color w:val="000000"/>
          <w:sz w:val="23"/>
          <w:lang w:val="pt-BR"/>
        </w:rPr>
        <w:t>AgroSense</w:t>
      </w:r>
      <w:proofErr w:type="spellEnd"/>
      <w:r w:rsidR="002B49C5" w:rsidRPr="002B49C5">
        <w:rPr>
          <w:rFonts w:ascii="Arial" w:hAnsi="Arial"/>
          <w:color w:val="000000"/>
          <w:sz w:val="23"/>
          <w:lang w:val="pt-BR"/>
        </w:rPr>
        <w:t>: um aplicativo móvel voltado a cooperativas e agrônomos de campo que coloca um laboratório fitossanitário no bolso de quem está na lavoura. Apontou a câmera para a folha, o diagnóstico sai em menos de 50 milissegundos, com orientação de manejo recomendada na hora — operando 100% off-line, sem precisar de um único traço de sinal 4G ou Wi-Fi. Por trás dessa simplicidade, opera uma arquitetura de inteligência artificial de ponta (</w:t>
      </w:r>
      <w:r w:rsidR="002B49C5" w:rsidRPr="002B49C5">
        <w:rPr>
          <w:rFonts w:ascii="Arial" w:hAnsi="Arial"/>
          <w:i/>
          <w:iCs/>
          <w:color w:val="000000"/>
          <w:sz w:val="23"/>
          <w:lang w:val="pt-BR"/>
        </w:rPr>
        <w:t>MobileNetV2</w:t>
      </w:r>
      <w:r w:rsidR="002B49C5" w:rsidRPr="002B49C5">
        <w:rPr>
          <w:rFonts w:ascii="Arial" w:hAnsi="Arial"/>
          <w:color w:val="000000"/>
          <w:sz w:val="23"/>
          <w:lang w:val="pt-BR"/>
        </w:rPr>
        <w:t xml:space="preserve">), </w:t>
      </w:r>
      <w:proofErr w:type="spellStart"/>
      <w:r w:rsidR="002B49C5" w:rsidRPr="002B49C5">
        <w:rPr>
          <w:rFonts w:ascii="Arial" w:hAnsi="Arial"/>
          <w:color w:val="000000"/>
          <w:sz w:val="23"/>
          <w:lang w:val="pt-BR"/>
        </w:rPr>
        <w:t>ultra-leve</w:t>
      </w:r>
      <w:proofErr w:type="spellEnd"/>
      <w:r w:rsidR="002B49C5" w:rsidRPr="002B49C5">
        <w:rPr>
          <w:rFonts w:ascii="Arial" w:hAnsi="Arial"/>
          <w:color w:val="000000"/>
          <w:sz w:val="23"/>
          <w:lang w:val="pt-BR"/>
        </w:rPr>
        <w:t xml:space="preserve"> (26 MB) e rigorosamente calibrada para 38 patologias foliares com 99,4% de acurácia comprovada. O </w:t>
      </w:r>
      <w:proofErr w:type="spellStart"/>
      <w:r w:rsidR="002B49C5" w:rsidRPr="002B49C5">
        <w:rPr>
          <w:rFonts w:ascii="Arial" w:hAnsi="Arial"/>
          <w:color w:val="000000"/>
          <w:sz w:val="23"/>
          <w:lang w:val="pt-BR"/>
        </w:rPr>
        <w:t>AgroSense</w:t>
      </w:r>
      <w:proofErr w:type="spellEnd"/>
      <w:r w:rsidR="002B49C5" w:rsidRPr="002B49C5">
        <w:rPr>
          <w:rFonts w:ascii="Arial" w:hAnsi="Arial"/>
          <w:color w:val="000000"/>
          <w:sz w:val="23"/>
          <w:lang w:val="pt-BR"/>
        </w:rPr>
        <w:t xml:space="preserve"> transforma o smartphone comum em uma ferramenta ativa de tomada de decisão em tempo </w:t>
      </w:r>
      <w:r w:rsidR="002B49C5" w:rsidRPr="002B49C5">
        <w:rPr>
          <w:rFonts w:ascii="Arial" w:hAnsi="Arial"/>
          <w:color w:val="000000"/>
          <w:sz w:val="23"/>
          <w:lang w:val="pt-BR"/>
        </w:rPr>
        <w:t>real</w:t>
      </w:r>
      <w:r w:rsidR="002B49C5">
        <w:rPr>
          <w:rFonts w:ascii="Arial" w:hAnsi="Arial"/>
          <w:color w:val="000000"/>
          <w:sz w:val="23"/>
          <w:lang w:val="pt-BR"/>
        </w:rPr>
        <w:t>.</w:t>
      </w:r>
    </w:p>
    <w:p w14:paraId="3B5B12EF" w14:textId="77777777" w:rsidR="003772B2" w:rsidRPr="00E95A94" w:rsidRDefault="003772B2" w:rsidP="003772B2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0FF5968A" w14:textId="77777777" w:rsidR="002B49C5" w:rsidRDefault="002B49C5" w:rsidP="002B49C5">
      <w:pPr>
        <w:pStyle w:val="Commarcadores"/>
        <w:numPr>
          <w:ilvl w:val="0"/>
          <w:numId w:val="0"/>
        </w:numPr>
        <w:spacing w:before="40" w:after="80" w:line="312" w:lineRule="auto"/>
        <w:ind w:left="709"/>
        <w:jc w:val="both"/>
        <w:rPr>
          <w:lang w:val="pt-BR"/>
        </w:rPr>
      </w:pPr>
      <w:r w:rsidRPr="002B49C5">
        <w:rPr>
          <w:rFonts w:ascii="Arial" w:hAnsi="Arial"/>
          <w:b/>
          <w:color w:val="000000"/>
          <w:sz w:val="23"/>
          <w:lang w:val="pt-BR"/>
        </w:rPr>
        <w:t>Ato 3: Da Detecção Precoce ao Bolso — Mais Produtividade, Menos Custo e Inteligência Regional (O Resultado)</w:t>
      </w:r>
    </w:p>
    <w:p w14:paraId="03FD5FEB" w14:textId="20005117" w:rsidR="001353DE" w:rsidRPr="00AF551A" w:rsidRDefault="00000000" w:rsidP="00AF551A">
      <w:pPr>
        <w:pStyle w:val="Commarcadores"/>
        <w:spacing w:before="40" w:after="80" w:line="312" w:lineRule="auto"/>
        <w:ind w:left="709" w:hanging="283"/>
        <w:jc w:val="both"/>
        <w:rPr>
          <w:lang w:val="pt-BR"/>
        </w:rPr>
      </w:pPr>
      <w:r w:rsidRPr="002B49C5">
        <w:rPr>
          <w:rFonts w:ascii="Arial" w:hAnsi="Arial"/>
          <w:i/>
          <w:color w:val="000000"/>
          <w:sz w:val="23"/>
          <w:lang w:val="pt-BR"/>
        </w:rPr>
        <w:t>Narrativa:</w:t>
      </w:r>
      <w:r w:rsidRPr="002B49C5">
        <w:rPr>
          <w:rFonts w:ascii="Arial" w:hAnsi="Arial"/>
          <w:color w:val="000000"/>
          <w:sz w:val="23"/>
          <w:lang w:val="pt-BR"/>
        </w:rPr>
        <w:t xml:space="preserve"> </w:t>
      </w:r>
      <w:r w:rsidR="00AF551A" w:rsidRPr="00AF551A">
        <w:rPr>
          <w:rFonts w:ascii="Arial" w:hAnsi="Arial"/>
          <w:color w:val="000000"/>
          <w:sz w:val="23"/>
          <w:lang w:val="pt-BR"/>
        </w:rPr>
        <w:t>O resultado direto dessa agilidade é mensurável na colheita e no fluxo de caixa. Ao detectar o foco patológico nas primeiras 48 horas, o produtor resgata entre 5% e 15% de produtividade que seria perdida na quebra de safra, além de economizar de R</w:t>
      </w:r>
      <w:r w:rsidR="00AF551A">
        <w:rPr>
          <w:rFonts w:ascii="Arial" w:hAnsi="Arial"/>
          <w:color w:val="000000"/>
          <w:sz w:val="23"/>
          <w:lang w:val="pt-BR"/>
        </w:rPr>
        <w:t xml:space="preserve">$ </w:t>
      </w:r>
      <w:r w:rsidR="00AF551A" w:rsidRPr="00AF551A">
        <w:rPr>
          <w:rFonts w:ascii="Arial" w:hAnsi="Arial"/>
          <w:color w:val="000000"/>
          <w:sz w:val="23"/>
          <w:lang w:val="pt-BR"/>
        </w:rPr>
        <w:t>180</w:t>
      </w:r>
      <w:r w:rsidR="00AF551A">
        <w:rPr>
          <w:rFonts w:ascii="Arial" w:hAnsi="Arial"/>
          <w:color w:val="000000"/>
          <w:sz w:val="23"/>
          <w:lang w:val="pt-BR"/>
        </w:rPr>
        <w:t xml:space="preserve"> </w:t>
      </w:r>
      <w:r w:rsidR="00AF551A" w:rsidRPr="00AF551A">
        <w:rPr>
          <w:rFonts w:ascii="Arial" w:hAnsi="Arial"/>
          <w:color w:val="000000"/>
          <w:sz w:val="23"/>
          <w:lang w:val="pt-BR"/>
        </w:rPr>
        <w:t>a</w:t>
      </w:r>
      <w:r w:rsidR="00AF551A">
        <w:rPr>
          <w:rFonts w:ascii="Arial" w:hAnsi="Arial"/>
          <w:color w:val="000000"/>
          <w:sz w:val="23"/>
          <w:lang w:val="pt-BR"/>
        </w:rPr>
        <w:t xml:space="preserve"> </w:t>
      </w:r>
      <w:r w:rsidR="00AF551A" w:rsidRPr="00AF551A">
        <w:rPr>
          <w:rFonts w:ascii="Arial" w:hAnsi="Arial"/>
          <w:color w:val="000000"/>
          <w:sz w:val="23"/>
          <w:lang w:val="pt-BR"/>
        </w:rPr>
        <w:t>R</w:t>
      </w:r>
      <w:r w:rsidR="00AF551A">
        <w:rPr>
          <w:rFonts w:ascii="Arial" w:hAnsi="Arial"/>
          <w:color w:val="000000"/>
          <w:sz w:val="23"/>
          <w:lang w:val="pt-BR"/>
        </w:rPr>
        <w:t>$</w:t>
      </w:r>
      <w:r w:rsidR="00AF551A" w:rsidRPr="00AF551A">
        <w:rPr>
          <w:rFonts w:ascii="Arial" w:hAnsi="Arial"/>
          <w:color w:val="000000"/>
          <w:sz w:val="23"/>
          <w:lang w:val="pt-BR"/>
        </w:rPr>
        <w:t xml:space="preserve"> 350 por hectare em defensivos, substituindo pulverizações cegas de calendário por aplicações cirúrgicas de precisão. Para as cooperativas, cada diagnóstico gera telemetria assíncrona: assim que o agrônomo volta à sede com sinal, os dados alimentam painéis epidemiológicos com mapas de calor regionais de dispersão de esporos. É a passagem da defesa reativa para a blindagem fitossanitária preventiva, com rastreabilidade ESG que agrega valor ao grão exportado</w:t>
      </w:r>
      <w:r w:rsidRPr="002B49C5">
        <w:rPr>
          <w:rFonts w:ascii="Arial" w:hAnsi="Arial"/>
          <w:color w:val="000000"/>
          <w:sz w:val="23"/>
          <w:lang w:val="pt-BR"/>
        </w:rPr>
        <w:t>.</w:t>
      </w:r>
    </w:p>
    <w:p w14:paraId="222FD48F" w14:textId="77777777" w:rsidR="00AF551A" w:rsidRPr="00E95A94" w:rsidRDefault="00AF551A" w:rsidP="00AF551A">
      <w:pPr>
        <w:pStyle w:val="Commarcadores"/>
        <w:numPr>
          <w:ilvl w:val="0"/>
          <w:numId w:val="0"/>
        </w:numPr>
        <w:spacing w:before="40" w:after="80" w:line="312" w:lineRule="auto"/>
        <w:ind w:left="360" w:hanging="360"/>
        <w:jc w:val="both"/>
        <w:rPr>
          <w:lang w:val="pt-BR"/>
        </w:rPr>
      </w:pPr>
    </w:p>
    <w:p w14:paraId="08A8EDA7" w14:textId="08CB01ED" w:rsidR="006A744D" w:rsidRPr="00E95A94" w:rsidRDefault="00000000" w:rsidP="001353DE">
      <w:pPr>
        <w:pStyle w:val="Ttulo2"/>
        <w:rPr>
          <w:lang w:val="pt-BR"/>
        </w:rPr>
      </w:pPr>
      <w:bookmarkStart w:id="24" w:name="_Toc243686834"/>
      <w:r w:rsidRPr="00E95A94">
        <w:rPr>
          <w:lang w:val="pt-BR"/>
        </w:rPr>
        <w:t>5.2 Roteiro Direcional para a Apresentação Executiva</w:t>
      </w:r>
      <w:bookmarkEnd w:id="24"/>
    </w:p>
    <w:p w14:paraId="53B1DC36" w14:textId="77777777" w:rsidR="006A744D" w:rsidRPr="001353DE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Para orientar a confecção dos slides e a gravação da apresentação executiva </w:t>
      </w:r>
      <w:r w:rsidRPr="001353DE">
        <w:rPr>
          <w:rFonts w:ascii="Arial" w:hAnsi="Arial"/>
          <w:color w:val="000000"/>
          <w:sz w:val="24"/>
          <w:lang w:val="pt-BR"/>
        </w:rPr>
        <w:t>na Etapa 4, organi</w:t>
      </w:r>
      <w:r w:rsidRPr="00E95A94">
        <w:rPr>
          <w:rFonts w:ascii="Arial" w:hAnsi="Arial"/>
          <w:color w:val="000000"/>
          <w:sz w:val="24"/>
          <w:lang w:val="pt-BR"/>
        </w:rPr>
        <w:t xml:space="preserve">zamos a matriz </w:t>
      </w:r>
      <w:r w:rsidRPr="001353DE">
        <w:rPr>
          <w:rFonts w:ascii="Arial" w:hAnsi="Arial"/>
          <w:color w:val="000000"/>
          <w:sz w:val="24"/>
          <w:lang w:val="pt-BR"/>
        </w:rPr>
        <w:t>diretiva da Tabela 3:</w:t>
      </w:r>
    </w:p>
    <w:p w14:paraId="6959D476" w14:textId="77777777" w:rsidR="006A744D" w:rsidRPr="00E95A94" w:rsidRDefault="00000000">
      <w:pPr>
        <w:keepNext/>
        <w:spacing w:before="24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>Tabela 3 – Matriz Diretiva de Slides e Roteiro de Apresentação Executiva para a Etapa 4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020"/>
        <w:gridCol w:w="2721"/>
        <w:gridCol w:w="5329"/>
      </w:tblGrid>
      <w:tr w:rsidR="006A744D" w:rsidRPr="00E95A94" w14:paraId="108739F1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8B2B2" w14:textId="77777777" w:rsidR="006A744D" w:rsidRDefault="00000000"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Slide</w:t>
            </w:r>
          </w:p>
        </w:tc>
        <w:tc>
          <w:tcPr>
            <w:tcW w:w="2721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2C2BDC" w14:textId="77777777" w:rsidR="006A744D" w:rsidRDefault="00000000">
            <w:pPr>
              <w:spacing w:before="40" w:after="40" w:line="264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Título Direcional do Slide</w:t>
            </w:r>
          </w:p>
        </w:tc>
        <w:tc>
          <w:tcPr>
            <w:tcW w:w="532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B5E8E" w14:textId="77777777" w:rsidR="006A744D" w:rsidRPr="00E95A94" w:rsidRDefault="00000000">
            <w:pPr>
              <w:spacing w:before="40" w:after="40" w:line="264" w:lineRule="auto"/>
              <w:jc w:val="center"/>
              <w:rPr>
                <w:lang w:val="pt-BR"/>
              </w:rPr>
            </w:pPr>
            <w:r w:rsidRPr="00E95A94">
              <w:rPr>
                <w:rFonts w:ascii="Arial" w:hAnsi="Arial"/>
                <w:b/>
                <w:color w:val="000000"/>
                <w:sz w:val="20"/>
                <w:lang w:val="pt-BR"/>
              </w:rPr>
              <w:t>Mensagem-Chave e Elementos Visuais Obrigatórios</w:t>
            </w:r>
          </w:p>
        </w:tc>
      </w:tr>
      <w:tr w:rsidR="006A744D" w:rsidRPr="00E95A94" w14:paraId="3F8B0B44" w14:textId="77777777">
        <w:trPr>
          <w:jc w:val="center"/>
        </w:trPr>
        <w:tc>
          <w:tcPr>
            <w:tcW w:w="10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6898D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01</w:t>
            </w:r>
          </w:p>
        </w:tc>
        <w:tc>
          <w:tcPr>
            <w:tcW w:w="27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7A624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AgroSense Analytics</w:t>
            </w:r>
          </w:p>
        </w:tc>
        <w:tc>
          <w:tcPr>
            <w:tcW w:w="532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CD643C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Capa Executiva: Edge AI e Diagnóstico Fitopatológico Instantâneo para o Agronegócio (Logotipos Mackenzie e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AgroSense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).</w:t>
            </w:r>
          </w:p>
        </w:tc>
      </w:tr>
      <w:tr w:rsidR="006A744D" w:rsidRPr="00E95A94" w14:paraId="1C6710CD" w14:textId="77777777">
        <w:trPr>
          <w:jc w:val="center"/>
        </w:trPr>
        <w:tc>
          <w:tcPr>
            <w:tcW w:w="10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C15C2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02</w:t>
            </w:r>
          </w:p>
        </w:tc>
        <w:tc>
          <w:tcPr>
            <w:tcW w:w="272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1B8D18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>O Problema Invisível de R$ 55 Bilhões</w:t>
            </w:r>
          </w:p>
        </w:tc>
        <w:tc>
          <w:tcPr>
            <w:tcW w:w="5329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008E7C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A quebra silenciosa de safra por fitopatologias e o apagão de conectividade 4G no campo brasileiro (Gráfico de perdas por hectare).</w:t>
            </w:r>
          </w:p>
        </w:tc>
      </w:tr>
      <w:tr w:rsidR="006A744D" w:rsidRPr="00E95A94" w14:paraId="372C64B1" w14:textId="77777777">
        <w:trPr>
          <w:jc w:val="center"/>
        </w:trPr>
        <w:tc>
          <w:tcPr>
            <w:tcW w:w="10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C5593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03</w:t>
            </w:r>
          </w:p>
        </w:tc>
        <w:tc>
          <w:tcPr>
            <w:tcW w:w="27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BBEB8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>A Complexidade Biológica dos Dados</w:t>
            </w:r>
          </w:p>
        </w:tc>
        <w:tc>
          <w:tcPr>
            <w:tcW w:w="532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807C47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O acervo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PlantVillage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(54.305 fotos, 38 classes) e o desafio do desbalanceamento 36:1 (Gráfico de distribuição de frequências).</w:t>
            </w:r>
          </w:p>
        </w:tc>
      </w:tr>
      <w:tr w:rsidR="006A744D" w:rsidRPr="00E95A94" w14:paraId="0892190B" w14:textId="77777777">
        <w:trPr>
          <w:jc w:val="center"/>
        </w:trPr>
        <w:tc>
          <w:tcPr>
            <w:tcW w:w="10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FBD48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04</w:t>
            </w:r>
          </w:p>
        </w:tc>
        <w:tc>
          <w:tcPr>
            <w:tcW w:w="272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D4AFA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>O Coração da Tecnologia: MobileNetV2</w:t>
            </w:r>
          </w:p>
        </w:tc>
        <w:tc>
          <w:tcPr>
            <w:tcW w:w="5329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207CC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Por que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Deep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Learning: Convoluções separáveis, blocos invertidos e pegada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ultra-leve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de 26 MB (Diagrama arquitetural da rede).</w:t>
            </w:r>
          </w:p>
        </w:tc>
      </w:tr>
      <w:tr w:rsidR="006A744D" w:rsidRPr="00E95A94" w14:paraId="419978FA" w14:textId="77777777">
        <w:trPr>
          <w:jc w:val="center"/>
        </w:trPr>
        <w:tc>
          <w:tcPr>
            <w:tcW w:w="10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77F1B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05</w:t>
            </w:r>
          </w:p>
        </w:tc>
        <w:tc>
          <w:tcPr>
            <w:tcW w:w="27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40CEB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>Resultados Empíricos no Teste Cego</w:t>
            </w:r>
          </w:p>
        </w:tc>
        <w:tc>
          <w:tcPr>
            <w:tcW w:w="532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E0729B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Desempenho de 99,41% Top-1, 99,19% Macro F1 e 100% de recall na minoria (Matriz de Confusão 38x38 e Curvas de Convergência).</w:t>
            </w:r>
          </w:p>
        </w:tc>
      </w:tr>
      <w:tr w:rsidR="006A744D" w:rsidRPr="00E95A94" w14:paraId="0ECB8944" w14:textId="77777777">
        <w:trPr>
          <w:jc w:val="center"/>
        </w:trPr>
        <w:tc>
          <w:tcPr>
            <w:tcW w:w="10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2F267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06</w:t>
            </w:r>
          </w:p>
        </w:tc>
        <w:tc>
          <w:tcPr>
            <w:tcW w:w="272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DA1C41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AgroSense Mobile em Ação</w:t>
            </w:r>
          </w:p>
        </w:tc>
        <w:tc>
          <w:tcPr>
            <w:tcW w:w="5329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AC459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Demonstração do aplicativo operando 100% off-line com latência &lt; 50 </w:t>
            </w: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ms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no talhão (Galeria de diagnósticos de campo).</w:t>
            </w:r>
          </w:p>
        </w:tc>
      </w:tr>
      <w:tr w:rsidR="006A744D" w:rsidRPr="00E95A94" w14:paraId="162F3A5A" w14:textId="77777777">
        <w:trPr>
          <w:jc w:val="center"/>
        </w:trPr>
        <w:tc>
          <w:tcPr>
            <w:tcW w:w="10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5D9DA4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07</w:t>
            </w:r>
          </w:p>
        </w:tc>
        <w:tc>
          <w:tcPr>
            <w:tcW w:w="27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56F4C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 xml:space="preserve">Modelo de Negócios </w:t>
            </w:r>
            <w:proofErr w:type="spellStart"/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>AgTech</w:t>
            </w:r>
            <w:proofErr w:type="spellEnd"/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 xml:space="preserve"> B2B</w:t>
            </w:r>
          </w:p>
        </w:tc>
        <w:tc>
          <w:tcPr>
            <w:tcW w:w="532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BA4D5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Business Model Canvas consolidado: Monetização SaaS por hectare assistido para cooperativas e revendas (Tabela Canvas).</w:t>
            </w:r>
          </w:p>
        </w:tc>
      </w:tr>
      <w:tr w:rsidR="006A744D" w:rsidRPr="00E95A94" w14:paraId="22071164" w14:textId="77777777">
        <w:trPr>
          <w:jc w:val="center"/>
        </w:trPr>
        <w:tc>
          <w:tcPr>
            <w:tcW w:w="1020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DE404D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08</w:t>
            </w:r>
          </w:p>
        </w:tc>
        <w:tc>
          <w:tcPr>
            <w:tcW w:w="2721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586E3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b/>
                <w:color w:val="141414"/>
                <w:sz w:val="19"/>
                <w:lang w:val="pt-BR"/>
              </w:rPr>
              <w:t>Retorno Econômico (ROI) e Impacto ESG</w:t>
            </w:r>
          </w:p>
        </w:tc>
        <w:tc>
          <w:tcPr>
            <w:tcW w:w="5329" w:type="dxa"/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4A628" w14:textId="3842B2E6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Resgate de até 15% de safra, economia de R</w:t>
            </w:r>
            <w:r w:rsidR="001353DE">
              <w:rPr>
                <w:rFonts w:ascii="Arial" w:hAnsi="Arial"/>
                <w:color w:val="141414"/>
                <w:sz w:val="19"/>
                <w:lang w:val="pt-BR"/>
              </w:rPr>
              <w:t>$</w:t>
            </w:r>
            <w:r w:rsidRPr="001353DE">
              <w:rPr>
                <w:rFonts w:ascii="Arial" w:hAnsi="Arial"/>
                <w:color w:val="141414"/>
                <w:sz w:val="19"/>
                <w:lang w:val="pt-BR"/>
              </w:rPr>
              <w:t>180 a R</w:t>
            </w:r>
            <w:r w:rsidR="001353DE" w:rsidRPr="001353DE">
              <w:rPr>
                <w:rFonts w:ascii="Arial" w:hAnsi="Arial"/>
                <w:color w:val="141414"/>
                <w:sz w:val="19"/>
                <w:lang w:val="pt-BR"/>
              </w:rPr>
              <w:t>$</w:t>
            </w:r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350/ha em defensivos e sustentabilidade ODS 2 e 12 (Painel financeiro).</w:t>
            </w:r>
          </w:p>
        </w:tc>
      </w:tr>
      <w:tr w:rsidR="006A744D" w:rsidRPr="00E95A94" w14:paraId="6C0F4BEF" w14:textId="77777777">
        <w:trPr>
          <w:jc w:val="center"/>
        </w:trPr>
        <w:tc>
          <w:tcPr>
            <w:tcW w:w="10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30066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09</w:t>
            </w:r>
          </w:p>
        </w:tc>
        <w:tc>
          <w:tcPr>
            <w:tcW w:w="27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2FF14" w14:textId="77777777" w:rsidR="006A744D" w:rsidRDefault="00000000"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141414"/>
                <w:sz w:val="19"/>
              </w:rPr>
              <w:t>Conclusão e Próximos Passos</w:t>
            </w:r>
          </w:p>
        </w:tc>
        <w:tc>
          <w:tcPr>
            <w:tcW w:w="532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07AAF" w14:textId="77777777" w:rsidR="006A744D" w:rsidRPr="00E95A94" w:rsidRDefault="00000000">
            <w:pPr>
              <w:spacing w:before="20" w:after="40" w:line="264" w:lineRule="auto"/>
              <w:rPr>
                <w:lang w:val="pt-BR"/>
              </w:rPr>
            </w:pPr>
            <w:proofErr w:type="spellStart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>Roadmap</w:t>
            </w:r>
            <w:proofErr w:type="spellEnd"/>
            <w:r w:rsidRPr="00E95A94">
              <w:rPr>
                <w:rFonts w:ascii="Arial" w:hAnsi="Arial"/>
                <w:color w:val="141414"/>
                <w:sz w:val="19"/>
                <w:lang w:val="pt-BR"/>
              </w:rPr>
              <w:t xml:space="preserve"> de aceleração, parcerias piloto com cooperativas e encerramento executivo.</w:t>
            </w:r>
          </w:p>
        </w:tc>
      </w:tr>
    </w:tbl>
    <w:p w14:paraId="21E11127" w14:textId="77777777" w:rsidR="006A744D" w:rsidRPr="00E95A94" w:rsidRDefault="00000000">
      <w:pPr>
        <w:spacing w:before="80" w:after="240" w:line="264" w:lineRule="auto"/>
        <w:jc w:val="center"/>
        <w:rPr>
          <w:lang w:val="pt-BR"/>
        </w:rPr>
      </w:pPr>
      <w:r w:rsidRPr="00E95A94">
        <w:rPr>
          <w:rFonts w:ascii="Arial" w:hAnsi="Arial"/>
          <w:i/>
          <w:color w:val="464646"/>
          <w:sz w:val="19"/>
          <w:lang w:val="pt-BR"/>
        </w:rPr>
        <w:t>Fonte: Elaborado pelos autores (2026).</w:t>
      </w:r>
    </w:p>
    <w:p w14:paraId="797E89D1" w14:textId="77777777" w:rsidR="006A744D" w:rsidRPr="00E95A94" w:rsidRDefault="00000000" w:rsidP="001353DE">
      <w:pPr>
        <w:pStyle w:val="Ttulo1"/>
        <w:rPr>
          <w:lang w:val="pt-BR"/>
        </w:rPr>
      </w:pPr>
      <w:bookmarkStart w:id="25" w:name="_Toc243686835"/>
      <w:r w:rsidRPr="00E95A94">
        <w:rPr>
          <w:lang w:val="pt-BR"/>
        </w:rPr>
        <w:lastRenderedPageBreak/>
        <w:t>6 EVIDÊNCIAS VISUAIS DA ESTEIRA ANALÍTICA E DO PRODUTO</w:t>
      </w:r>
      <w:bookmarkEnd w:id="25"/>
    </w:p>
    <w:p w14:paraId="067A1123" w14:textId="77777777" w:rsidR="006A744D" w:rsidRPr="00E95A94" w:rsidRDefault="00000000" w:rsidP="001353DE">
      <w:pPr>
        <w:pStyle w:val="Ttulo2"/>
        <w:rPr>
          <w:lang w:val="pt-BR"/>
        </w:rPr>
      </w:pPr>
      <w:bookmarkStart w:id="26" w:name="_Toc243686836"/>
      <w:r w:rsidRPr="00E95A94">
        <w:rPr>
          <w:lang w:val="pt-BR"/>
        </w:rPr>
        <w:t xml:space="preserve">6.1 Figura 1 — Arquitetura da Solução Edge AI </w:t>
      </w:r>
      <w:proofErr w:type="spellStart"/>
      <w:r w:rsidRPr="00E95A94">
        <w:rPr>
          <w:lang w:val="pt-BR"/>
        </w:rPr>
        <w:t>AgroSense</w:t>
      </w:r>
      <w:proofErr w:type="spellEnd"/>
      <w:r w:rsidRPr="00E95A94">
        <w:rPr>
          <w:lang w:val="pt-BR"/>
        </w:rPr>
        <w:t xml:space="preserve"> Mobile</w:t>
      </w:r>
      <w:bookmarkEnd w:id="26"/>
    </w:p>
    <w:p w14:paraId="13F02916" w14:textId="77777777" w:rsidR="006A744D" w:rsidRPr="00E95A94" w:rsidRDefault="00000000">
      <w:pPr>
        <w:keepNext/>
        <w:spacing w:before="28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 xml:space="preserve">Figura 1 – Arquitetura da Solução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AgroSense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 xml:space="preserve"> Mobile e Fluxo de Inferência Edge AI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On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>-Device</w:t>
      </w:r>
    </w:p>
    <w:p w14:paraId="7F64DB66" w14:textId="77777777" w:rsidR="006A744D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032FBB42" wp14:editId="592F761E">
            <wp:extent cx="5472000" cy="2647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arquitetura_edge_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4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D0EA" w14:textId="77777777" w:rsidR="006A744D" w:rsidRPr="00E95A94" w:rsidRDefault="00000000">
      <w:pPr>
        <w:spacing w:before="60" w:after="240" w:line="264" w:lineRule="auto"/>
        <w:jc w:val="center"/>
        <w:rPr>
          <w:lang w:val="pt-BR"/>
        </w:rPr>
      </w:pPr>
      <w:r w:rsidRPr="00E95A94">
        <w:rPr>
          <w:rFonts w:ascii="Arial" w:hAnsi="Arial"/>
          <w:i/>
          <w:color w:val="464646"/>
          <w:sz w:val="20"/>
          <w:lang w:val="pt-BR"/>
        </w:rPr>
        <w:t>Fonte: Desenvolvido pelos autores (2026).</w:t>
      </w:r>
    </w:p>
    <w:p w14:paraId="06F87A67" w14:textId="77777777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 Figura 1 detalha a arquitetura geral da solução, evidenciando o desacoplamento completo entre o motor de inferência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on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>-device (Edge AI) e os serviços em nuvem. Essa segregação permite que diagnósticos fitopatológicos sejam emitidos instantaneamente no talhão, reservando a nuvem para telemetria e análise epidemiológica agregada.</w:t>
      </w:r>
    </w:p>
    <w:p w14:paraId="53DECF43" w14:textId="77777777" w:rsidR="001353DE" w:rsidRPr="00E95A94" w:rsidRDefault="001353DE">
      <w:pPr>
        <w:spacing w:after="120" w:line="360" w:lineRule="auto"/>
        <w:ind w:firstLine="709"/>
        <w:jc w:val="both"/>
        <w:rPr>
          <w:lang w:val="pt-BR"/>
        </w:rPr>
      </w:pPr>
    </w:p>
    <w:p w14:paraId="057C6949" w14:textId="77777777" w:rsidR="006A744D" w:rsidRPr="00E95A94" w:rsidRDefault="00000000" w:rsidP="001353DE">
      <w:pPr>
        <w:pStyle w:val="Ttulo2"/>
        <w:rPr>
          <w:lang w:val="pt-BR"/>
        </w:rPr>
      </w:pPr>
      <w:bookmarkStart w:id="27" w:name="_Toc243686837"/>
      <w:r w:rsidRPr="00E95A94">
        <w:rPr>
          <w:lang w:val="pt-BR"/>
        </w:rPr>
        <w:t>6.2 Figura 2 — Curvas de Convergência de Treinamento e Validação</w:t>
      </w:r>
      <w:bookmarkEnd w:id="27"/>
    </w:p>
    <w:p w14:paraId="10DFBAE9" w14:textId="77777777" w:rsidR="006A744D" w:rsidRPr="00E95A94" w:rsidRDefault="00000000">
      <w:pPr>
        <w:keepNext/>
        <w:spacing w:before="28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>Figura 2 – Curvas de Convergência de Treinamento e Validação: Função de Perda e Acurácia por Época</w:t>
      </w:r>
    </w:p>
    <w:p w14:paraId="7212489E" w14:textId="77777777" w:rsidR="006A744D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0CD33E03" wp14:editId="3BE22FB2">
            <wp:extent cx="5218981" cy="1978927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as_aprendiz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3783" cy="19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DCA5" w14:textId="77777777" w:rsidR="006A744D" w:rsidRPr="00E95A94" w:rsidRDefault="00000000">
      <w:pPr>
        <w:spacing w:before="60" w:after="240" w:line="264" w:lineRule="auto"/>
        <w:jc w:val="center"/>
        <w:rPr>
          <w:lang w:val="pt-BR"/>
        </w:rPr>
      </w:pPr>
      <w:r w:rsidRPr="00E95A94">
        <w:rPr>
          <w:rFonts w:ascii="Arial" w:hAnsi="Arial"/>
          <w:i/>
          <w:color w:val="464646"/>
          <w:sz w:val="20"/>
          <w:lang w:val="pt-BR"/>
        </w:rPr>
        <w:t>Fonte: Desenvolvido pelos autores (2026).</w:t>
      </w:r>
    </w:p>
    <w:p w14:paraId="31B57A89" w14:textId="77777777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lastRenderedPageBreak/>
        <w:t xml:space="preserve">A Figura 2 retrata o histórico de convergência do ajuste fino da MobileNetV2 utilizando o otimizador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AdamW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. Observa-se a redução estável da função de perda e a rápida estabilização da acurácia sem sinais de divergência ou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sobreajuste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(</w:t>
      </w:r>
      <w:proofErr w:type="spellStart"/>
      <w:r w:rsidRPr="00E95A94">
        <w:rPr>
          <w:rFonts w:ascii="Arial" w:hAnsi="Arial"/>
          <w:i/>
          <w:color w:val="000000"/>
          <w:sz w:val="24"/>
          <w:lang w:val="pt-BR"/>
        </w:rPr>
        <w:t>overfitting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>).</w:t>
      </w:r>
    </w:p>
    <w:p w14:paraId="65E69B59" w14:textId="77777777" w:rsidR="001353DE" w:rsidRPr="00E95A94" w:rsidRDefault="001353DE">
      <w:pPr>
        <w:spacing w:after="120" w:line="360" w:lineRule="auto"/>
        <w:ind w:firstLine="709"/>
        <w:jc w:val="both"/>
        <w:rPr>
          <w:lang w:val="pt-BR"/>
        </w:rPr>
      </w:pPr>
    </w:p>
    <w:p w14:paraId="1A2AB662" w14:textId="77777777" w:rsidR="006A744D" w:rsidRPr="00E95A94" w:rsidRDefault="00000000" w:rsidP="001353DE">
      <w:pPr>
        <w:pStyle w:val="Ttulo2"/>
        <w:rPr>
          <w:lang w:val="pt-BR"/>
        </w:rPr>
      </w:pPr>
      <w:bookmarkStart w:id="28" w:name="_Toc243686838"/>
      <w:r w:rsidRPr="00E95A94">
        <w:rPr>
          <w:lang w:val="pt-BR"/>
        </w:rPr>
        <w:t xml:space="preserve">6.3 Figura 3 — Matriz de Confusão </w:t>
      </w:r>
      <w:proofErr w:type="spellStart"/>
      <w:r w:rsidRPr="00E95A94">
        <w:rPr>
          <w:lang w:val="pt-BR"/>
        </w:rPr>
        <w:t>Multiclasse</w:t>
      </w:r>
      <w:proofErr w:type="spellEnd"/>
      <w:r w:rsidRPr="00E95A94">
        <w:rPr>
          <w:lang w:val="pt-BR"/>
        </w:rPr>
        <w:t xml:space="preserve"> Normalizada</w:t>
      </w:r>
      <w:bookmarkEnd w:id="28"/>
    </w:p>
    <w:p w14:paraId="73A3948E" w14:textId="77777777" w:rsidR="006A744D" w:rsidRPr="00E95A94" w:rsidRDefault="00000000">
      <w:pPr>
        <w:keepNext/>
        <w:spacing w:before="28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 xml:space="preserve">Figura 3 – Matriz de Confusão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Multiclasse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 xml:space="preserve"> Normalizada por Revocação (38 Classes Fitopatológicas no Teste Cego)</w:t>
      </w:r>
    </w:p>
    <w:p w14:paraId="65870C50" w14:textId="77777777" w:rsidR="006A744D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2B37A7F6" wp14:editId="11335566">
            <wp:extent cx="5472000" cy="48903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confu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9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354E" w14:textId="77777777" w:rsidR="006A744D" w:rsidRPr="00E95A94" w:rsidRDefault="00000000">
      <w:pPr>
        <w:spacing w:before="60" w:after="240" w:line="264" w:lineRule="auto"/>
        <w:jc w:val="center"/>
        <w:rPr>
          <w:lang w:val="pt-BR"/>
        </w:rPr>
      </w:pPr>
      <w:r w:rsidRPr="00E95A94">
        <w:rPr>
          <w:rFonts w:ascii="Arial" w:hAnsi="Arial"/>
          <w:i/>
          <w:color w:val="464646"/>
          <w:sz w:val="20"/>
          <w:lang w:val="pt-BR"/>
        </w:rPr>
        <w:t>Fonte: Desenvolvido pelos autores (2026).</w:t>
      </w:r>
    </w:p>
    <w:p w14:paraId="02399575" w14:textId="192C765B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 Figura 3 apresenta a matriz de confusão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multiclasse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normalizada pelas frequências de suporte das 38 classes avaliadas no teste cego (</w:t>
      </w:r>
      <m:oMath>
        <m:r>
          <w:rPr>
            <w:rFonts w:ascii="Cambria Math" w:hAnsi="Cambria Math"/>
            <w:color w:val="000000" w:themeColor="text1"/>
            <w:sz w:val="24"/>
            <w:lang w:val="pt-BR"/>
          </w:rPr>
          <m:t>N = 8.146</m:t>
        </m:r>
      </m:oMath>
      <w:r w:rsidRPr="001353DE">
        <w:rPr>
          <w:rFonts w:ascii="Arial" w:hAnsi="Arial"/>
          <w:color w:val="000000" w:themeColor="text1"/>
          <w:sz w:val="24"/>
          <w:lang w:val="pt-BR"/>
        </w:rPr>
        <w:t xml:space="preserve"> </w:t>
      </w:r>
      <w:r w:rsidRPr="00E95A94">
        <w:rPr>
          <w:rFonts w:ascii="Arial" w:hAnsi="Arial"/>
          <w:color w:val="000000"/>
          <w:sz w:val="24"/>
          <w:lang w:val="pt-BR"/>
        </w:rPr>
        <w:t>amostras). A concentração quase absoluta na diagonal principal comprova a consistência de discriminação em todas as culturas avaliadas.</w:t>
      </w:r>
    </w:p>
    <w:p w14:paraId="76274BBE" w14:textId="77777777" w:rsidR="006A744D" w:rsidRPr="00E95A94" w:rsidRDefault="00000000" w:rsidP="001353DE">
      <w:pPr>
        <w:pStyle w:val="Ttulo2"/>
        <w:rPr>
          <w:lang w:val="pt-BR"/>
        </w:rPr>
      </w:pPr>
      <w:bookmarkStart w:id="29" w:name="_Toc243686839"/>
      <w:r w:rsidRPr="00E95A94">
        <w:rPr>
          <w:lang w:val="pt-BR"/>
        </w:rPr>
        <w:lastRenderedPageBreak/>
        <w:t>6.4 Figura 4 — Galeria de Diagnósticos em Amostras de Teste Inéditas</w:t>
      </w:r>
      <w:bookmarkEnd w:id="29"/>
    </w:p>
    <w:p w14:paraId="5C91B89A" w14:textId="77777777" w:rsidR="006A744D" w:rsidRPr="00E95A94" w:rsidRDefault="00000000">
      <w:pPr>
        <w:keepNext/>
        <w:spacing w:before="28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 xml:space="preserve">Figura 4 – Galeria de Diagnósticos em Amostras de Teste Inéditas com Probabilidade de Confiança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Softmax</w:t>
      </w:r>
      <w:proofErr w:type="spellEnd"/>
    </w:p>
    <w:p w14:paraId="5D63D12C" w14:textId="77777777" w:rsidR="006A744D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795FD30A" wp14:editId="6C300E2E">
            <wp:extent cx="5472000" cy="5762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eria_infer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76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6E08" w14:textId="77777777" w:rsidR="006A744D" w:rsidRPr="00E95A94" w:rsidRDefault="00000000">
      <w:pPr>
        <w:spacing w:before="60" w:after="240" w:line="264" w:lineRule="auto"/>
        <w:jc w:val="center"/>
        <w:rPr>
          <w:lang w:val="pt-BR"/>
        </w:rPr>
      </w:pPr>
      <w:r w:rsidRPr="00E95A94">
        <w:rPr>
          <w:rFonts w:ascii="Arial" w:hAnsi="Arial"/>
          <w:i/>
          <w:color w:val="464646"/>
          <w:sz w:val="20"/>
          <w:lang w:val="pt-BR"/>
        </w:rPr>
        <w:t>Fonte: Desenvolvido pelos autores (2026).</w:t>
      </w:r>
    </w:p>
    <w:p w14:paraId="49F61C12" w14:textId="77777777" w:rsidR="006A744D" w:rsidRPr="00E95A94" w:rsidRDefault="00000000">
      <w:pPr>
        <w:spacing w:after="120" w:line="360" w:lineRule="auto"/>
        <w:ind w:firstLine="709"/>
        <w:jc w:val="both"/>
        <w:rPr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>A Figura 4 ilustra predições reais geradas pelo modelo sobre amostras do conjunto de teste cego, simulando a visualização disponibilizada na tela do smartphone com as probabilidades calculadas em milissegundos.</w:t>
      </w:r>
    </w:p>
    <w:p w14:paraId="019FBF5A" w14:textId="77777777" w:rsidR="006A744D" w:rsidRPr="00E95A94" w:rsidRDefault="00000000" w:rsidP="001353DE">
      <w:pPr>
        <w:pStyle w:val="Ttulo2"/>
        <w:rPr>
          <w:lang w:val="pt-BR"/>
        </w:rPr>
      </w:pPr>
      <w:bookmarkStart w:id="30" w:name="_Toc243686840"/>
      <w:r w:rsidRPr="00E95A94">
        <w:rPr>
          <w:lang w:val="pt-BR"/>
        </w:rPr>
        <w:lastRenderedPageBreak/>
        <w:t>6.5 Figura 5 — Business Model Canvas Consolidado</w:t>
      </w:r>
      <w:bookmarkEnd w:id="30"/>
    </w:p>
    <w:p w14:paraId="687C86E1" w14:textId="77777777" w:rsidR="006A744D" w:rsidRPr="00E95A94" w:rsidRDefault="00000000">
      <w:pPr>
        <w:keepNext/>
        <w:spacing w:before="280" w:after="80" w:line="264" w:lineRule="auto"/>
        <w:jc w:val="center"/>
        <w:rPr>
          <w:lang w:val="pt-BR"/>
        </w:rPr>
      </w:pPr>
      <w:r w:rsidRPr="00E95A94">
        <w:rPr>
          <w:rFonts w:ascii="Arial" w:hAnsi="Arial"/>
          <w:b/>
          <w:color w:val="000000"/>
          <w:sz w:val="20"/>
          <w:lang w:val="pt-BR"/>
        </w:rPr>
        <w:t xml:space="preserve">Figura 5 – Business Model Canvas Consolidado da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AgroSense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 xml:space="preserve">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Analytics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 xml:space="preserve"> (Modelo B2B SaaS </w:t>
      </w:r>
      <w:proofErr w:type="spellStart"/>
      <w:r w:rsidRPr="00E95A94">
        <w:rPr>
          <w:rFonts w:ascii="Arial" w:hAnsi="Arial"/>
          <w:b/>
          <w:color w:val="000000"/>
          <w:sz w:val="20"/>
          <w:lang w:val="pt-BR"/>
        </w:rPr>
        <w:t>AgTech</w:t>
      </w:r>
      <w:proofErr w:type="spellEnd"/>
      <w:r w:rsidRPr="00E95A94">
        <w:rPr>
          <w:rFonts w:ascii="Arial" w:hAnsi="Arial"/>
          <w:b/>
          <w:color w:val="000000"/>
          <w:sz w:val="20"/>
          <w:lang w:val="pt-BR"/>
        </w:rPr>
        <w:t>)</w:t>
      </w:r>
    </w:p>
    <w:p w14:paraId="0C4F65DF" w14:textId="0E6D8D75" w:rsidR="006A744D" w:rsidRPr="001353DE" w:rsidRDefault="001353DE" w:rsidP="001353DE">
      <w:pPr>
        <w:keepNext/>
        <w:spacing w:before="40" w:after="40" w:line="240" w:lineRule="auto"/>
        <w:jc w:val="center"/>
        <w:rPr>
          <w:lang w:val="pt-BR"/>
        </w:rPr>
      </w:pPr>
      <w:r w:rsidRPr="001353DE">
        <w:rPr>
          <w:lang w:val="pt-BR"/>
        </w:rPr>
        <w:drawing>
          <wp:inline distT="0" distB="0" distL="0" distR="0" wp14:anchorId="0E581425" wp14:editId="4A6FACAA">
            <wp:extent cx="5760085" cy="3383915"/>
            <wp:effectExtent l="0" t="0" r="0" b="6985"/>
            <wp:docPr id="861047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CBD1" w14:textId="77777777" w:rsidR="006A744D" w:rsidRPr="00E95A94" w:rsidRDefault="00000000">
      <w:pPr>
        <w:spacing w:before="60" w:after="240" w:line="264" w:lineRule="auto"/>
        <w:jc w:val="center"/>
        <w:rPr>
          <w:lang w:val="pt-BR"/>
        </w:rPr>
      </w:pPr>
      <w:r w:rsidRPr="00E95A94">
        <w:rPr>
          <w:rFonts w:ascii="Arial" w:hAnsi="Arial"/>
          <w:i/>
          <w:color w:val="464646"/>
          <w:sz w:val="20"/>
          <w:lang w:val="pt-BR"/>
        </w:rPr>
        <w:t>Fonte: Desenvolvido pelos autores (2026).</w:t>
      </w:r>
    </w:p>
    <w:p w14:paraId="75AEE66A" w14:textId="77777777" w:rsidR="006A744D" w:rsidRDefault="00000000">
      <w:pPr>
        <w:spacing w:after="120" w:line="360" w:lineRule="auto"/>
        <w:ind w:firstLine="709"/>
        <w:jc w:val="both"/>
        <w:rPr>
          <w:rFonts w:ascii="Arial" w:hAnsi="Arial"/>
          <w:color w:val="000000"/>
          <w:sz w:val="24"/>
          <w:lang w:val="pt-BR"/>
        </w:rPr>
      </w:pPr>
      <w:r w:rsidRPr="00E95A94">
        <w:rPr>
          <w:rFonts w:ascii="Arial" w:hAnsi="Arial"/>
          <w:color w:val="000000"/>
          <w:sz w:val="24"/>
          <w:lang w:val="pt-BR"/>
        </w:rPr>
        <w:t xml:space="preserve">A Figura 5 consolida os nove blocos estratégicos da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AgroSense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 xml:space="preserve"> </w:t>
      </w:r>
      <w:proofErr w:type="spellStart"/>
      <w:r w:rsidRPr="00E95A94">
        <w:rPr>
          <w:rFonts w:ascii="Arial" w:hAnsi="Arial"/>
          <w:color w:val="000000"/>
          <w:sz w:val="24"/>
          <w:lang w:val="pt-BR"/>
        </w:rPr>
        <w:t>Analytics</w:t>
      </w:r>
      <w:proofErr w:type="spellEnd"/>
      <w:r w:rsidRPr="00E95A94">
        <w:rPr>
          <w:rFonts w:ascii="Arial" w:hAnsi="Arial"/>
          <w:color w:val="000000"/>
          <w:sz w:val="24"/>
          <w:lang w:val="pt-BR"/>
        </w:rPr>
        <w:t>, sistematizando as fontes de receita SaaS B2B, os segmentos de cooperativas atendidos e a estrutura de custos operacionais e computacionais.</w:t>
      </w:r>
    </w:p>
    <w:p w14:paraId="720325B5" w14:textId="77777777" w:rsidR="001353DE" w:rsidRPr="00E95A94" w:rsidRDefault="001353DE">
      <w:pPr>
        <w:spacing w:after="120" w:line="360" w:lineRule="auto"/>
        <w:ind w:firstLine="709"/>
        <w:jc w:val="both"/>
        <w:rPr>
          <w:lang w:val="pt-BR"/>
        </w:rPr>
      </w:pPr>
    </w:p>
    <w:p w14:paraId="4DAC8EAF" w14:textId="5D4C5B03" w:rsidR="006A744D" w:rsidRPr="00AF551A" w:rsidRDefault="00AF551A" w:rsidP="00AF551A">
      <w:pPr>
        <w:pStyle w:val="Ttulo1"/>
        <w:rPr>
          <w:u w:val="single"/>
        </w:rPr>
      </w:pPr>
      <w:bookmarkStart w:id="31" w:name="_Toc243686841"/>
      <w:r>
        <w:t>7</w:t>
      </w:r>
      <w:r w:rsidR="00000000">
        <w:t xml:space="preserve"> REFERÊNCIAS BIBLIOGRÁFICAS</w:t>
      </w:r>
      <w:bookmarkEnd w:id="31"/>
    </w:p>
    <w:p w14:paraId="6FEAB82C" w14:textId="77777777" w:rsidR="006A744D" w:rsidRPr="00E95A94" w:rsidRDefault="00000000">
      <w:pPr>
        <w:spacing w:before="40" w:after="120" w:line="240" w:lineRule="auto"/>
        <w:jc w:val="both"/>
        <w:rPr>
          <w:lang w:val="pt-BR"/>
        </w:rPr>
      </w:pPr>
      <w:r w:rsidRPr="00E95A94">
        <w:rPr>
          <w:rFonts w:ascii="Arial" w:hAnsi="Arial"/>
          <w:color w:val="000000"/>
          <w:lang w:val="pt-BR"/>
        </w:rPr>
        <w:t xml:space="preserve">CASELA, C. R.; FERREIRA, A. S.; ZAMBOLIM, L. </w:t>
      </w:r>
      <w:r w:rsidRPr="00E95A94">
        <w:rPr>
          <w:rFonts w:ascii="Arial" w:hAnsi="Arial"/>
          <w:i/>
          <w:color w:val="000000"/>
          <w:lang w:val="pt-BR"/>
        </w:rPr>
        <w:t>Doenças do milho no Brasil</w:t>
      </w:r>
      <w:r w:rsidRPr="00E95A94">
        <w:rPr>
          <w:rFonts w:ascii="Arial" w:hAnsi="Arial"/>
          <w:color w:val="000000"/>
          <w:lang w:val="pt-BR"/>
        </w:rPr>
        <w:t>. Sete Lagoas: Embrapa Milho e Sorgo, 2006.</w:t>
      </w:r>
    </w:p>
    <w:p w14:paraId="1AA85FB4" w14:textId="77777777" w:rsidR="006A744D" w:rsidRDefault="00000000">
      <w:pPr>
        <w:spacing w:before="40" w:after="120" w:line="240" w:lineRule="auto"/>
        <w:jc w:val="both"/>
      </w:pPr>
      <w:r w:rsidRPr="00E95A94">
        <w:rPr>
          <w:rFonts w:ascii="Arial" w:hAnsi="Arial"/>
          <w:color w:val="000000"/>
          <w:lang w:val="pt-BR"/>
        </w:rPr>
        <w:t xml:space="preserve">GEIRHOS, R. et al. </w:t>
      </w:r>
      <w:r>
        <w:rPr>
          <w:rFonts w:ascii="Arial" w:hAnsi="Arial"/>
          <w:i/>
          <w:color w:val="000000"/>
        </w:rPr>
        <w:t>ImageNet-trained CNNs are biased towards texture; increasing shape bias improves accuracy and robustness</w:t>
      </w:r>
      <w:r>
        <w:rPr>
          <w:rFonts w:ascii="Arial" w:hAnsi="Arial"/>
          <w:color w:val="000000"/>
        </w:rPr>
        <w:t>. In: International Conference on Learning Representations (ICLR), 2019.</w:t>
      </w:r>
    </w:p>
    <w:p w14:paraId="486C4FA3" w14:textId="77777777" w:rsidR="006A744D" w:rsidRDefault="00000000">
      <w:pPr>
        <w:spacing w:before="40" w:after="120" w:line="240" w:lineRule="auto"/>
        <w:jc w:val="both"/>
      </w:pPr>
      <w:r>
        <w:rPr>
          <w:rFonts w:ascii="Arial" w:hAnsi="Arial"/>
          <w:color w:val="000000"/>
        </w:rPr>
        <w:t xml:space="preserve">HE, H.; GARCIA, E. A. </w:t>
      </w:r>
      <w:r>
        <w:rPr>
          <w:rFonts w:ascii="Arial" w:hAnsi="Arial"/>
          <w:i/>
          <w:color w:val="000000"/>
        </w:rPr>
        <w:t>Learning from Imbalanced Data</w:t>
      </w:r>
      <w:r>
        <w:rPr>
          <w:rFonts w:ascii="Arial" w:hAnsi="Arial"/>
          <w:color w:val="000000"/>
        </w:rPr>
        <w:t>. IEEE Transactions on Knowledge and Data Engineering, v. 21, n. 9, p. 1263–1284, 2009.</w:t>
      </w:r>
    </w:p>
    <w:p w14:paraId="7E37F27C" w14:textId="77777777" w:rsidR="006A744D" w:rsidRDefault="00000000">
      <w:pPr>
        <w:spacing w:before="40" w:after="120" w:line="240" w:lineRule="auto"/>
        <w:jc w:val="both"/>
      </w:pPr>
      <w:r>
        <w:rPr>
          <w:rFonts w:ascii="Arial" w:hAnsi="Arial"/>
          <w:color w:val="000000"/>
        </w:rPr>
        <w:t xml:space="preserve">HOWARD, A. G. et al. </w:t>
      </w:r>
      <w:r>
        <w:rPr>
          <w:rFonts w:ascii="Arial" w:hAnsi="Arial"/>
          <w:i/>
          <w:color w:val="000000"/>
        </w:rPr>
        <w:t>MobileNets: Efficient Convolutional Neural Networks for Mobile Vision Applications</w:t>
      </w:r>
      <w:r>
        <w:rPr>
          <w:rFonts w:ascii="Arial" w:hAnsi="Arial"/>
          <w:color w:val="000000"/>
        </w:rPr>
        <w:t>. arXiv preprint arXiv:1704.04861, 2017.</w:t>
      </w:r>
    </w:p>
    <w:p w14:paraId="435E69D2" w14:textId="77777777" w:rsidR="006A744D" w:rsidRDefault="00000000">
      <w:pPr>
        <w:spacing w:before="40" w:after="120" w:line="240" w:lineRule="auto"/>
        <w:jc w:val="both"/>
      </w:pPr>
      <w:r>
        <w:rPr>
          <w:rFonts w:ascii="Arial" w:hAnsi="Arial"/>
          <w:color w:val="000000"/>
        </w:rPr>
        <w:t xml:space="preserve">HUGHES, D. P.; SALATHÉ, M. </w:t>
      </w:r>
      <w:r>
        <w:rPr>
          <w:rFonts w:ascii="Arial" w:hAnsi="Arial"/>
          <w:i/>
          <w:color w:val="000000"/>
        </w:rPr>
        <w:t>An open access repository of images on plant health to enable the development of mobile disease diagnostics</w:t>
      </w:r>
      <w:r>
        <w:rPr>
          <w:rFonts w:ascii="Arial" w:hAnsi="Arial"/>
          <w:color w:val="000000"/>
        </w:rPr>
        <w:t>. arXiv preprint arXiv:1511.08060, 2015.</w:t>
      </w:r>
    </w:p>
    <w:p w14:paraId="180E70FD" w14:textId="77777777" w:rsidR="006A744D" w:rsidRPr="00E95A94" w:rsidRDefault="00000000">
      <w:pPr>
        <w:spacing w:before="40" w:after="120" w:line="240" w:lineRule="auto"/>
        <w:jc w:val="both"/>
        <w:rPr>
          <w:lang w:val="pt-BR"/>
        </w:rPr>
      </w:pPr>
      <w:r>
        <w:rPr>
          <w:rFonts w:ascii="Arial" w:hAnsi="Arial"/>
          <w:color w:val="000000"/>
        </w:rPr>
        <w:lastRenderedPageBreak/>
        <w:t xml:space="preserve">KRIZHEVSKY, A.; SUTSKEVER, I.; HINTON, G. E. </w:t>
      </w:r>
      <w:r>
        <w:rPr>
          <w:rFonts w:ascii="Arial" w:hAnsi="Arial"/>
          <w:i/>
          <w:color w:val="000000"/>
        </w:rPr>
        <w:t>ImageNet classification with deep convolutional neural networks</w:t>
      </w:r>
      <w:r>
        <w:rPr>
          <w:rFonts w:ascii="Arial" w:hAnsi="Arial"/>
          <w:color w:val="000000"/>
        </w:rPr>
        <w:t xml:space="preserve">. </w:t>
      </w:r>
      <w:r w:rsidRPr="00E95A94">
        <w:rPr>
          <w:rFonts w:ascii="Arial" w:hAnsi="Arial"/>
          <w:color w:val="000000"/>
          <w:lang w:val="pt-BR"/>
        </w:rPr>
        <w:t xml:space="preserve">Communications </w:t>
      </w:r>
      <w:proofErr w:type="spellStart"/>
      <w:r w:rsidRPr="00E95A94">
        <w:rPr>
          <w:rFonts w:ascii="Arial" w:hAnsi="Arial"/>
          <w:color w:val="000000"/>
          <w:lang w:val="pt-BR"/>
        </w:rPr>
        <w:t>of</w:t>
      </w:r>
      <w:proofErr w:type="spellEnd"/>
      <w:r w:rsidRPr="00E95A94">
        <w:rPr>
          <w:rFonts w:ascii="Arial" w:hAnsi="Arial"/>
          <w:color w:val="000000"/>
          <w:lang w:val="pt-BR"/>
        </w:rPr>
        <w:t xml:space="preserve"> </w:t>
      </w:r>
      <w:proofErr w:type="spellStart"/>
      <w:r w:rsidRPr="00E95A94">
        <w:rPr>
          <w:rFonts w:ascii="Arial" w:hAnsi="Arial"/>
          <w:color w:val="000000"/>
          <w:lang w:val="pt-BR"/>
        </w:rPr>
        <w:t>the</w:t>
      </w:r>
      <w:proofErr w:type="spellEnd"/>
      <w:r w:rsidRPr="00E95A94">
        <w:rPr>
          <w:rFonts w:ascii="Arial" w:hAnsi="Arial"/>
          <w:color w:val="000000"/>
          <w:lang w:val="pt-BR"/>
        </w:rPr>
        <w:t xml:space="preserve"> ACM, v. 60, n. 6, p. 84–90, 2017.</w:t>
      </w:r>
    </w:p>
    <w:p w14:paraId="7D114943" w14:textId="77777777" w:rsidR="006A744D" w:rsidRPr="00E95A94" w:rsidRDefault="00000000">
      <w:pPr>
        <w:spacing w:before="40" w:after="120" w:line="240" w:lineRule="auto"/>
        <w:jc w:val="both"/>
        <w:rPr>
          <w:lang w:val="pt-BR"/>
        </w:rPr>
      </w:pPr>
      <w:r w:rsidRPr="00E95A94">
        <w:rPr>
          <w:rFonts w:ascii="Arial" w:hAnsi="Arial"/>
          <w:color w:val="000000"/>
          <w:lang w:val="pt-BR"/>
        </w:rPr>
        <w:t xml:space="preserve">OSTERWALDER, A.; PIGNEUR, Y. </w:t>
      </w:r>
      <w:r w:rsidRPr="00E95A94">
        <w:rPr>
          <w:rFonts w:ascii="Arial" w:hAnsi="Arial"/>
          <w:i/>
          <w:color w:val="000000"/>
          <w:lang w:val="pt-BR"/>
        </w:rPr>
        <w:t>Business Model Generation: Inovação em Modelos de Negócios</w:t>
      </w:r>
      <w:r w:rsidRPr="00E95A94">
        <w:rPr>
          <w:rFonts w:ascii="Arial" w:hAnsi="Arial"/>
          <w:color w:val="000000"/>
          <w:lang w:val="pt-BR"/>
        </w:rPr>
        <w:t>. Rio de Janeiro: Alta Books Editora, 2011.</w:t>
      </w:r>
    </w:p>
    <w:p w14:paraId="1B3487C1" w14:textId="77777777" w:rsidR="006A744D" w:rsidRDefault="00000000">
      <w:pPr>
        <w:spacing w:before="40" w:after="120" w:line="240" w:lineRule="auto"/>
        <w:jc w:val="both"/>
      </w:pPr>
      <w:r>
        <w:rPr>
          <w:rFonts w:ascii="Arial" w:hAnsi="Arial"/>
          <w:color w:val="000000"/>
        </w:rPr>
        <w:t xml:space="preserve">SANDLER, M. et al. </w:t>
      </w:r>
      <w:r>
        <w:rPr>
          <w:rFonts w:ascii="Arial" w:hAnsi="Arial"/>
          <w:i/>
          <w:color w:val="000000"/>
        </w:rPr>
        <w:t>MobileNetV2: Inverted Residuals and Linear Bottlenecks</w:t>
      </w:r>
      <w:r>
        <w:rPr>
          <w:rFonts w:ascii="Arial" w:hAnsi="Arial"/>
          <w:color w:val="000000"/>
        </w:rPr>
        <w:t>. In: Proceedings of the IEEE Conference on Computer Vision and Pattern Recognition (CVPR), p. 4510–4520, 2018.</w:t>
      </w:r>
    </w:p>
    <w:p w14:paraId="4948A6B1" w14:textId="77777777" w:rsidR="006A744D" w:rsidRDefault="00000000">
      <w:pPr>
        <w:spacing w:before="40" w:after="120" w:line="240" w:lineRule="auto"/>
        <w:jc w:val="both"/>
      </w:pPr>
      <w:r>
        <w:rPr>
          <w:rFonts w:ascii="Arial" w:hAnsi="Arial"/>
          <w:color w:val="000000"/>
        </w:rPr>
        <w:t xml:space="preserve">SOKOLOVA, M.; LAPALME, G. </w:t>
      </w:r>
      <w:r>
        <w:rPr>
          <w:rFonts w:ascii="Arial" w:hAnsi="Arial"/>
          <w:i/>
          <w:color w:val="000000"/>
        </w:rPr>
        <w:t>A systematic analysis of performance measures for classification tasks</w:t>
      </w:r>
      <w:r>
        <w:rPr>
          <w:rFonts w:ascii="Arial" w:hAnsi="Arial"/>
          <w:color w:val="000000"/>
        </w:rPr>
        <w:t>. Information Processing &amp; Management, v. 45, n. 4, p. 427–437, 2009.</w:t>
      </w:r>
    </w:p>
    <w:sectPr w:rsidR="006A744D" w:rsidSect="00034616">
      <w:headerReference w:type="default" r:id="rId13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257D0" w14:textId="77777777" w:rsidR="00B1796F" w:rsidRDefault="00B1796F" w:rsidP="00E95A94">
      <w:pPr>
        <w:spacing w:after="0" w:line="240" w:lineRule="auto"/>
      </w:pPr>
      <w:r>
        <w:separator/>
      </w:r>
    </w:p>
  </w:endnote>
  <w:endnote w:type="continuationSeparator" w:id="0">
    <w:p w14:paraId="4893A5AD" w14:textId="77777777" w:rsidR="00B1796F" w:rsidRDefault="00B1796F" w:rsidP="00E95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9955" w14:textId="77777777" w:rsidR="00B1796F" w:rsidRDefault="00B1796F" w:rsidP="00E95A94">
      <w:pPr>
        <w:spacing w:after="0" w:line="240" w:lineRule="auto"/>
      </w:pPr>
      <w:r>
        <w:separator/>
      </w:r>
    </w:p>
  </w:footnote>
  <w:footnote w:type="continuationSeparator" w:id="0">
    <w:p w14:paraId="2DC3027B" w14:textId="77777777" w:rsidR="00B1796F" w:rsidRDefault="00B1796F" w:rsidP="00E95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70CA" w14:textId="78FBBE0F" w:rsidR="00E95A94" w:rsidRDefault="00E95A94" w:rsidP="00E95A94">
    <w:pPr>
      <w:pStyle w:val="Cabealho"/>
      <w:jc w:val="center"/>
    </w:pPr>
    <w:r>
      <w:rPr>
        <w:noProof/>
      </w:rPr>
      <w:drawing>
        <wp:inline distT="0" distB="0" distL="0" distR="0" wp14:anchorId="6CB74EB7" wp14:editId="4F53B9B1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6206C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C2EEB"/>
    <w:multiLevelType w:val="hybridMultilevel"/>
    <w:tmpl w:val="DE40E7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26024">
    <w:abstractNumId w:val="8"/>
  </w:num>
  <w:num w:numId="2" w16cid:durableId="1222517573">
    <w:abstractNumId w:val="6"/>
  </w:num>
  <w:num w:numId="3" w16cid:durableId="868376454">
    <w:abstractNumId w:val="5"/>
  </w:num>
  <w:num w:numId="4" w16cid:durableId="816334750">
    <w:abstractNumId w:val="4"/>
  </w:num>
  <w:num w:numId="5" w16cid:durableId="1647666017">
    <w:abstractNumId w:val="7"/>
  </w:num>
  <w:num w:numId="6" w16cid:durableId="1676414743">
    <w:abstractNumId w:val="3"/>
  </w:num>
  <w:num w:numId="7" w16cid:durableId="1923367523">
    <w:abstractNumId w:val="2"/>
  </w:num>
  <w:num w:numId="8" w16cid:durableId="1762681616">
    <w:abstractNumId w:val="1"/>
  </w:num>
  <w:num w:numId="9" w16cid:durableId="275718944">
    <w:abstractNumId w:val="0"/>
  </w:num>
  <w:num w:numId="10" w16cid:durableId="1264024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3DE"/>
    <w:rsid w:val="0015074B"/>
    <w:rsid w:val="0029639D"/>
    <w:rsid w:val="002B49C5"/>
    <w:rsid w:val="00326F90"/>
    <w:rsid w:val="003772B2"/>
    <w:rsid w:val="003A1E67"/>
    <w:rsid w:val="003F4F64"/>
    <w:rsid w:val="006A744D"/>
    <w:rsid w:val="00AA1D8D"/>
    <w:rsid w:val="00AF551A"/>
    <w:rsid w:val="00B1796F"/>
    <w:rsid w:val="00B47730"/>
    <w:rsid w:val="00C96B51"/>
    <w:rsid w:val="00CB0664"/>
    <w:rsid w:val="00DC78E0"/>
    <w:rsid w:val="00E95A94"/>
    <w:rsid w:val="00F03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44A1E"/>
  <w14:defaultImageDpi w14:val="300"/>
  <w15:docId w15:val="{CCF40E43-33F2-44C0-B742-6947A93A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F4F64"/>
    <w:pPr>
      <w:keepNext/>
      <w:keepLines/>
      <w:spacing w:before="360" w:after="12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4F64"/>
    <w:pPr>
      <w:keepNext/>
      <w:keepLines/>
      <w:spacing w:before="280" w:after="80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5A94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F4F6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F4F64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95A94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E95A94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E95A94"/>
    <w:pPr>
      <w:spacing w:after="100"/>
      <w:jc w:val="both"/>
    </w:pPr>
    <w:rPr>
      <w:rFonts w:ascii="Arial" w:hAnsi="Arial"/>
      <w:sz w:val="24"/>
    </w:rPr>
  </w:style>
  <w:style w:type="character" w:styleId="Hyperlink">
    <w:name w:val="Hyperlink"/>
    <w:basedOn w:val="Fontepargpadro"/>
    <w:uiPriority w:val="99"/>
    <w:unhideWhenUsed/>
    <w:rsid w:val="00E95A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20</Pages>
  <Words>5287</Words>
  <Characters>28555</Characters>
  <Application>Microsoft Office Word</Application>
  <DocSecurity>0</DocSecurity>
  <Lines>237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SARMENTO</cp:lastModifiedBy>
  <cp:revision>4</cp:revision>
  <dcterms:created xsi:type="dcterms:W3CDTF">2013-12-23T23:15:00Z</dcterms:created>
  <dcterms:modified xsi:type="dcterms:W3CDTF">2026-10-24T01:26:00Z</dcterms:modified>
  <cp:category/>
</cp:coreProperties>
</file>