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0" w:lineRule="auto" w:before="88"/>
        <w:ind w:left="4486" w:right="1753" w:firstLine="0"/>
        <w:jc w:val="lef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5913047</wp:posOffset>
                </wp:positionH>
                <wp:positionV relativeFrom="page">
                  <wp:posOffset>118799</wp:posOffset>
                </wp:positionV>
                <wp:extent cx="685800" cy="193865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5800" cy="19386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</wps:spPr>
                      <wps:txbx>
                        <w:txbxContent>
                          <w:p>
                            <w:pPr>
                              <w:spacing w:before="278"/>
                              <w:ind w:left="254" w:right="0" w:firstLine="0"/>
                              <w:jc w:val="left"/>
                              <w:rPr>
                                <w:rFonts w:ascii="Cambria"/>
                                <w:b/>
                                <w:color w:val="000000"/>
                                <w:sz w:val="43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2"/>
                                <w:w w:val="120"/>
                                <w:sz w:val="43"/>
                              </w:rPr>
                              <w:t>YSCOHADA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594299pt;margin-top:9.354280pt;width:54pt;height:152.65pt;mso-position-horizontal-relative:page;mso-position-vertical-relative:page;z-index:15729152" type="#_x0000_t202" id="docshape2" filled="true" fillcolor="#1f497d" stroked="false">
                <v:textbox inset="0,0,0,0" style="layout-flow:vertical">
                  <w:txbxContent>
                    <w:p>
                      <w:pPr>
                        <w:spacing w:before="278"/>
                        <w:ind w:left="254" w:right="0" w:firstLine="0"/>
                        <w:jc w:val="left"/>
                        <w:rPr>
                          <w:rFonts w:ascii="Cambria"/>
                          <w:b/>
                          <w:color w:val="000000"/>
                          <w:sz w:val="43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pacing w:val="-2"/>
                          <w:w w:val="120"/>
                          <w:sz w:val="43"/>
                        </w:rPr>
                        <w:t>YSCOHADA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ambria" w:hAnsi="Cambria"/>
          <w:b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6085952</wp:posOffset>
                </wp:positionH>
                <wp:positionV relativeFrom="page">
                  <wp:posOffset>84763</wp:posOffset>
                </wp:positionV>
                <wp:extent cx="351155" cy="208279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5115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mbria"/>
                                <w:b/>
                                <w:sz w:val="43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0"/>
                                <w:w w:val="130"/>
                                <w:sz w:val="4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208862pt;margin-top:6.674289pt;width:27.65pt;height:16.4pt;mso-position-horizontal-relative:page;mso-position-vertical-relative:page;z-index:15729664" type="#_x0000_t202" id="docshape3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mbria"/>
                          <w:b/>
                          <w:sz w:val="43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pacing w:val="-10"/>
                          <w:w w:val="130"/>
                          <w:sz w:val="4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b/>
          <w:color w:val="C00000"/>
          <w:spacing w:val="-2"/>
          <w:sz w:val="42"/>
        </w:rPr>
        <w:t>GUIDE D’APPLICATION</w:t>
      </w: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spacing w:before="407"/>
        <w:rPr>
          <w:rFonts w:ascii="Cambria"/>
          <w:b/>
          <w:sz w:val="42"/>
        </w:rPr>
      </w:pPr>
    </w:p>
    <w:p>
      <w:pPr>
        <w:pStyle w:val="Title"/>
        <w:rPr>
          <w:u w:val="none"/>
        </w:rPr>
      </w:pPr>
      <w:r>
        <w:rPr>
          <w:color w:val="0D0D0D"/>
          <w:w w:val="115"/>
          <w:u w:val="double" w:color="0D0D0D"/>
        </w:rPr>
        <w:t>PREMIERE</w:t>
      </w:r>
      <w:r>
        <w:rPr>
          <w:color w:val="0D0D0D"/>
          <w:spacing w:val="66"/>
          <w:w w:val="115"/>
          <w:u w:val="double" w:color="0D0D0D"/>
        </w:rPr>
        <w:t> </w:t>
      </w:r>
      <w:r>
        <w:rPr>
          <w:color w:val="0D0D0D"/>
          <w:w w:val="115"/>
          <w:u w:val="double" w:color="0D0D0D"/>
        </w:rPr>
        <w:t>PARTIE</w:t>
      </w:r>
      <w:r>
        <w:rPr>
          <w:color w:val="0D0D0D"/>
          <w:spacing w:val="68"/>
          <w:w w:val="115"/>
          <w:u w:val="double" w:color="0D0D0D"/>
        </w:rPr>
        <w:t> </w:t>
      </w:r>
      <w:r>
        <w:rPr>
          <w:color w:val="0D0D0D"/>
          <w:spacing w:val="-10"/>
          <w:w w:val="115"/>
          <w:u w:val="double" w:color="0D0D0D"/>
        </w:rPr>
        <w:t>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2"/>
        <w:rPr>
          <w:rFonts w:ascii="Cambria"/>
          <w:b/>
          <w:sz w:val="20"/>
        </w:rPr>
      </w:pPr>
      <w:r>
        <w:rPr>
          <w:rFonts w:ascii="Cambr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1103303</wp:posOffset>
                </wp:positionH>
                <wp:positionV relativeFrom="paragraph">
                  <wp:posOffset>203500</wp:posOffset>
                </wp:positionV>
                <wp:extent cx="5343525" cy="13779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343525" cy="1377950"/>
                          <a:chExt cx="5343525" cy="137795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15240"/>
                            <a:ext cx="4261104" cy="707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135" cy="582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673608"/>
                            <a:ext cx="3374135" cy="704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767" y="658368"/>
                            <a:ext cx="3249167" cy="579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874298pt;margin-top:16.023632pt;width:420.75pt;height:108.5pt;mso-position-horizontal-relative:page;mso-position-vertical-relative:paragraph;z-index:-15728640;mso-wrap-distance-left:0;mso-wrap-distance-right:0" id="docshapegroup4" coordorigin="1737,320" coordsize="8415,2170">
                <v:shape style="position:absolute;left:1761;top:344;width:6711;height:1114" type="#_x0000_t75" id="docshape5" stroked="false">
                  <v:imagedata r:id="rId6" o:title=""/>
                </v:shape>
                <v:shape style="position:absolute;left:1737;top:320;width:6514;height:917" type="#_x0000_t75" id="docshape6" stroked="false">
                  <v:imagedata r:id="rId7" o:title=""/>
                </v:shape>
                <v:shape style="position:absolute;left:4838;top:1381;width:5314;height:1109" type="#_x0000_t75" id="docshape7" stroked="false">
                  <v:imagedata r:id="rId8" o:title=""/>
                </v:shape>
                <v:shape style="position:absolute;left:4814;top:1357;width:5117;height:912" type="#_x0000_t75" id="docshape8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mbria"/>
          <w:b/>
          <w:sz w:val="20"/>
        </w:rPr>
        <w:sectPr>
          <w:footerReference w:type="default" r:id="rId5"/>
          <w:type w:val="continuous"/>
          <w:pgSz w:w="11910" w:h="16840"/>
          <w:pgMar w:header="0" w:footer="1037" w:top="1280" w:bottom="1220" w:left="141" w:right="1275"/>
          <w:pgNumType w:start="11"/>
        </w:sectPr>
      </w:pPr>
    </w:p>
    <w:p>
      <w:pPr>
        <w:spacing w:before="353"/>
        <w:ind w:left="3564" w:right="0" w:firstLine="0"/>
        <w:jc w:val="left"/>
        <w:rPr>
          <w:rFonts w:ascii="Cambria"/>
          <w:b/>
          <w:sz w:val="31"/>
        </w:rPr>
      </w:pPr>
      <w:r>
        <w:rPr>
          <w:rFonts w:ascii="Cambria"/>
          <w:b/>
          <w:sz w:val="3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106607</wp:posOffset>
                </wp:positionH>
                <wp:positionV relativeFrom="paragraph">
                  <wp:posOffset>-3392</wp:posOffset>
                </wp:positionV>
                <wp:extent cx="1804670" cy="74993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804670" cy="749935"/>
                          <a:chExt cx="1804670" cy="74993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9222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2191" y="42671"/>
                            <a:ext cx="171323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588645">
                                <a:moveTo>
                                  <a:pt x="1356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56969" y="588264"/>
                                </a:lnTo>
                                <a:lnTo>
                                  <a:pt x="1712976" y="294131"/>
                                </a:lnTo>
                                <a:lnTo>
                                  <a:pt x="1356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192" y="42672"/>
                            <a:ext cx="171323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588645">
                                <a:moveTo>
                                  <a:pt x="0" y="0"/>
                                </a:moveTo>
                                <a:lnTo>
                                  <a:pt x="1356970" y="0"/>
                                </a:lnTo>
                                <a:lnTo>
                                  <a:pt x="1712976" y="294132"/>
                                </a:lnTo>
                                <a:lnTo>
                                  <a:pt x="1356970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80467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3"/>
                                <w:ind w:left="38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.2671pt;width:142.1pt;height:59.05pt;mso-position-horizontal-relative:page;mso-position-vertical-relative:paragraph;z-index:15730688" id="docshapegroup9" coordorigin="168,-5" coordsize="2842,1181">
                <v:shape style="position:absolute;left:187;top:-6;width:2823;height:1181" type="#_x0000_t75" id="docshape10" stroked="false">
                  <v:imagedata r:id="rId10" o:title=""/>
                </v:shape>
                <v:shape style="position:absolute;left:187;top:61;width:2698;height:927" id="docshape11" coordorigin="187,62" coordsize="2698,927" path="m2324,62l187,62,187,988,2324,988,2885,525,2324,62xe" filled="true" fillcolor="#376092" stroked="false">
                  <v:path arrowok="t"/>
                  <v:fill type="solid"/>
                </v:shape>
                <v:shape style="position:absolute;left:187;top:61;width:2698;height:927" id="docshape12" coordorigin="187,62" coordsize="2698,927" path="m187,62l2324,62,2885,525,2324,988,187,988e" filled="false" stroked="true" strokeweight="1.92pt" strokecolor="#385d8a">
                  <v:path arrowok="t"/>
                  <v:stroke dashstyle="solid"/>
                </v:shape>
                <v:shape style="position:absolute;left:167;top:-6;width:2842;height:1181" type="#_x0000_t202" id="docshape13" filled="false" stroked="false">
                  <v:textbox inset="0,0,0,0">
                    <w:txbxContent>
                      <w:p>
                        <w:pPr>
                          <w:spacing w:before="313"/>
                          <w:ind w:left="38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color w:val="548DD4"/>
          <w:sz w:val="31"/>
        </w:rPr>
        <w:t>Plan</w:t>
      </w:r>
      <w:r>
        <w:rPr>
          <w:rFonts w:ascii="Cambria"/>
          <w:b/>
          <w:color w:val="548DD4"/>
          <w:spacing w:val="-3"/>
          <w:sz w:val="31"/>
        </w:rPr>
        <w:t> </w:t>
      </w:r>
      <w:r>
        <w:rPr>
          <w:rFonts w:ascii="Cambria"/>
          <w:b/>
          <w:color w:val="548DD4"/>
          <w:sz w:val="31"/>
        </w:rPr>
        <w:t>de</w:t>
      </w:r>
      <w:r>
        <w:rPr>
          <w:rFonts w:ascii="Cambria"/>
          <w:b/>
          <w:color w:val="548DD4"/>
          <w:spacing w:val="-3"/>
          <w:sz w:val="31"/>
        </w:rPr>
        <w:t> </w:t>
      </w:r>
      <w:r>
        <w:rPr>
          <w:rFonts w:ascii="Cambria"/>
          <w:b/>
          <w:color w:val="548DD4"/>
          <w:sz w:val="31"/>
        </w:rPr>
        <w:t>comptes</w:t>
      </w:r>
      <w:r>
        <w:rPr>
          <w:rFonts w:ascii="Cambria"/>
          <w:b/>
          <w:color w:val="548DD4"/>
          <w:spacing w:val="-2"/>
          <w:sz w:val="31"/>
        </w:rPr>
        <w:t> </w:t>
      </w:r>
      <w:r>
        <w:rPr>
          <w:rFonts w:ascii="Cambria"/>
          <w:b/>
          <w:color w:val="548DD4"/>
          <w:sz w:val="31"/>
        </w:rPr>
        <w:t>- </w:t>
      </w:r>
      <w:r>
        <w:rPr>
          <w:rFonts w:ascii="Cambria"/>
          <w:b/>
          <w:color w:val="548DD4"/>
          <w:spacing w:val="-2"/>
          <w:sz w:val="31"/>
        </w:rPr>
        <w:t>subdivisions</w:t>
      </w:r>
    </w:p>
    <w:p>
      <w:pPr>
        <w:pStyle w:val="BodyText"/>
        <w:spacing w:before="189"/>
        <w:rPr>
          <w:rFonts w:ascii="Cambria"/>
          <w:b/>
          <w:sz w:val="36"/>
        </w:rPr>
      </w:pPr>
    </w:p>
    <w:p>
      <w:pPr>
        <w:spacing w:before="0"/>
        <w:ind w:left="1279" w:right="0" w:firstLine="0"/>
        <w:jc w:val="both"/>
        <w:rPr>
          <w:b/>
          <w:sz w:val="36"/>
        </w:rPr>
      </w:pPr>
      <w:r>
        <w:rPr>
          <w:rFonts w:ascii="Cambria"/>
          <w:b/>
          <w:sz w:val="35"/>
        </w:rPr>
        <w:t>SECTION</w:t>
      </w:r>
      <w:r>
        <w:rPr>
          <w:rFonts w:ascii="Cambria"/>
          <w:b/>
          <w:spacing w:val="-5"/>
          <w:sz w:val="35"/>
        </w:rPr>
        <w:t> </w:t>
      </w:r>
      <w:r>
        <w:rPr>
          <w:rFonts w:ascii="Cambria"/>
          <w:b/>
          <w:w w:val="95"/>
          <w:sz w:val="35"/>
        </w:rPr>
        <w:t>1</w:t>
      </w:r>
      <w:r>
        <w:rPr>
          <w:rFonts w:ascii="Cambria"/>
          <w:b/>
          <w:spacing w:val="3"/>
          <w:sz w:val="35"/>
        </w:rPr>
        <w:t> </w:t>
      </w:r>
      <w:r>
        <w:rPr>
          <w:rFonts w:ascii="Cambria"/>
          <w:b/>
          <w:position w:val="1"/>
          <w:sz w:val="38"/>
        </w:rPr>
        <w:t>:</w:t>
      </w:r>
      <w:r>
        <w:rPr>
          <w:rFonts w:ascii="Cambria"/>
          <w:b/>
          <w:spacing w:val="-2"/>
          <w:position w:val="1"/>
          <w:sz w:val="38"/>
        </w:rPr>
        <w:t> </w:t>
      </w:r>
      <w:r>
        <w:rPr>
          <w:b/>
          <w:sz w:val="36"/>
        </w:rPr>
        <w:t>Plan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de</w:t>
      </w:r>
      <w:r>
        <w:rPr>
          <w:b/>
          <w:spacing w:val="-17"/>
          <w:sz w:val="36"/>
        </w:rPr>
        <w:t> </w:t>
      </w:r>
      <w:r>
        <w:rPr>
          <w:b/>
          <w:spacing w:val="-2"/>
          <w:sz w:val="36"/>
        </w:rPr>
        <w:t>comptes</w:t>
      </w:r>
    </w:p>
    <w:p>
      <w:pPr>
        <w:pStyle w:val="BodyText"/>
        <w:spacing w:line="360" w:lineRule="auto" w:before="283"/>
        <w:ind w:left="1279" w:right="135"/>
        <w:jc w:val="both"/>
      </w:pPr>
      <w:r>
        <w:rPr/>
        <w:t>Le «</w:t>
      </w:r>
      <w:r>
        <w:rPr>
          <w:spacing w:val="-1"/>
        </w:rPr>
        <w:t> </w:t>
      </w:r>
      <w:r>
        <w:rPr/>
        <w:t>plan des comptes » n’est pas synonyme de « liste des comptes ». Le Plan comprend,</w:t>
      </w:r>
      <w:r>
        <w:rPr>
          <w:spacing w:val="40"/>
        </w:rPr>
        <w:t> </w:t>
      </w:r>
      <w:r>
        <w:rPr/>
        <w:t>outre la liste détaillée des comptes à 2, 3 et 4 chiffres :</w:t>
      </w:r>
    </w:p>
    <w:p>
      <w:pPr>
        <w:pStyle w:val="ListParagraph"/>
        <w:numPr>
          <w:ilvl w:val="0"/>
          <w:numId w:val="1"/>
        </w:numPr>
        <w:tabs>
          <w:tab w:pos="2178" w:val="left" w:leader="none"/>
        </w:tabs>
        <w:spacing w:line="360" w:lineRule="auto" w:before="3" w:after="0"/>
        <w:ind w:left="1987" w:right="135" w:firstLine="0"/>
        <w:jc w:val="both"/>
        <w:rPr>
          <w:sz w:val="24"/>
        </w:rPr>
      </w:pPr>
      <w:r>
        <w:rPr>
          <w:sz w:val="24"/>
        </w:rPr>
        <w:t>la justification des critères retenus dans l’arborescence des classes, des comptes principaux et divisionnaires,</w:t>
      </w:r>
    </w:p>
    <w:p>
      <w:pPr>
        <w:pStyle w:val="ListParagraph"/>
        <w:numPr>
          <w:ilvl w:val="0"/>
          <w:numId w:val="1"/>
        </w:numPr>
        <w:tabs>
          <w:tab w:pos="2193" w:val="left" w:leader="none"/>
        </w:tabs>
        <w:spacing w:line="360" w:lineRule="auto" w:before="0" w:after="0"/>
        <w:ind w:left="1987" w:right="135" w:firstLine="0"/>
        <w:jc w:val="both"/>
        <w:rPr>
          <w:sz w:val="24"/>
        </w:rPr>
      </w:pPr>
      <w:r>
        <w:rPr>
          <w:sz w:val="24"/>
        </w:rPr>
        <w:t>des indications sur la codification décimale, les constantes et les parallélismes </w:t>
      </w:r>
      <w:r>
        <w:rPr>
          <w:spacing w:val="-2"/>
          <w:sz w:val="24"/>
        </w:rPr>
        <w:t>retenus.</w:t>
      </w:r>
    </w:p>
    <w:p>
      <w:pPr>
        <w:pStyle w:val="Heading1"/>
        <w:numPr>
          <w:ilvl w:val="1"/>
          <w:numId w:val="2"/>
        </w:numPr>
        <w:tabs>
          <w:tab w:pos="2050" w:val="left" w:leader="none"/>
        </w:tabs>
        <w:spacing w:line="321" w:lineRule="exact" w:before="0" w:after="0"/>
        <w:ind w:left="2050" w:right="0" w:hanging="487"/>
        <w:jc w:val="both"/>
      </w:pPr>
      <w:r>
        <w:rPr/>
        <w:t>Les</w:t>
      </w:r>
      <w:r>
        <w:rPr>
          <w:spacing w:val="-4"/>
        </w:rPr>
        <w:t> </w:t>
      </w:r>
      <w:r>
        <w:rPr>
          <w:spacing w:val="-2"/>
        </w:rPr>
        <w:t>Classes</w:t>
      </w: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357" w:lineRule="auto" w:before="157" w:after="0"/>
        <w:ind w:left="2272" w:right="135" w:hanging="360"/>
        <w:jc w:val="both"/>
        <w:rPr>
          <w:sz w:val="24"/>
        </w:rPr>
      </w:pPr>
      <w:r>
        <w:rPr>
          <w:sz w:val="24"/>
        </w:rPr>
        <w:t>L’Acte uniforme relatif au droit comptable et à l’information financière dispose, en son article 18, la distinction, dans la Comptabilité financière, entre les comptes de « situation » et les comptes de « gestion » :</w:t>
      </w:r>
    </w:p>
    <w:p>
      <w:pPr>
        <w:pStyle w:val="ListParagraph"/>
        <w:numPr>
          <w:ilvl w:val="3"/>
          <w:numId w:val="2"/>
        </w:numPr>
        <w:tabs>
          <w:tab w:pos="2697" w:val="left" w:leader="none"/>
        </w:tabs>
        <w:spacing w:line="333" w:lineRule="auto" w:before="4" w:after="0"/>
        <w:ind w:left="2697" w:right="135" w:hanging="360"/>
        <w:jc w:val="both"/>
        <w:rPr>
          <w:sz w:val="24"/>
        </w:rPr>
      </w:pPr>
      <w:r>
        <w:rPr>
          <w:sz w:val="24"/>
        </w:rPr>
        <w:t>les comptes de situation (ou de patrimoine ou de bilan) sont recensés en classes 1 à 5,</w:t>
      </w:r>
    </w:p>
    <w:p>
      <w:pPr>
        <w:pStyle w:val="ListParagraph"/>
        <w:numPr>
          <w:ilvl w:val="3"/>
          <w:numId w:val="2"/>
        </w:numPr>
        <w:tabs>
          <w:tab w:pos="2696" w:val="left" w:leader="none"/>
        </w:tabs>
        <w:spacing w:line="240" w:lineRule="auto" w:before="39" w:after="0"/>
        <w:ind w:left="2696" w:right="0" w:hanging="35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comptes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1"/>
          <w:sz w:val="24"/>
        </w:rPr>
        <w:t> </w:t>
      </w:r>
      <w:r>
        <w:rPr>
          <w:sz w:val="24"/>
        </w:rPr>
        <w:t>(ou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résultat)</w:t>
      </w:r>
      <w:r>
        <w:rPr>
          <w:spacing w:val="-1"/>
          <w:sz w:val="24"/>
        </w:rPr>
        <w:t> </w:t>
      </w:r>
      <w:r>
        <w:rPr>
          <w:sz w:val="24"/>
        </w:rPr>
        <w:t>sont</w:t>
      </w:r>
      <w:r>
        <w:rPr>
          <w:spacing w:val="-1"/>
          <w:sz w:val="24"/>
        </w:rPr>
        <w:t> </w:t>
      </w:r>
      <w:r>
        <w:rPr>
          <w:sz w:val="24"/>
        </w:rPr>
        <w:t>recensés</w:t>
      </w:r>
      <w:r>
        <w:rPr>
          <w:spacing w:val="-1"/>
          <w:sz w:val="24"/>
        </w:rPr>
        <w:t> </w:t>
      </w:r>
      <w:r>
        <w:rPr>
          <w:sz w:val="24"/>
        </w:rPr>
        <w:t>dans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6,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8.</w:t>
      </w: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355" w:lineRule="auto" w:before="113" w:after="0"/>
        <w:ind w:left="2272" w:right="135" w:hanging="360"/>
        <w:jc w:val="both"/>
        <w:rPr>
          <w:sz w:val="24"/>
        </w:rPr>
      </w:pPr>
      <w:r>
        <w:rPr>
          <w:sz w:val="24"/>
        </w:rPr>
        <w:t>Dans les comptes de situation, les classes sont définies en fonction d’une lecture verticale puis horizontale du bilan :</w:t>
      </w:r>
    </w:p>
    <w:p>
      <w:pPr>
        <w:pStyle w:val="ListParagraph"/>
        <w:numPr>
          <w:ilvl w:val="3"/>
          <w:numId w:val="2"/>
        </w:numPr>
        <w:tabs>
          <w:tab w:pos="2697" w:val="left" w:leader="none"/>
        </w:tabs>
        <w:spacing w:line="338" w:lineRule="auto" w:before="4" w:after="0"/>
        <w:ind w:left="2697" w:right="135" w:hanging="360"/>
        <w:jc w:val="both"/>
        <w:rPr>
          <w:sz w:val="24"/>
        </w:rPr>
      </w:pPr>
      <w:r>
        <w:rPr>
          <w:b/>
          <w:sz w:val="24"/>
        </w:rPr>
        <w:t>en lecture « verticale », </w:t>
      </w:r>
      <w:r>
        <w:rPr>
          <w:sz w:val="24"/>
        </w:rPr>
        <w:t>le « haut » du bilan comprend en principe les postes provenant des classes 1 et 2, le « bas » ceux des classes 3, 4 et 5,</w:t>
      </w:r>
    </w:p>
    <w:p>
      <w:pPr>
        <w:pStyle w:val="ListParagraph"/>
        <w:numPr>
          <w:ilvl w:val="3"/>
          <w:numId w:val="2"/>
        </w:numPr>
        <w:tabs>
          <w:tab w:pos="2697" w:val="left" w:leader="none"/>
        </w:tabs>
        <w:spacing w:line="345" w:lineRule="auto" w:before="32" w:after="0"/>
        <w:ind w:left="2697" w:right="135" w:hanging="360"/>
        <w:jc w:val="both"/>
        <w:rPr>
          <w:sz w:val="24"/>
        </w:rPr>
      </w:pPr>
      <w:r>
        <w:rPr>
          <w:b/>
          <w:sz w:val="24"/>
        </w:rPr>
        <w:t>en lecture « horizontale », </w:t>
      </w:r>
      <w:r>
        <w:rPr>
          <w:sz w:val="24"/>
        </w:rPr>
        <w:t>de droite à gauche, le passif synthétise la classe 1</w:t>
      </w:r>
      <w:r>
        <w:rPr>
          <w:spacing w:val="40"/>
          <w:sz w:val="24"/>
        </w:rPr>
        <w:t> </w:t>
      </w:r>
      <w:r>
        <w:rPr>
          <w:sz w:val="24"/>
        </w:rPr>
        <w:t>et partiellement les classes « mixtes » 4 et 5, l’actif synthétise la classe 2 et partiellement les classes 4 et 5.</w:t>
      </w:r>
    </w:p>
    <w:p>
      <w:pPr>
        <w:pStyle w:val="Heading2"/>
        <w:spacing w:after="6"/>
        <w:jc w:val="center"/>
      </w:pPr>
      <w:r>
        <w:rPr>
          <w:spacing w:val="-2"/>
        </w:rPr>
        <w:t>BILAN</w:t>
      </w:r>
    </w:p>
    <w:p>
      <w:pPr>
        <w:pStyle w:val="BodyText"/>
        <w:ind w:left="107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58840" cy="1722120"/>
                <wp:effectExtent l="0" t="0" r="0" b="190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58840" cy="1722120"/>
                          <a:chExt cx="5958840" cy="17221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7908" y="347473"/>
                            <a:ext cx="5858510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1325880">
                                <a:moveTo>
                                  <a:pt x="5858256" y="0"/>
                                </a:moveTo>
                                <a:lnTo>
                                  <a:pt x="5852160" y="0"/>
                                </a:lnTo>
                                <a:lnTo>
                                  <a:pt x="5852160" y="6096"/>
                                </a:lnTo>
                                <a:lnTo>
                                  <a:pt x="5852160" y="1319784"/>
                                </a:lnTo>
                                <a:lnTo>
                                  <a:pt x="2932176" y="1319784"/>
                                </a:lnTo>
                                <a:lnTo>
                                  <a:pt x="2932176" y="6096"/>
                                </a:lnTo>
                                <a:lnTo>
                                  <a:pt x="5852160" y="6096"/>
                                </a:lnTo>
                                <a:lnTo>
                                  <a:pt x="5852160" y="0"/>
                                </a:lnTo>
                                <a:lnTo>
                                  <a:pt x="2932176" y="0"/>
                                </a:lnTo>
                                <a:lnTo>
                                  <a:pt x="2926080" y="0"/>
                                </a:lnTo>
                                <a:lnTo>
                                  <a:pt x="2926080" y="6096"/>
                                </a:lnTo>
                                <a:lnTo>
                                  <a:pt x="292608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6096" y="6096"/>
                                </a:lnTo>
                                <a:lnTo>
                                  <a:pt x="2926080" y="6096"/>
                                </a:lnTo>
                                <a:lnTo>
                                  <a:pt x="292608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6096" y="1325880"/>
                                </a:lnTo>
                                <a:lnTo>
                                  <a:pt x="2926080" y="1325880"/>
                                </a:lnTo>
                                <a:lnTo>
                                  <a:pt x="2932176" y="1325880"/>
                                </a:lnTo>
                                <a:lnTo>
                                  <a:pt x="5852160" y="1325880"/>
                                </a:lnTo>
                                <a:lnTo>
                                  <a:pt x="5858256" y="1325880"/>
                                </a:lnTo>
                                <a:lnTo>
                                  <a:pt x="5858256" y="1319784"/>
                                </a:lnTo>
                                <a:lnTo>
                                  <a:pt x="5858256" y="6096"/>
                                </a:lnTo>
                                <a:lnTo>
                                  <a:pt x="5858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365759"/>
                            <a:ext cx="2965704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685800"/>
                            <a:ext cx="2965704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993647"/>
                            <a:ext cx="2965704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1301496"/>
                            <a:ext cx="2965704" cy="411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5704" y="365759"/>
                            <a:ext cx="2929127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8751" y="1002791"/>
                            <a:ext cx="2929127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8751" y="1310639"/>
                            <a:ext cx="2929127" cy="411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84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691895" y="83650"/>
                            <a:ext cx="4838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ACTIF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678935" y="83650"/>
                            <a:ext cx="5391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PASSIF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39439" y="1098634"/>
                            <a:ext cx="1544955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63" w:val="left" w:leader="none"/>
                                </w:tabs>
                                <w:spacing w:line="266" w:lineRule="exact" w:before="0"/>
                                <w:ind w:left="263" w:right="0" w:hanging="26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Tiers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(créditeurs)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63" w:val="left" w:leader="none"/>
                                </w:tabs>
                                <w:spacing w:before="213"/>
                                <w:ind w:left="263" w:right="0" w:hanging="26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Trésorerie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(négative)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36392" y="464650"/>
                            <a:ext cx="13373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1-Ressources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stables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4007" y="353568"/>
                            <a:ext cx="2920365" cy="1313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78" w:val="left" w:leader="none"/>
                                </w:tabs>
                                <w:spacing w:before="169"/>
                                <w:ind w:left="478" w:right="0" w:hanging="26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Actif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immobilisé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78" w:val="left" w:leader="none"/>
                                </w:tabs>
                                <w:spacing w:before="223"/>
                                <w:ind w:left="478" w:right="0" w:hanging="26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Stocks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78" w:val="left" w:leader="none"/>
                                </w:tabs>
                                <w:spacing w:before="214"/>
                                <w:ind w:left="478" w:right="0" w:hanging="26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Tiers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(débiteurs)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78" w:val="left" w:leader="none"/>
                                </w:tabs>
                                <w:spacing w:before="209"/>
                                <w:ind w:left="478" w:right="0" w:hanging="26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Trésorerie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(positive)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2pt;height:135.6pt;mso-position-horizontal-relative:char;mso-position-vertical-relative:line" id="docshapegroup14" coordorigin="0,0" coordsize="9384,2712">
                <v:shape style="position:absolute;left:91;top:547;width:9226;height:2088" id="docshape15" coordorigin="91,547" coordsize="9226,2088" path="m9317,547l9307,547,9307,557,9307,2626,4709,2626,4709,557,9307,557,9307,547,4709,547,4699,547,4699,557,4699,2626,101,2626,101,557,4699,557,4699,547,101,547,91,547,91,557,91,2626,91,2635,101,2635,4699,2635,4709,2635,9307,2635,9317,2635,9317,2626,9317,557,9317,547xe" filled="true" fillcolor="#000000" stroked="false">
                  <v:path arrowok="t"/>
                  <v:fill type="solid"/>
                </v:shape>
                <v:shape style="position:absolute;left:48;top:576;width:4671;height:648" type="#_x0000_t75" id="docshape16" stroked="false">
                  <v:imagedata r:id="rId11" o:title=""/>
                </v:shape>
                <v:shape style="position:absolute;left:48;top:1080;width:4671;height:648" type="#_x0000_t75" id="docshape17" stroked="false">
                  <v:imagedata r:id="rId11" o:title=""/>
                </v:shape>
                <v:shape style="position:absolute;left:48;top:1564;width:4671;height:648" type="#_x0000_t75" id="docshape18" stroked="false">
                  <v:imagedata r:id="rId11" o:title=""/>
                </v:shape>
                <v:shape style="position:absolute;left:48;top:2049;width:4671;height:648" type="#_x0000_t75" id="docshape19" stroked="false">
                  <v:imagedata r:id="rId11" o:title=""/>
                </v:shape>
                <v:shape style="position:absolute;left:4670;top:576;width:4613;height:648" type="#_x0000_t75" id="docshape20" stroked="false">
                  <v:imagedata r:id="rId12" o:title=""/>
                </v:shape>
                <v:shape style="position:absolute;left:4675;top:1579;width:4613;height:648" type="#_x0000_t75" id="docshape21" stroked="false">
                  <v:imagedata r:id="rId12" o:title=""/>
                </v:shape>
                <v:shape style="position:absolute;left:4675;top:2064;width:4613;height:648" type="#_x0000_t75" id="docshape22" stroked="false">
                  <v:imagedata r:id="rId12" o:title=""/>
                </v:shape>
                <v:shape style="position:absolute;left:0;top:0;width:9384;height:629" type="#_x0000_t75" id="docshape23" stroked="false">
                  <v:imagedata r:id="rId13" o:title=""/>
                </v:shape>
                <v:shape style="position:absolute;left:1089;top:131;width:762;height:266" type="#_x0000_t202" id="docshape2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>ACTIF</w:t>
                        </w:r>
                      </w:p>
                    </w:txbxContent>
                  </v:textbox>
                  <w10:wrap type="none"/>
                </v:shape>
                <v:shape style="position:absolute;left:5793;top:131;width:849;height:266" type="#_x0000_t202" id="docshape2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>PASSIF</w:t>
                        </w:r>
                      </w:p>
                    </w:txbxContent>
                  </v:textbox>
                  <w10:wrap type="none"/>
                </v:shape>
                <v:shape style="position:absolute;left:4944;top:1730;width:2433;height:756" type="#_x0000_t202" id="docshape2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63" w:val="left" w:leader="none"/>
                          </w:tabs>
                          <w:spacing w:line="266" w:lineRule="exact" w:before="0"/>
                          <w:ind w:left="263" w:right="0" w:hanging="2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Tiers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(créditeurs)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63" w:val="left" w:leader="none"/>
                          </w:tabs>
                          <w:spacing w:before="213"/>
                          <w:ind w:left="263" w:right="0" w:hanging="2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Trésorerie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(négative)</w:t>
                        </w:r>
                      </w:p>
                    </w:txbxContent>
                  </v:textbox>
                  <w10:wrap type="none"/>
                </v:shape>
                <v:shape style="position:absolute;left:4939;top:731;width:2106;height:266" type="#_x0000_t202" id="docshape2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1-Ressources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stables</w:t>
                        </w:r>
                      </w:p>
                    </w:txbxContent>
                  </v:textbox>
                  <w10:wrap type="none"/>
                </v:shape>
                <v:shape style="position:absolute;left:100;top:556;width:4599;height:2069" type="#_x0000_t202" id="docshape2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78" w:val="left" w:leader="none"/>
                          </w:tabs>
                          <w:spacing w:before="169"/>
                          <w:ind w:left="478" w:right="0" w:hanging="2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Actif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immobilisé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78" w:val="left" w:leader="none"/>
                          </w:tabs>
                          <w:spacing w:before="223"/>
                          <w:ind w:left="478" w:right="0" w:hanging="2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Stocks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78" w:val="left" w:leader="none"/>
                          </w:tabs>
                          <w:spacing w:before="214"/>
                          <w:ind w:left="478" w:right="0" w:hanging="2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(débiteurs)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78" w:val="left" w:leader="none"/>
                          </w:tabs>
                          <w:spacing w:before="209"/>
                          <w:ind w:left="478" w:right="0" w:hanging="2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Trésorerie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(positive)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80" w:bottom="1220" w:left="141" w:right="1275"/>
        </w:sectPr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77" w:after="0"/>
        <w:ind w:left="1999" w:right="0" w:hanging="360"/>
        <w:jc w:val="left"/>
        <w:rPr>
          <w:sz w:val="24"/>
        </w:rPr>
      </w:pPr>
      <w:r>
        <w:rPr>
          <w:sz w:val="24"/>
        </w:rPr>
        <w:t>Dans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comptes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gestion,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sont</w:t>
      </w:r>
      <w:r>
        <w:rPr>
          <w:spacing w:val="-2"/>
          <w:sz w:val="24"/>
        </w:rPr>
        <w:t> </w:t>
      </w:r>
      <w:r>
        <w:rPr>
          <w:sz w:val="24"/>
        </w:rPr>
        <w:t>définies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5"/>
        </w:numPr>
        <w:tabs>
          <w:tab w:pos="2718" w:val="left" w:leader="none"/>
        </w:tabs>
        <w:spacing w:line="240" w:lineRule="auto" w:before="141" w:after="0"/>
        <w:ind w:left="2718" w:right="0" w:hanging="359"/>
        <w:jc w:val="left"/>
        <w:rPr>
          <w:sz w:val="24"/>
        </w:rPr>
      </w:pPr>
      <w:r>
        <w:rPr>
          <w:sz w:val="24"/>
        </w:rPr>
        <w:t>par</w:t>
      </w:r>
      <w:r>
        <w:rPr>
          <w:spacing w:val="-1"/>
          <w:sz w:val="24"/>
        </w:rPr>
        <w:t> </w:t>
      </w:r>
      <w:r>
        <w:rPr>
          <w:sz w:val="24"/>
        </w:rPr>
        <w:t>rapport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fréquence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l’activité</w:t>
      </w:r>
    </w:p>
    <w:p>
      <w:pPr>
        <w:pStyle w:val="ListParagraph"/>
        <w:numPr>
          <w:ilvl w:val="2"/>
          <w:numId w:val="5"/>
        </w:numPr>
        <w:tabs>
          <w:tab w:pos="3439" w:val="left" w:leader="none"/>
        </w:tabs>
        <w:spacing w:line="240" w:lineRule="auto" w:before="117" w:after="0"/>
        <w:ind w:left="3439" w:right="0" w:hanging="360"/>
        <w:jc w:val="left"/>
        <w:rPr>
          <w:sz w:val="24"/>
        </w:rPr>
      </w:pPr>
      <w:r>
        <w:rPr>
          <w:sz w:val="24"/>
        </w:rPr>
        <w:t>activité</w:t>
      </w:r>
      <w:r>
        <w:rPr>
          <w:spacing w:val="-2"/>
          <w:sz w:val="24"/>
        </w:rPr>
        <w:t> </w:t>
      </w:r>
      <w:r>
        <w:rPr>
          <w:sz w:val="24"/>
        </w:rPr>
        <w:t>«</w:t>
      </w:r>
      <w:r>
        <w:rPr>
          <w:spacing w:val="-1"/>
          <w:sz w:val="24"/>
        </w:rPr>
        <w:t> </w:t>
      </w:r>
      <w:r>
        <w:rPr>
          <w:sz w:val="24"/>
        </w:rPr>
        <w:t>ordinaire</w:t>
      </w:r>
      <w:r>
        <w:rPr>
          <w:spacing w:val="-1"/>
          <w:sz w:val="24"/>
        </w:rPr>
        <w:t> </w:t>
      </w:r>
      <w:r>
        <w:rPr>
          <w:sz w:val="24"/>
        </w:rPr>
        <w:t>»</w:t>
      </w:r>
      <w:r>
        <w:rPr>
          <w:spacing w:val="-1"/>
          <w:sz w:val="24"/>
        </w:rPr>
        <w:t> </w:t>
      </w:r>
      <w:r>
        <w:rPr>
          <w:sz w:val="24"/>
        </w:rPr>
        <w:t>: 6</w:t>
      </w:r>
      <w:r>
        <w:rPr>
          <w:spacing w:val="-1"/>
          <w:sz w:val="24"/>
        </w:rPr>
        <w:t> </w:t>
      </w:r>
      <w:r>
        <w:rPr>
          <w:sz w:val="24"/>
        </w:rPr>
        <w:t>et </w:t>
      </w:r>
      <w:r>
        <w:rPr>
          <w:spacing w:val="-10"/>
          <w:sz w:val="24"/>
        </w:rPr>
        <w:t>7</w:t>
      </w:r>
    </w:p>
    <w:p>
      <w:pPr>
        <w:pStyle w:val="ListParagraph"/>
        <w:numPr>
          <w:ilvl w:val="2"/>
          <w:numId w:val="5"/>
        </w:numPr>
        <w:tabs>
          <w:tab w:pos="3439" w:val="left" w:leader="none"/>
        </w:tabs>
        <w:spacing w:line="240" w:lineRule="auto" w:before="141" w:after="0"/>
        <w:ind w:left="3439" w:right="0" w:hanging="360"/>
        <w:jc w:val="left"/>
        <w:rPr>
          <w:sz w:val="24"/>
        </w:rPr>
      </w:pPr>
      <w:r>
        <w:rPr>
          <w:sz w:val="24"/>
        </w:rPr>
        <w:t>«</w:t>
      </w:r>
      <w:r>
        <w:rPr>
          <w:spacing w:val="-1"/>
          <w:sz w:val="24"/>
        </w:rPr>
        <w:t> </w:t>
      </w:r>
      <w:r>
        <w:rPr>
          <w:sz w:val="24"/>
        </w:rPr>
        <w:t>hors</w:t>
      </w:r>
      <w:r>
        <w:rPr>
          <w:spacing w:val="-2"/>
          <w:sz w:val="24"/>
        </w:rPr>
        <w:t> </w:t>
      </w:r>
      <w:r>
        <w:rPr>
          <w:sz w:val="24"/>
        </w:rPr>
        <w:t>activité</w:t>
      </w:r>
      <w:r>
        <w:rPr>
          <w:spacing w:val="-1"/>
          <w:sz w:val="24"/>
        </w:rPr>
        <w:t> </w:t>
      </w:r>
      <w:r>
        <w:rPr>
          <w:sz w:val="24"/>
        </w:rPr>
        <w:t>ordinaire</w:t>
      </w:r>
      <w:r>
        <w:rPr>
          <w:spacing w:val="-2"/>
          <w:sz w:val="24"/>
        </w:rPr>
        <w:t> </w:t>
      </w:r>
      <w:r>
        <w:rPr>
          <w:sz w:val="24"/>
        </w:rPr>
        <w:t>»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5"/>
        </w:numPr>
        <w:tabs>
          <w:tab w:pos="2719" w:val="left" w:leader="none"/>
        </w:tabs>
        <w:spacing w:line="333" w:lineRule="auto" w:before="137" w:after="0"/>
        <w:ind w:left="2719" w:right="135" w:hanging="360"/>
        <w:jc w:val="left"/>
        <w:rPr>
          <w:sz w:val="24"/>
        </w:rPr>
      </w:pPr>
      <w:r>
        <w:rPr>
          <w:sz w:val="24"/>
        </w:rPr>
        <w:t>puis,</w:t>
      </w:r>
      <w:r>
        <w:rPr>
          <w:spacing w:val="40"/>
          <w:sz w:val="24"/>
        </w:rPr>
        <w:t> </w:t>
      </w:r>
      <w:r>
        <w:rPr>
          <w:sz w:val="24"/>
        </w:rPr>
        <w:t>par</w:t>
      </w:r>
      <w:r>
        <w:rPr>
          <w:spacing w:val="40"/>
          <w:sz w:val="24"/>
        </w:rPr>
        <w:t> </w:t>
      </w:r>
      <w:r>
        <w:rPr>
          <w:sz w:val="24"/>
        </w:rPr>
        <w:t>rapport</w:t>
      </w:r>
      <w:r>
        <w:rPr>
          <w:spacing w:val="40"/>
          <w:sz w:val="24"/>
        </w:rPr>
        <w:t> </w:t>
      </w:r>
      <w:r>
        <w:rPr>
          <w:sz w:val="24"/>
        </w:rPr>
        <w:t>à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place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l’opération</w:t>
      </w:r>
      <w:r>
        <w:rPr>
          <w:spacing w:val="40"/>
          <w:sz w:val="24"/>
        </w:rPr>
        <w:t> </w:t>
      </w:r>
      <w:r>
        <w:rPr>
          <w:sz w:val="24"/>
        </w:rPr>
        <w:t>dans</w:t>
      </w:r>
      <w:r>
        <w:rPr>
          <w:spacing w:val="40"/>
          <w:sz w:val="24"/>
        </w:rPr>
        <w:t> </w:t>
      </w: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sz w:val="24"/>
        </w:rPr>
        <w:t>circuit</w:t>
      </w:r>
      <w:r>
        <w:rPr>
          <w:spacing w:val="40"/>
          <w:sz w:val="24"/>
        </w:rPr>
        <w:t> </w:t>
      </w:r>
      <w:r>
        <w:rPr>
          <w:sz w:val="24"/>
        </w:rPr>
        <w:t>économique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l’entité,</w:t>
      </w:r>
    </w:p>
    <w:p>
      <w:pPr>
        <w:pStyle w:val="ListParagraph"/>
        <w:numPr>
          <w:ilvl w:val="2"/>
          <w:numId w:val="5"/>
        </w:numPr>
        <w:tabs>
          <w:tab w:pos="3439" w:val="left" w:leader="none"/>
        </w:tabs>
        <w:spacing w:line="360" w:lineRule="auto" w:before="38" w:after="0"/>
        <w:ind w:left="3439" w:right="135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amont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l’entité</w:t>
      </w:r>
      <w:r>
        <w:rPr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«</w:t>
      </w:r>
      <w:r>
        <w:rPr>
          <w:spacing w:val="40"/>
          <w:sz w:val="24"/>
        </w:rPr>
        <w:t> </w:t>
      </w:r>
      <w:r>
        <w:rPr>
          <w:sz w:val="24"/>
        </w:rPr>
        <w:t>entrant</w:t>
      </w:r>
      <w:r>
        <w:rPr>
          <w:spacing w:val="40"/>
          <w:sz w:val="24"/>
        </w:rPr>
        <w:t> </w:t>
      </w:r>
      <w:r>
        <w:rPr>
          <w:sz w:val="24"/>
        </w:rPr>
        <w:t>»</w:t>
      </w:r>
      <w:r>
        <w:rPr>
          <w:spacing w:val="40"/>
          <w:sz w:val="24"/>
        </w:rPr>
        <w:t> </w:t>
      </w:r>
      <w:r>
        <w:rPr>
          <w:sz w:val="24"/>
        </w:rPr>
        <w:t>ou</w:t>
      </w:r>
      <w:r>
        <w:rPr>
          <w:spacing w:val="40"/>
          <w:sz w:val="24"/>
        </w:rPr>
        <w:t> </w:t>
      </w:r>
      <w:r>
        <w:rPr>
          <w:sz w:val="24"/>
        </w:rPr>
        <w:t>charge</w:t>
      </w:r>
      <w:r>
        <w:rPr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classe</w:t>
      </w:r>
      <w:r>
        <w:rPr>
          <w:spacing w:val="40"/>
          <w:sz w:val="24"/>
        </w:rPr>
        <w:t> </w:t>
      </w:r>
      <w:r>
        <w:rPr>
          <w:sz w:val="24"/>
        </w:rPr>
        <w:t>6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comptes impairs de la classe 8 (81, 83, 85, 87, 89),</w:t>
      </w:r>
    </w:p>
    <w:p>
      <w:pPr>
        <w:pStyle w:val="ListParagraph"/>
        <w:numPr>
          <w:ilvl w:val="2"/>
          <w:numId w:val="5"/>
        </w:numPr>
        <w:tabs>
          <w:tab w:pos="3439" w:val="left" w:leader="none"/>
        </w:tabs>
        <w:spacing w:line="360" w:lineRule="auto" w:before="3" w:after="0"/>
        <w:ind w:left="3439" w:right="135" w:hanging="360"/>
        <w:jc w:val="left"/>
        <w:rPr>
          <w:sz w:val="24"/>
        </w:rPr>
      </w:pPr>
      <w:r>
        <w:rPr>
          <w:sz w:val="24"/>
        </w:rPr>
        <w:t>en aval de l’entité : « sortant » ou produit : classe 7 et comptes pairs de la classe 8 (82, 84, 86, 88).</w:t>
      </w:r>
    </w:p>
    <w:p>
      <w:pPr>
        <w:pStyle w:val="Heading1"/>
        <w:numPr>
          <w:ilvl w:val="1"/>
          <w:numId w:val="2"/>
        </w:numPr>
        <w:tabs>
          <w:tab w:pos="2050" w:val="left" w:leader="none"/>
        </w:tabs>
        <w:spacing w:line="240" w:lineRule="auto" w:before="272" w:after="0"/>
        <w:ind w:left="2050" w:right="0" w:hanging="487"/>
        <w:jc w:val="both"/>
      </w:pPr>
      <w:r>
        <w:rPr/>
        <w:t>Les</w:t>
      </w:r>
      <w:r>
        <w:rPr>
          <w:spacing w:val="-7"/>
        </w:rPr>
        <w:t> </w:t>
      </w:r>
      <w:r>
        <w:rPr/>
        <w:t>Comptes</w:t>
      </w:r>
      <w:r>
        <w:rPr>
          <w:spacing w:val="-7"/>
        </w:rPr>
        <w:t> </w:t>
      </w:r>
      <w:r>
        <w:rPr/>
        <w:t>principaux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>
          <w:spacing w:val="-2"/>
        </w:rPr>
        <w:t>divisionnaires</w:t>
      </w: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355" w:lineRule="auto" w:before="159" w:after="0"/>
        <w:ind w:left="2272" w:right="135" w:hanging="360"/>
        <w:jc w:val="both"/>
        <w:rPr>
          <w:sz w:val="24"/>
        </w:rPr>
      </w:pPr>
      <w:r>
        <w:rPr>
          <w:sz w:val="24"/>
        </w:rPr>
        <w:t>L’article 18 de l’Acte uniforme relatif au droit comptable et à l’information financière dispose</w:t>
      </w:r>
      <w:r>
        <w:rPr>
          <w:spacing w:val="-3"/>
          <w:sz w:val="24"/>
        </w:rPr>
        <w:t> </w:t>
      </w:r>
      <w:r>
        <w:rPr>
          <w:sz w:val="24"/>
        </w:rPr>
        <w:t>: « chaque classe est subdivisée en comptes identifiés par des numéros à deux chiffres ou plus [...] dans le cadre d’une codification décimale ».</w:t>
      </w:r>
    </w:p>
    <w:p>
      <w:pPr>
        <w:pStyle w:val="BodyText"/>
        <w:spacing w:line="360" w:lineRule="auto" w:before="248"/>
        <w:ind w:left="2272" w:right="135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902135</wp:posOffset>
            </wp:positionH>
            <wp:positionV relativeFrom="paragraph">
              <wp:posOffset>1077404</wp:posOffset>
            </wp:positionV>
            <wp:extent cx="685800" cy="344424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Chaque classe comprend donc en règle générale 10 comptes à deux chiffres, que nous appellerons « comptes principaux », dont le premier se termine par 0 et le dernier par 9.</w:t>
      </w:r>
    </w:p>
    <w:p>
      <w:pPr>
        <w:pStyle w:val="BodyText"/>
        <w:spacing w:before="239"/>
      </w:pPr>
    </w:p>
    <w:p>
      <w:pPr>
        <w:spacing w:before="0"/>
        <w:ind w:left="2359" w:right="0" w:firstLine="0"/>
        <w:jc w:val="both"/>
        <w:rPr>
          <w:sz w:val="24"/>
        </w:rPr>
      </w:pPr>
      <w:r>
        <w:rPr>
          <w:rFonts w:ascii="Cambria"/>
          <w:color w:val="548DD4"/>
          <w:w w:val="110"/>
          <w:sz w:val="21"/>
          <w:u w:val="double" w:color="548DD4"/>
        </w:rPr>
        <w:t>EXEMPLE</w:t>
      </w:r>
      <w:r>
        <w:rPr>
          <w:rFonts w:ascii="Cambria"/>
          <w:color w:val="548DD4"/>
          <w:spacing w:val="35"/>
          <w:w w:val="110"/>
          <w:sz w:val="21"/>
        </w:rPr>
        <w:t> </w:t>
      </w:r>
      <w:r>
        <w:rPr>
          <w:spacing w:val="-10"/>
          <w:w w:val="110"/>
          <w:sz w:val="24"/>
        </w:rPr>
        <w:t>:</w:t>
      </w:r>
    </w:p>
    <w:p>
      <w:pPr>
        <w:pStyle w:val="BodyText"/>
        <w:spacing w:before="106"/>
      </w:pPr>
    </w:p>
    <w:p>
      <w:pPr>
        <w:spacing w:before="0"/>
        <w:ind w:left="2272" w:right="0" w:firstLine="0"/>
        <w:jc w:val="left"/>
        <w:rPr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5"/>
          <w:sz w:val="24"/>
        </w:rPr>
        <w:t> </w:t>
      </w:r>
      <w:r>
        <w:rPr>
          <w:b/>
          <w:i/>
          <w:sz w:val="24"/>
        </w:rPr>
        <w:t>classe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Trésorerie,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détaillée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:</w:t>
      </w:r>
    </w:p>
    <w:p>
      <w:pPr>
        <w:pStyle w:val="BodyText"/>
        <w:spacing w:before="101"/>
        <w:rPr>
          <w:i/>
        </w:rPr>
      </w:pPr>
    </w:p>
    <w:p>
      <w:pPr>
        <w:pStyle w:val="Heading3"/>
        <w:spacing w:line="360" w:lineRule="auto"/>
        <w:ind w:left="2272"/>
        <w:rPr>
          <w:b w:val="0"/>
        </w:rPr>
      </w:pPr>
      <w:r>
        <w:rPr/>
        <w:t>50 - Titres de placement, 51 - Valeurs à encaisser..., 58 - Régie d'avances, accréditifs et virements internes, 59 - Dépréciations et provisions pour risque à court terme</w:t>
      </w:r>
      <w:r>
        <w:rPr>
          <w:b w:val="0"/>
        </w:rPr>
        <w:t>.</w:t>
      </w: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238" w:after="0"/>
        <w:ind w:left="1999" w:right="0" w:hanging="360"/>
        <w:jc w:val="left"/>
        <w:rPr>
          <w:sz w:val="24"/>
        </w:rPr>
      </w:pPr>
      <w:r>
        <w:rPr>
          <w:sz w:val="24"/>
        </w:rPr>
        <w:t>Au-delà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deux</w:t>
      </w:r>
      <w:r>
        <w:rPr>
          <w:spacing w:val="-1"/>
          <w:sz w:val="24"/>
        </w:rPr>
        <w:t> </w:t>
      </w:r>
      <w:r>
        <w:rPr>
          <w:sz w:val="24"/>
        </w:rPr>
        <w:t>chiffres,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subdivisions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limitent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9 </w:t>
      </w:r>
      <w:r>
        <w:rPr>
          <w:spacing w:val="-2"/>
          <w:sz w:val="24"/>
        </w:rPr>
        <w:t>positions.</w:t>
      </w:r>
    </w:p>
    <w:p>
      <w:pPr>
        <w:pStyle w:val="BodyText"/>
        <w:spacing w:before="105"/>
      </w:pPr>
    </w:p>
    <w:p>
      <w:pPr>
        <w:pStyle w:val="BodyText"/>
        <w:spacing w:line="360" w:lineRule="auto"/>
        <w:ind w:left="1987" w:right="135"/>
        <w:jc w:val="both"/>
      </w:pPr>
      <w:r>
        <w:rPr/>
        <w:t>Chaque compte principal peut être subdivisé en 9 comptes à 3 chiffres, et chacun de</w:t>
      </w:r>
      <w:r>
        <w:rPr>
          <w:spacing w:val="40"/>
        </w:rPr>
        <w:t> </w:t>
      </w:r>
      <w:r>
        <w:rPr/>
        <w:t>ses derniers en 9 comptes à 4 chiffres, tous appelés « comptes » (sans autre qualificatif). Le premier numéro se termine alors par 1 et le dernier par 9, le 0 gardant son caractère générique sauf 490 et 590.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37" w:top="1320" w:bottom="1220" w:left="141" w:right="1275"/>
        </w:sectPr>
      </w:pPr>
    </w:p>
    <w:p>
      <w:pPr>
        <w:pStyle w:val="BodyText"/>
        <w:spacing w:before="70"/>
        <w:rPr>
          <w:sz w:val="21"/>
        </w:rPr>
      </w:pPr>
    </w:p>
    <w:p>
      <w:pPr>
        <w:spacing w:before="0"/>
        <w:ind w:left="2359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902135</wp:posOffset>
            </wp:positionH>
            <wp:positionV relativeFrom="paragraph">
              <wp:posOffset>-195593</wp:posOffset>
            </wp:positionV>
            <wp:extent cx="685800" cy="344424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548DD4"/>
          <w:w w:val="110"/>
          <w:sz w:val="21"/>
          <w:u w:val="double" w:color="548DD4"/>
        </w:rPr>
        <w:t>EXEMPLE</w:t>
      </w:r>
      <w:r>
        <w:rPr>
          <w:rFonts w:ascii="Cambria"/>
          <w:color w:val="548DD4"/>
          <w:spacing w:val="35"/>
          <w:w w:val="110"/>
          <w:sz w:val="21"/>
        </w:rPr>
        <w:t> </w:t>
      </w:r>
      <w:r>
        <w:rPr>
          <w:spacing w:val="-10"/>
          <w:w w:val="110"/>
          <w:sz w:val="24"/>
        </w:rPr>
        <w:t>:</w:t>
      </w:r>
    </w:p>
    <w:p>
      <w:pPr>
        <w:pStyle w:val="BodyText"/>
        <w:spacing w:before="106"/>
      </w:pPr>
    </w:p>
    <w:p>
      <w:pPr>
        <w:pStyle w:val="Heading3"/>
        <w:spacing w:line="360" w:lineRule="auto"/>
        <w:rPr>
          <w:b w:val="0"/>
        </w:rPr>
      </w:pPr>
      <w:r>
        <w:rPr>
          <w:b w:val="0"/>
        </w:rPr>
        <w:t>Le compte </w:t>
      </w:r>
      <w:r>
        <w:rPr/>
        <w:t>24 - Matériel </w:t>
      </w:r>
      <w:r>
        <w:rPr>
          <w:b w:val="0"/>
        </w:rPr>
        <w:t>est subdivisé en </w:t>
      </w:r>
      <w:r>
        <w:rPr/>
        <w:t>241 - Matériel et outillage industriel et commercial... 245 - Matériel de transport... 249 - Matériels et actifs biologiques en </w:t>
      </w:r>
      <w:r>
        <w:rPr>
          <w:spacing w:val="-2"/>
        </w:rPr>
        <w:t>cours</w:t>
      </w:r>
      <w:r>
        <w:rPr>
          <w:b w:val="0"/>
          <w:spacing w:val="-2"/>
        </w:rPr>
        <w:t>.</w:t>
      </w:r>
    </w:p>
    <w:p>
      <w:pPr>
        <w:spacing w:line="355" w:lineRule="auto" w:before="241"/>
        <w:ind w:left="1987" w:right="135" w:firstLine="0"/>
        <w:jc w:val="both"/>
        <w:rPr>
          <w:b/>
          <w:i/>
          <w:sz w:val="24"/>
        </w:rPr>
      </w:pPr>
      <w:r>
        <w:rPr>
          <w:i/>
          <w:sz w:val="24"/>
        </w:rPr>
        <w:t>Le compte </w:t>
      </w:r>
      <w:r>
        <w:rPr>
          <w:b/>
          <w:i/>
          <w:sz w:val="24"/>
        </w:rPr>
        <w:t>245 - Matériel de transport </w:t>
      </w:r>
      <w:r>
        <w:rPr>
          <w:i/>
          <w:sz w:val="24"/>
        </w:rPr>
        <w:t>est subdivisé à son tour en </w:t>
      </w:r>
      <w:r>
        <w:rPr>
          <w:b/>
          <w:i/>
          <w:sz w:val="24"/>
        </w:rPr>
        <w:t>2451 - Matériel automobile... 2458 - Autres (vélo, mobylette, moto).</w:t>
      </w: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355" w:lineRule="auto" w:before="251" w:after="0"/>
        <w:ind w:left="1999" w:right="135" w:hanging="360"/>
        <w:jc w:val="both"/>
        <w:rPr>
          <w:sz w:val="24"/>
        </w:rPr>
      </w:pPr>
      <w:r>
        <w:rPr>
          <w:sz w:val="24"/>
        </w:rPr>
        <w:t>Au-delà de quatre chiffres, la subdivision en sous comptes est laissée au choix de l’entité, dans le respect des nomenclatures nationales ou régionales ci-dessous </w:t>
      </w:r>
      <w:r>
        <w:rPr>
          <w:spacing w:val="-2"/>
          <w:sz w:val="24"/>
        </w:rPr>
        <w:t>exposées.</w:t>
      </w:r>
    </w:p>
    <w:p>
      <w:pPr>
        <w:pStyle w:val="Heading1"/>
        <w:numPr>
          <w:ilvl w:val="1"/>
          <w:numId w:val="2"/>
        </w:numPr>
        <w:tabs>
          <w:tab w:pos="1766" w:val="left" w:leader="none"/>
        </w:tabs>
        <w:spacing w:line="240" w:lineRule="auto" w:before="240" w:after="0"/>
        <w:ind w:left="1766" w:right="0" w:hanging="487"/>
        <w:jc w:val="left"/>
      </w:pPr>
      <w:r>
        <w:rPr/>
        <w:t>Les</w:t>
      </w:r>
      <w:r>
        <w:rPr>
          <w:spacing w:val="-4"/>
        </w:rPr>
        <w:t> </w:t>
      </w:r>
      <w:r>
        <w:rPr>
          <w:spacing w:val="-2"/>
        </w:rPr>
        <w:t>Constantes</w:t>
      </w:r>
    </w:p>
    <w:p>
      <w:pPr>
        <w:pStyle w:val="BodyText"/>
        <w:spacing w:before="84"/>
        <w:rPr>
          <w:b/>
          <w:sz w:val="28"/>
        </w:rPr>
      </w:pPr>
    </w:p>
    <w:p>
      <w:pPr>
        <w:pStyle w:val="BodyText"/>
        <w:spacing w:line="360" w:lineRule="auto"/>
        <w:ind w:left="1279"/>
      </w:pPr>
      <w:r>
        <w:rPr/>
        <w:t>Pour</w:t>
      </w:r>
      <w:r>
        <w:rPr>
          <w:spacing w:val="80"/>
        </w:rPr>
        <w:t> </w:t>
      </w:r>
      <w:r>
        <w:rPr/>
        <w:t>des</w:t>
      </w:r>
      <w:r>
        <w:rPr>
          <w:spacing w:val="80"/>
        </w:rPr>
        <w:t> </w:t>
      </w:r>
      <w:r>
        <w:rPr/>
        <w:t>raisons</w:t>
      </w:r>
      <w:r>
        <w:rPr>
          <w:spacing w:val="80"/>
        </w:rPr>
        <w:t> </w:t>
      </w:r>
      <w:r>
        <w:rPr/>
        <w:t>logiques</w:t>
      </w:r>
      <w:r>
        <w:rPr>
          <w:spacing w:val="80"/>
        </w:rPr>
        <w:t> </w:t>
      </w:r>
      <w:r>
        <w:rPr/>
        <w:t>et</w:t>
      </w:r>
      <w:r>
        <w:rPr>
          <w:spacing w:val="80"/>
        </w:rPr>
        <w:t> </w:t>
      </w:r>
      <w:r>
        <w:rPr/>
        <w:t>pédagogiques,</w:t>
      </w:r>
      <w:r>
        <w:rPr>
          <w:spacing w:val="80"/>
        </w:rPr>
        <w:t> </w:t>
      </w:r>
      <w:r>
        <w:rPr/>
        <w:t>des</w:t>
      </w:r>
      <w:r>
        <w:rPr>
          <w:spacing w:val="80"/>
        </w:rPr>
        <w:t> </w:t>
      </w:r>
      <w:r>
        <w:rPr/>
        <w:t>«</w:t>
      </w:r>
      <w:r>
        <w:rPr>
          <w:spacing w:val="80"/>
        </w:rPr>
        <w:t> </w:t>
      </w:r>
      <w:r>
        <w:rPr/>
        <w:t>constantes</w:t>
      </w:r>
      <w:r>
        <w:rPr>
          <w:spacing w:val="80"/>
        </w:rPr>
        <w:t> </w:t>
      </w:r>
      <w:r>
        <w:rPr/>
        <w:t>»</w:t>
      </w:r>
      <w:r>
        <w:rPr>
          <w:spacing w:val="80"/>
        </w:rPr>
        <w:t> </w:t>
      </w:r>
      <w:r>
        <w:rPr/>
        <w:t>sont</w:t>
      </w:r>
      <w:r>
        <w:rPr>
          <w:spacing w:val="80"/>
        </w:rPr>
        <w:t> </w:t>
      </w:r>
      <w:r>
        <w:rPr/>
        <w:t>retenues</w:t>
      </w:r>
      <w:r>
        <w:rPr>
          <w:spacing w:val="80"/>
        </w:rPr>
        <w:t> </w:t>
      </w:r>
      <w:r>
        <w:rPr/>
        <w:t>dans</w:t>
      </w:r>
      <w:r>
        <w:rPr>
          <w:spacing w:val="80"/>
        </w:rPr>
        <w:t> </w:t>
      </w:r>
      <w:r>
        <w:rPr/>
        <w:t>la numérotation des comptes. Ainsi :</w:t>
      </w:r>
    </w:p>
    <w:p>
      <w:pPr>
        <w:pStyle w:val="ListParagraph"/>
        <w:numPr>
          <w:ilvl w:val="2"/>
          <w:numId w:val="2"/>
        </w:numPr>
        <w:tabs>
          <w:tab w:pos="1999" w:val="left" w:leader="none"/>
        </w:tabs>
        <w:spacing w:line="240" w:lineRule="auto" w:before="245" w:after="0"/>
        <w:ind w:left="1999" w:right="0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5"/>
          <w:sz w:val="24"/>
        </w:rPr>
        <w:t> </w:t>
      </w:r>
      <w:r>
        <w:rPr>
          <w:b/>
          <w:sz w:val="24"/>
        </w:rPr>
        <w:t>chiffre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troisième</w:t>
      </w:r>
      <w:r>
        <w:rPr>
          <w:spacing w:val="8"/>
          <w:sz w:val="24"/>
        </w:rPr>
        <w:t> </w:t>
      </w:r>
      <w:r>
        <w:rPr>
          <w:sz w:val="24"/>
        </w:rPr>
        <w:t>ou</w:t>
      </w:r>
      <w:r>
        <w:rPr>
          <w:spacing w:val="8"/>
          <w:sz w:val="24"/>
        </w:rPr>
        <w:t> </w:t>
      </w:r>
      <w:r>
        <w:rPr>
          <w:sz w:val="24"/>
        </w:rPr>
        <w:t>quatrième</w:t>
      </w:r>
      <w:r>
        <w:rPr>
          <w:spacing w:val="8"/>
          <w:sz w:val="24"/>
        </w:rPr>
        <w:t> </w:t>
      </w:r>
      <w:r>
        <w:rPr>
          <w:sz w:val="24"/>
        </w:rPr>
        <w:t>position</w:t>
      </w:r>
      <w:r>
        <w:rPr>
          <w:spacing w:val="8"/>
          <w:sz w:val="24"/>
        </w:rPr>
        <w:t> </w:t>
      </w:r>
      <w:r>
        <w:rPr>
          <w:sz w:val="24"/>
        </w:rPr>
        <w:t>appelle</w:t>
      </w:r>
      <w:r>
        <w:rPr>
          <w:spacing w:val="8"/>
          <w:sz w:val="24"/>
        </w:rPr>
        <w:t> </w:t>
      </w:r>
      <w:r>
        <w:rPr>
          <w:sz w:val="24"/>
        </w:rPr>
        <w:t>souvent</w:t>
      </w:r>
      <w:r>
        <w:rPr>
          <w:spacing w:val="8"/>
          <w:sz w:val="24"/>
        </w:rPr>
        <w:t> </w:t>
      </w:r>
      <w:r>
        <w:rPr>
          <w:sz w:val="24"/>
        </w:rPr>
        <w:t>un</w:t>
      </w:r>
      <w:r>
        <w:rPr>
          <w:spacing w:val="8"/>
          <w:sz w:val="24"/>
        </w:rPr>
        <w:t> </w:t>
      </w:r>
      <w:r>
        <w:rPr>
          <w:sz w:val="24"/>
        </w:rPr>
        <w:t>compte</w:t>
      </w:r>
      <w:r>
        <w:rPr>
          <w:spacing w:val="8"/>
          <w:sz w:val="24"/>
        </w:rPr>
        <w:t> </w:t>
      </w:r>
      <w:r>
        <w:rPr>
          <w:sz w:val="24"/>
        </w:rPr>
        <w:t>résiduel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ou</w:t>
      </w:r>
    </w:p>
    <w:p>
      <w:pPr>
        <w:pStyle w:val="BodyText"/>
        <w:spacing w:line="355" w:lineRule="auto" w:before="136"/>
        <w:ind w:left="1999" w:right="135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902135</wp:posOffset>
            </wp:positionH>
            <wp:positionV relativeFrom="paragraph">
              <wp:posOffset>740852</wp:posOffset>
            </wp:positionV>
            <wp:extent cx="685800" cy="34137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« divers », destiné aux opérations qui n’ont pas trouvé leur place dans les sept catégories précédentes.</w:t>
      </w:r>
    </w:p>
    <w:p>
      <w:pPr>
        <w:pStyle w:val="BodyText"/>
        <w:spacing w:before="246"/>
      </w:pPr>
    </w:p>
    <w:p>
      <w:pPr>
        <w:spacing w:before="0"/>
        <w:ind w:left="2359" w:right="0" w:firstLine="0"/>
        <w:jc w:val="left"/>
        <w:rPr>
          <w:sz w:val="24"/>
        </w:rPr>
      </w:pPr>
      <w:r>
        <w:rPr>
          <w:rFonts w:ascii="Cambria"/>
          <w:color w:val="548DD4"/>
          <w:w w:val="110"/>
          <w:sz w:val="21"/>
          <w:u w:val="double" w:color="548DD4"/>
        </w:rPr>
        <w:t>EXEMPLES</w:t>
      </w:r>
      <w:r>
        <w:rPr>
          <w:rFonts w:ascii="Cambria"/>
          <w:color w:val="548DD4"/>
          <w:spacing w:val="45"/>
          <w:w w:val="110"/>
          <w:sz w:val="21"/>
        </w:rPr>
        <w:t> </w:t>
      </w:r>
      <w:r>
        <w:rPr>
          <w:spacing w:val="-10"/>
          <w:w w:val="110"/>
          <w:sz w:val="24"/>
        </w:rPr>
        <w:t>:</w:t>
      </w:r>
    </w:p>
    <w:p>
      <w:pPr>
        <w:pStyle w:val="BodyText"/>
        <w:spacing w:before="106"/>
      </w:pPr>
    </w:p>
    <w:p>
      <w:pPr>
        <w:spacing w:line="355" w:lineRule="auto" w:before="0"/>
        <w:ind w:left="1987" w:right="0" w:firstLine="0"/>
        <w:jc w:val="left"/>
        <w:rPr>
          <w:i/>
          <w:sz w:val="24"/>
        </w:rPr>
      </w:pPr>
      <w:r>
        <w:rPr>
          <w:b/>
          <w:i/>
          <w:sz w:val="24"/>
        </w:rPr>
        <w:t>168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-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Autres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emprunts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et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dettes</w:t>
      </w:r>
      <w:r>
        <w:rPr>
          <w:i/>
          <w:sz w:val="24"/>
        </w:rPr>
        <w:t>,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dans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subdivision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> </w:t>
      </w:r>
      <w:r>
        <w:rPr>
          <w:b/>
          <w:i/>
          <w:sz w:val="24"/>
        </w:rPr>
        <w:t>16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-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Emprunts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et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dettes </w:t>
      </w:r>
      <w:r>
        <w:rPr>
          <w:b/>
          <w:i/>
          <w:spacing w:val="-2"/>
          <w:sz w:val="24"/>
        </w:rPr>
        <w:t>assimilées</w:t>
      </w:r>
      <w:r>
        <w:rPr>
          <w:i/>
          <w:spacing w:val="-2"/>
          <w:sz w:val="24"/>
        </w:rPr>
        <w:t>.</w:t>
      </w:r>
    </w:p>
    <w:p>
      <w:pPr>
        <w:spacing w:line="360" w:lineRule="auto" w:before="249"/>
        <w:ind w:left="1279" w:right="0" w:firstLine="708"/>
        <w:jc w:val="left"/>
        <w:rPr>
          <w:i/>
          <w:sz w:val="24"/>
        </w:rPr>
      </w:pPr>
      <w:r>
        <w:rPr>
          <w:b/>
          <w:i/>
          <w:sz w:val="24"/>
        </w:rPr>
        <w:t>2458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–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Autres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matériels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transport</w:t>
      </w:r>
      <w:r>
        <w:rPr>
          <w:i/>
          <w:sz w:val="24"/>
        </w:rPr>
        <w:t>,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dans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subdivision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> </w:t>
      </w:r>
      <w:r>
        <w:rPr>
          <w:b/>
          <w:i/>
          <w:sz w:val="24"/>
        </w:rPr>
        <w:t>245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-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Matériel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40"/>
          <w:sz w:val="24"/>
        </w:rPr>
        <w:t> </w:t>
      </w:r>
      <w:r>
        <w:rPr>
          <w:b/>
          <w:i/>
          <w:spacing w:val="-2"/>
          <w:sz w:val="24"/>
        </w:rPr>
        <w:t>transport</w:t>
      </w:r>
      <w:r>
        <w:rPr>
          <w:i/>
          <w:spacing w:val="-2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1999" w:val="left" w:leader="none"/>
        </w:tabs>
        <w:spacing w:line="240" w:lineRule="auto" w:before="244" w:after="0"/>
        <w:ind w:left="1999" w:right="0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b/>
          <w:sz w:val="24"/>
        </w:rPr>
        <w:t>chiffre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deuxième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appelle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compte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provision,</w:t>
      </w:r>
      <w:r>
        <w:rPr>
          <w:spacing w:val="-1"/>
          <w:sz w:val="24"/>
        </w:rPr>
        <w:t> </w:t>
      </w:r>
      <w:r>
        <w:rPr>
          <w:sz w:val="24"/>
        </w:rPr>
        <w:t>soit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2718" w:val="left" w:leader="none"/>
        </w:tabs>
        <w:spacing w:line="240" w:lineRule="auto" w:before="136" w:after="0"/>
        <w:ind w:left="2718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gestion, une</w:t>
      </w:r>
      <w:r>
        <w:rPr>
          <w:spacing w:val="-2"/>
          <w:sz w:val="24"/>
        </w:rPr>
        <w:t> </w:t>
      </w:r>
      <w:r>
        <w:rPr>
          <w:sz w:val="24"/>
        </w:rPr>
        <w:t>dotation (69)</w:t>
      </w:r>
      <w:r>
        <w:rPr>
          <w:spacing w:val="-1"/>
          <w:sz w:val="24"/>
        </w:rPr>
        <w:t> </w:t>
      </w:r>
      <w:r>
        <w:rPr>
          <w:sz w:val="24"/>
        </w:rPr>
        <w:t>ou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1"/>
          <w:sz w:val="24"/>
        </w:rPr>
        <w:t> </w:t>
      </w:r>
      <w:r>
        <w:rPr>
          <w:sz w:val="24"/>
        </w:rPr>
        <w:t>reprise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(79),</w:t>
      </w:r>
    </w:p>
    <w:p>
      <w:pPr>
        <w:pStyle w:val="ListParagraph"/>
        <w:numPr>
          <w:ilvl w:val="3"/>
          <w:numId w:val="2"/>
        </w:numPr>
        <w:tabs>
          <w:tab w:pos="2718" w:val="left" w:leader="none"/>
        </w:tabs>
        <w:spacing w:line="240" w:lineRule="auto" w:before="112" w:after="0"/>
        <w:ind w:left="2718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situation (19,</w:t>
      </w:r>
      <w:r>
        <w:rPr>
          <w:spacing w:val="-1"/>
          <w:sz w:val="24"/>
        </w:rPr>
        <w:t> </w:t>
      </w:r>
      <w:r>
        <w:rPr>
          <w:sz w:val="24"/>
        </w:rPr>
        <w:t>29, 39,</w:t>
      </w:r>
      <w:r>
        <w:rPr>
          <w:spacing w:val="-1"/>
          <w:sz w:val="24"/>
        </w:rPr>
        <w:t> </w:t>
      </w:r>
      <w:r>
        <w:rPr>
          <w:sz w:val="24"/>
        </w:rPr>
        <w:t>49, 59),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1"/>
          <w:sz w:val="24"/>
        </w:rPr>
        <w:t> </w:t>
      </w:r>
      <w:r>
        <w:rPr>
          <w:sz w:val="24"/>
        </w:rPr>
        <w:t>provision</w:t>
      </w:r>
      <w:r>
        <w:rPr>
          <w:spacing w:val="-1"/>
          <w:sz w:val="24"/>
        </w:rPr>
        <w:t> </w:t>
      </w:r>
      <w:r>
        <w:rPr>
          <w:sz w:val="24"/>
        </w:rPr>
        <w:t>ou une</w:t>
      </w:r>
      <w:r>
        <w:rPr>
          <w:spacing w:val="-2"/>
          <w:sz w:val="24"/>
        </w:rPr>
        <w:t> </w:t>
      </w:r>
      <w:r>
        <w:rPr>
          <w:sz w:val="24"/>
        </w:rPr>
        <w:t>dépréciation </w:t>
      </w:r>
      <w:r>
        <w:rPr>
          <w:spacing w:val="-2"/>
          <w:sz w:val="24"/>
        </w:rPr>
        <w:t>existante.</w:t>
      </w:r>
    </w:p>
    <w:p>
      <w:pPr>
        <w:pStyle w:val="BodyText"/>
        <w:spacing w:before="85"/>
      </w:pPr>
    </w:p>
    <w:p>
      <w:pPr>
        <w:pStyle w:val="BodyText"/>
        <w:spacing w:line="355" w:lineRule="auto"/>
        <w:ind w:left="1987"/>
      </w:pPr>
      <w:r>
        <w:rPr/>
        <w:t>Les comptes 29, 39, 49 et 59 présentent un solde opposé à celui des principaux autres comptes de leur classe.</w:t>
      </w:r>
    </w:p>
    <w:p>
      <w:pPr>
        <w:pStyle w:val="BodyText"/>
        <w:spacing w:after="0" w:line="355" w:lineRule="auto"/>
        <w:sectPr>
          <w:pgSz w:w="11910" w:h="16840"/>
          <w:pgMar w:header="0" w:footer="1037" w:top="1400" w:bottom="1220" w:left="141" w:right="1275"/>
        </w:sectPr>
      </w:pPr>
    </w:p>
    <w:p>
      <w:pPr>
        <w:pStyle w:val="ListParagraph"/>
        <w:numPr>
          <w:ilvl w:val="2"/>
          <w:numId w:val="2"/>
        </w:numPr>
        <w:tabs>
          <w:tab w:pos="1999" w:val="left" w:leader="none"/>
        </w:tabs>
        <w:spacing w:line="348" w:lineRule="auto" w:before="82" w:after="0"/>
        <w:ind w:left="1999" w:right="135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902135</wp:posOffset>
            </wp:positionH>
            <wp:positionV relativeFrom="paragraph">
              <wp:posOffset>717459</wp:posOffset>
            </wp:positionV>
            <wp:extent cx="685800" cy="34137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Ce caractère « d’opposant » au sens du solde des autres comptes de la même famille</w:t>
      </w:r>
      <w:r>
        <w:rPr>
          <w:spacing w:val="40"/>
          <w:sz w:val="24"/>
        </w:rPr>
        <w:t> </w:t>
      </w:r>
      <w:r>
        <w:rPr>
          <w:sz w:val="24"/>
        </w:rPr>
        <w:t>est également attribué au chiffre 9 figurant en troisième ou quatrième position :</w:t>
      </w:r>
    </w:p>
    <w:p>
      <w:pPr>
        <w:pStyle w:val="BodyText"/>
        <w:spacing w:before="254"/>
      </w:pPr>
    </w:p>
    <w:p>
      <w:pPr>
        <w:spacing w:before="0"/>
        <w:ind w:left="2359" w:right="0" w:firstLine="0"/>
        <w:jc w:val="left"/>
        <w:rPr>
          <w:sz w:val="24"/>
        </w:rPr>
      </w:pPr>
      <w:r>
        <w:rPr>
          <w:rFonts w:ascii="Cambria"/>
          <w:color w:val="548DD4"/>
          <w:w w:val="110"/>
          <w:sz w:val="21"/>
          <w:u w:val="double" w:color="548DD4"/>
        </w:rPr>
        <w:t>EXEMPLE</w:t>
      </w:r>
      <w:r>
        <w:rPr>
          <w:rFonts w:ascii="Cambria"/>
          <w:color w:val="548DD4"/>
          <w:spacing w:val="35"/>
          <w:w w:val="110"/>
          <w:sz w:val="21"/>
        </w:rPr>
        <w:t> </w:t>
      </w:r>
      <w:r>
        <w:rPr>
          <w:spacing w:val="-10"/>
          <w:w w:val="110"/>
          <w:sz w:val="24"/>
        </w:rPr>
        <w:t>:</w:t>
      </w:r>
    </w:p>
    <w:p>
      <w:pPr>
        <w:pStyle w:val="BodyText"/>
        <w:spacing w:before="105"/>
      </w:pPr>
    </w:p>
    <w:p>
      <w:pPr>
        <w:pStyle w:val="ListParagraph"/>
        <w:numPr>
          <w:ilvl w:val="0"/>
          <w:numId w:val="7"/>
        </w:numPr>
        <w:tabs>
          <w:tab w:pos="2129" w:val="left" w:leader="none"/>
        </w:tabs>
        <w:spacing w:line="355" w:lineRule="auto" w:before="0" w:after="0"/>
        <w:ind w:left="1987" w:right="135" w:firstLine="0"/>
        <w:jc w:val="left"/>
        <w:rPr>
          <w:i/>
          <w:sz w:val="24"/>
        </w:rPr>
      </w:pPr>
      <w:r>
        <w:rPr>
          <w:i/>
          <w:sz w:val="24"/>
        </w:rPr>
        <w:t>109 - Apporteurs, capital souscrit, non appelé et 139 - Résultat net : perte présentent un solde débiteur, à l'encontre des autres comptes 10 et 13,</w:t>
      </w:r>
    </w:p>
    <w:p>
      <w:pPr>
        <w:pStyle w:val="ListParagraph"/>
        <w:numPr>
          <w:ilvl w:val="0"/>
          <w:numId w:val="7"/>
        </w:numPr>
        <w:tabs>
          <w:tab w:pos="2126" w:val="left" w:leader="none"/>
        </w:tabs>
        <w:spacing w:line="240" w:lineRule="auto" w:before="249" w:after="0"/>
        <w:ind w:left="2126" w:right="0" w:hanging="139"/>
        <w:jc w:val="left"/>
        <w:rPr>
          <w:i/>
          <w:sz w:val="24"/>
        </w:rPr>
      </w:pPr>
      <w:r>
        <w:rPr>
          <w:i/>
          <w:sz w:val="24"/>
        </w:rPr>
        <w:t>409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réunit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fournisseurs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débiteurs,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l'opposé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autres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comptes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40,</w:t>
      </w:r>
    </w:p>
    <w:p>
      <w:pPr>
        <w:pStyle w:val="BodyText"/>
        <w:spacing w:before="101"/>
        <w:rPr>
          <w:i/>
        </w:rPr>
      </w:pPr>
    </w:p>
    <w:p>
      <w:pPr>
        <w:pStyle w:val="ListParagraph"/>
        <w:numPr>
          <w:ilvl w:val="0"/>
          <w:numId w:val="7"/>
        </w:numPr>
        <w:tabs>
          <w:tab w:pos="2126" w:val="left" w:leader="none"/>
        </w:tabs>
        <w:spacing w:line="240" w:lineRule="auto" w:before="0" w:after="0"/>
        <w:ind w:left="2126" w:right="0" w:hanging="139"/>
        <w:jc w:val="left"/>
        <w:rPr>
          <w:i/>
          <w:sz w:val="24"/>
        </w:rPr>
      </w:pPr>
      <w:r>
        <w:rPr>
          <w:i/>
          <w:sz w:val="24"/>
        </w:rPr>
        <w:t>419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réunit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clients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créditeurs,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l'opposé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autres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comptes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41,</w:t>
      </w:r>
    </w:p>
    <w:p>
      <w:pPr>
        <w:pStyle w:val="BodyText"/>
        <w:spacing w:before="105"/>
        <w:rPr>
          <w:i/>
        </w:rPr>
      </w:pPr>
    </w:p>
    <w:p>
      <w:pPr>
        <w:pStyle w:val="ListParagraph"/>
        <w:numPr>
          <w:ilvl w:val="0"/>
          <w:numId w:val="7"/>
        </w:numPr>
        <w:tabs>
          <w:tab w:pos="2139" w:val="left" w:leader="none"/>
        </w:tabs>
        <w:spacing w:line="355" w:lineRule="auto" w:before="1" w:after="0"/>
        <w:ind w:left="1987" w:right="135" w:firstLine="0"/>
        <w:jc w:val="left"/>
        <w:rPr>
          <w:i/>
          <w:sz w:val="24"/>
        </w:rPr>
      </w:pPr>
      <w:r>
        <w:rPr>
          <w:i/>
          <w:sz w:val="24"/>
        </w:rPr>
        <w:t>60 x 9 réunit les réductions obtenues non ventilables, à l'opposé des autres comptes 60 x.</w:t>
      </w:r>
    </w:p>
    <w:p>
      <w:pPr>
        <w:pStyle w:val="Heading1"/>
        <w:numPr>
          <w:ilvl w:val="1"/>
          <w:numId w:val="2"/>
        </w:numPr>
        <w:tabs>
          <w:tab w:pos="1766" w:val="left" w:leader="none"/>
        </w:tabs>
        <w:spacing w:line="240" w:lineRule="auto" w:before="245" w:after="0"/>
        <w:ind w:left="1766" w:right="0" w:hanging="487"/>
        <w:jc w:val="left"/>
      </w:pPr>
      <w:r>
        <w:rPr/>
        <w:t>Les</w:t>
      </w:r>
      <w:r>
        <w:rPr>
          <w:spacing w:val="-4"/>
        </w:rPr>
        <w:t> </w:t>
      </w:r>
      <w:r>
        <w:rPr>
          <w:spacing w:val="-2"/>
        </w:rPr>
        <w:t>parallélismes</w:t>
      </w:r>
    </w:p>
    <w:p>
      <w:pPr>
        <w:pStyle w:val="BodyText"/>
        <w:spacing w:before="84"/>
        <w:rPr>
          <w:b/>
          <w:sz w:val="28"/>
        </w:rPr>
      </w:pPr>
    </w:p>
    <w:p>
      <w:pPr>
        <w:pStyle w:val="BodyText"/>
        <w:spacing w:line="355" w:lineRule="auto"/>
        <w:ind w:left="1279" w:right="98"/>
      </w:pPr>
      <w:r>
        <w:rPr/>
        <w:t>Pour les mêmes raisons, une numérotation décimale parallèle est retenue pour des opérations de sens contraire, mais de même nature. Ainsi :</w:t>
      </w:r>
    </w:p>
    <w:p>
      <w:pPr>
        <w:pStyle w:val="ListParagraph"/>
        <w:numPr>
          <w:ilvl w:val="2"/>
          <w:numId w:val="2"/>
        </w:numPr>
        <w:tabs>
          <w:tab w:pos="1845" w:val="left" w:leader="none"/>
          <w:tab w:pos="1999" w:val="left" w:leader="none"/>
        </w:tabs>
        <w:spacing w:line="350" w:lineRule="auto" w:before="251" w:after="0"/>
        <w:ind w:left="1999" w:right="135" w:hanging="360"/>
        <w:jc w:val="left"/>
        <w:rPr>
          <w:sz w:val="24"/>
        </w:rPr>
      </w:pPr>
      <w:r>
        <w:rPr>
          <w:sz w:val="24"/>
        </w:rPr>
        <w:t>en </w:t>
      </w:r>
      <w:r>
        <w:rPr>
          <w:b/>
          <w:sz w:val="24"/>
        </w:rPr>
        <w:t>28 – Amortissements, </w:t>
      </w:r>
      <w:r>
        <w:rPr>
          <w:sz w:val="24"/>
        </w:rPr>
        <w:t>la numérotation des comptes est parallèle à celle des </w:t>
      </w:r>
      <w:r>
        <w:rPr>
          <w:b/>
          <w:sz w:val="24"/>
        </w:rPr>
        <w:t>comptes 21 à 25</w:t>
      </w:r>
      <w:r>
        <w:rPr>
          <w:sz w:val="24"/>
        </w:rPr>
        <w:t>,</w:t>
      </w:r>
    </w:p>
    <w:p>
      <w:pPr>
        <w:pStyle w:val="ListParagraph"/>
        <w:numPr>
          <w:ilvl w:val="2"/>
          <w:numId w:val="2"/>
        </w:numPr>
        <w:tabs>
          <w:tab w:pos="1845" w:val="left" w:leader="none"/>
          <w:tab w:pos="1999" w:val="left" w:leader="none"/>
        </w:tabs>
        <w:spacing w:line="350" w:lineRule="auto" w:before="13" w:after="0"/>
        <w:ind w:left="1999" w:right="135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35"/>
          <w:sz w:val="24"/>
        </w:rPr>
        <w:t> </w:t>
      </w:r>
      <w:r>
        <w:rPr>
          <w:b/>
          <w:sz w:val="24"/>
        </w:rPr>
        <w:t>77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Revenus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financiers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produits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assimilés</w:t>
      </w:r>
      <w:r>
        <w:rPr>
          <w:sz w:val="24"/>
        </w:rPr>
        <w:t>,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35"/>
          <w:sz w:val="24"/>
        </w:rPr>
        <w:t> </w:t>
      </w:r>
      <w:r>
        <w:rPr>
          <w:sz w:val="24"/>
        </w:rPr>
        <w:t>numérotation</w:t>
      </w:r>
      <w:r>
        <w:rPr>
          <w:spacing w:val="35"/>
          <w:sz w:val="24"/>
        </w:rPr>
        <w:t> </w:t>
      </w:r>
      <w:r>
        <w:rPr>
          <w:sz w:val="24"/>
        </w:rPr>
        <w:t>est</w:t>
      </w:r>
      <w:r>
        <w:rPr>
          <w:spacing w:val="35"/>
          <w:sz w:val="24"/>
        </w:rPr>
        <w:t> </w:t>
      </w:r>
      <w:r>
        <w:rPr>
          <w:sz w:val="24"/>
        </w:rPr>
        <w:t>sensiblement parallèle à celle du compte </w:t>
      </w:r>
      <w:r>
        <w:rPr>
          <w:b/>
          <w:sz w:val="24"/>
        </w:rPr>
        <w:t>67 - Frais financiers et charges assimilées</w:t>
      </w:r>
      <w:r>
        <w:rPr>
          <w:sz w:val="24"/>
        </w:rPr>
        <w:t>,</w:t>
      </w:r>
    </w:p>
    <w:p>
      <w:pPr>
        <w:pStyle w:val="ListParagraph"/>
        <w:numPr>
          <w:ilvl w:val="2"/>
          <w:numId w:val="2"/>
        </w:numPr>
        <w:tabs>
          <w:tab w:pos="1845" w:val="left" w:leader="none"/>
        </w:tabs>
        <w:spacing w:line="240" w:lineRule="auto" w:before="12" w:after="0"/>
        <w:ind w:left="1845" w:right="0" w:hanging="206"/>
        <w:jc w:val="left"/>
        <w:rPr>
          <w:sz w:val="24"/>
        </w:rPr>
      </w:pPr>
      <w:r>
        <w:rPr>
          <w:sz w:val="24"/>
        </w:rPr>
        <w:t>en</w:t>
      </w:r>
      <w:r>
        <w:rPr>
          <w:spacing w:val="68"/>
          <w:sz w:val="24"/>
        </w:rPr>
        <w:t> </w:t>
      </w:r>
      <w:r>
        <w:rPr>
          <w:b/>
          <w:sz w:val="24"/>
        </w:rPr>
        <w:t>79</w:t>
      </w:r>
      <w:r>
        <w:rPr>
          <w:b/>
          <w:spacing w:val="7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71"/>
          <w:sz w:val="24"/>
        </w:rPr>
        <w:t> </w:t>
      </w:r>
      <w:r>
        <w:rPr>
          <w:b/>
          <w:sz w:val="24"/>
        </w:rPr>
        <w:t>Reprises</w:t>
      </w:r>
      <w:r>
        <w:rPr>
          <w:b/>
          <w:spacing w:val="7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71"/>
          <w:sz w:val="24"/>
        </w:rPr>
        <w:t> </w:t>
      </w:r>
      <w:r>
        <w:rPr>
          <w:b/>
          <w:sz w:val="24"/>
        </w:rPr>
        <w:t>provisions</w:t>
      </w:r>
      <w:r>
        <w:rPr>
          <w:sz w:val="24"/>
        </w:rPr>
        <w:t>,</w:t>
      </w:r>
      <w:r>
        <w:rPr>
          <w:spacing w:val="71"/>
          <w:sz w:val="24"/>
        </w:rPr>
        <w:t> </w:t>
      </w:r>
      <w:r>
        <w:rPr>
          <w:sz w:val="24"/>
        </w:rPr>
        <w:t>la</w:t>
      </w:r>
      <w:r>
        <w:rPr>
          <w:spacing w:val="70"/>
          <w:sz w:val="24"/>
        </w:rPr>
        <w:t> </w:t>
      </w:r>
      <w:r>
        <w:rPr>
          <w:sz w:val="24"/>
        </w:rPr>
        <w:t>numérotation</w:t>
      </w:r>
      <w:r>
        <w:rPr>
          <w:spacing w:val="71"/>
          <w:sz w:val="24"/>
        </w:rPr>
        <w:t> </w:t>
      </w:r>
      <w:r>
        <w:rPr>
          <w:sz w:val="24"/>
        </w:rPr>
        <w:t>s’inspire</w:t>
      </w:r>
      <w:r>
        <w:rPr>
          <w:spacing w:val="71"/>
          <w:sz w:val="24"/>
        </w:rPr>
        <w:t> </w:t>
      </w:r>
      <w:r>
        <w:rPr>
          <w:sz w:val="24"/>
        </w:rPr>
        <w:t>fortement</w:t>
      </w:r>
      <w:r>
        <w:rPr>
          <w:spacing w:val="71"/>
          <w:sz w:val="24"/>
        </w:rPr>
        <w:t> </w:t>
      </w:r>
      <w:r>
        <w:rPr>
          <w:sz w:val="24"/>
        </w:rPr>
        <w:t>de</w:t>
      </w:r>
      <w:r>
        <w:rPr>
          <w:spacing w:val="71"/>
          <w:sz w:val="24"/>
        </w:rPr>
        <w:t> </w:t>
      </w:r>
      <w:r>
        <w:rPr>
          <w:sz w:val="24"/>
        </w:rPr>
        <w:t>celle</w:t>
      </w:r>
      <w:r>
        <w:rPr>
          <w:spacing w:val="71"/>
          <w:sz w:val="24"/>
        </w:rPr>
        <w:t> </w:t>
      </w:r>
      <w:r>
        <w:rPr>
          <w:spacing w:val="-5"/>
          <w:sz w:val="24"/>
        </w:rPr>
        <w:t>du</w:t>
      </w:r>
    </w:p>
    <w:p>
      <w:pPr>
        <w:pStyle w:val="Heading2"/>
        <w:spacing w:before="136"/>
        <w:ind w:left="1999"/>
        <w:rPr>
          <w:b w:val="0"/>
        </w:rPr>
      </w:pPr>
      <w:r>
        <w:rPr/>
        <w:t>compte</w:t>
      </w:r>
      <w:r>
        <w:rPr>
          <w:spacing w:val="-4"/>
        </w:rPr>
        <w:t> </w:t>
      </w:r>
      <w:r>
        <w:rPr>
          <w:spacing w:val="-5"/>
        </w:rPr>
        <w:t>69</w:t>
      </w:r>
      <w:r>
        <w:rPr>
          <w:b w:val="0"/>
          <w:spacing w:val="-5"/>
        </w:rPr>
        <w:t>.</w:t>
      </w:r>
    </w:p>
    <w:p>
      <w:pPr>
        <w:pStyle w:val="Heading2"/>
        <w:spacing w:after="0"/>
        <w:rPr>
          <w:b w:val="0"/>
        </w:rPr>
        <w:sectPr>
          <w:pgSz w:w="11910" w:h="16840"/>
          <w:pgMar w:header="0" w:footer="1037" w:top="1320" w:bottom="1220" w:left="141" w:right="1275"/>
        </w:sectPr>
      </w:pPr>
    </w:p>
    <w:p>
      <w:pPr>
        <w:spacing w:before="88"/>
        <w:ind w:left="1279" w:right="0" w:firstLine="0"/>
        <w:jc w:val="left"/>
        <w:rPr>
          <w:b/>
          <w:sz w:val="36"/>
        </w:rPr>
      </w:pPr>
      <w:r>
        <w:rPr>
          <w:rFonts w:ascii="Cambria"/>
          <w:b/>
          <w:sz w:val="35"/>
        </w:rPr>
        <w:t>SECTION</w:t>
      </w:r>
      <w:r>
        <w:rPr>
          <w:rFonts w:ascii="Cambria"/>
          <w:b/>
          <w:spacing w:val="3"/>
          <w:sz w:val="35"/>
        </w:rPr>
        <w:t> </w:t>
      </w:r>
      <w:r>
        <w:rPr>
          <w:rFonts w:ascii="Cambria"/>
          <w:b/>
          <w:sz w:val="35"/>
        </w:rPr>
        <w:t>2</w:t>
      </w:r>
      <w:r>
        <w:rPr>
          <w:rFonts w:ascii="Cambria"/>
          <w:b/>
          <w:spacing w:val="4"/>
          <w:sz w:val="35"/>
        </w:rPr>
        <w:t> </w:t>
      </w:r>
      <w:r>
        <w:rPr>
          <w:rFonts w:ascii="Cambria"/>
          <w:b/>
          <w:sz w:val="35"/>
        </w:rPr>
        <w:t>:</w:t>
      </w:r>
      <w:r>
        <w:rPr>
          <w:rFonts w:ascii="Cambria"/>
          <w:b/>
          <w:spacing w:val="3"/>
          <w:sz w:val="35"/>
        </w:rPr>
        <w:t> </w:t>
      </w:r>
      <w:r>
        <w:rPr>
          <w:b/>
          <w:sz w:val="36"/>
        </w:rPr>
        <w:t>Subdivision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en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sous-</w:t>
      </w:r>
      <w:r>
        <w:rPr>
          <w:b/>
          <w:spacing w:val="-2"/>
          <w:sz w:val="36"/>
        </w:rPr>
        <w:t>comptes</w:t>
      </w:r>
    </w:p>
    <w:p>
      <w:pPr>
        <w:pStyle w:val="Heading1"/>
        <w:numPr>
          <w:ilvl w:val="1"/>
          <w:numId w:val="8"/>
        </w:numPr>
        <w:tabs>
          <w:tab w:pos="1766" w:val="left" w:leader="none"/>
        </w:tabs>
        <w:spacing w:line="240" w:lineRule="auto" w:before="299" w:after="0"/>
        <w:ind w:left="1766" w:right="0" w:hanging="487"/>
        <w:jc w:val="left"/>
      </w:pPr>
      <w:r>
        <w:rPr/>
        <w:t>Du</w:t>
      </w:r>
      <w:r>
        <w:rPr>
          <w:spacing w:val="-7"/>
        </w:rPr>
        <w:t> </w:t>
      </w:r>
      <w:r>
        <w:rPr/>
        <w:t>SYSCOHADA</w:t>
      </w:r>
      <w:r>
        <w:rPr>
          <w:spacing w:val="-6"/>
        </w:rPr>
        <w:t> </w:t>
      </w:r>
      <w:r>
        <w:rPr/>
        <w:t>au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comptable</w:t>
      </w:r>
      <w:r>
        <w:rPr>
          <w:spacing w:val="-6"/>
        </w:rPr>
        <w:t> </w:t>
      </w:r>
      <w:r>
        <w:rPr>
          <w:spacing w:val="-2"/>
        </w:rPr>
        <w:t>d’entité</w:t>
      </w:r>
    </w:p>
    <w:p>
      <w:pPr>
        <w:pStyle w:val="BodyText"/>
        <w:spacing w:before="86"/>
        <w:rPr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845" w:val="left" w:leader="none"/>
          <w:tab w:pos="1999" w:val="left" w:leader="none"/>
        </w:tabs>
        <w:spacing w:line="350" w:lineRule="auto" w:before="1" w:after="0"/>
        <w:ind w:left="1999" w:right="135" w:hanging="360"/>
        <w:jc w:val="both"/>
        <w:rPr>
          <w:sz w:val="24"/>
        </w:rPr>
      </w:pPr>
      <w:r>
        <w:rPr>
          <w:sz w:val="24"/>
        </w:rPr>
        <w:t>Comme le SYSCOHADA fournit, en règle générale, des comptes à quatre chiffres, il appartient à l’entité de construire son propre « plan comptable d’entité » (P.C.E.),</w:t>
      </w:r>
    </w:p>
    <w:p>
      <w:pPr>
        <w:pStyle w:val="ListParagraph"/>
        <w:numPr>
          <w:ilvl w:val="3"/>
          <w:numId w:val="8"/>
        </w:numPr>
        <w:tabs>
          <w:tab w:pos="2718" w:val="left" w:leader="none"/>
        </w:tabs>
        <w:spacing w:line="240" w:lineRule="auto" w:before="10" w:after="0"/>
        <w:ind w:left="2718" w:right="0" w:hanging="359"/>
        <w:jc w:val="both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retenant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comptes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SYSCOHADA</w:t>
      </w:r>
      <w:r>
        <w:rPr>
          <w:spacing w:val="-2"/>
          <w:sz w:val="24"/>
        </w:rPr>
        <w:t> </w:t>
      </w:r>
      <w:r>
        <w:rPr>
          <w:sz w:val="24"/>
        </w:rPr>
        <w:t>nécessaires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activité,</w:t>
      </w:r>
    </w:p>
    <w:p>
      <w:pPr>
        <w:pStyle w:val="ListParagraph"/>
        <w:numPr>
          <w:ilvl w:val="3"/>
          <w:numId w:val="8"/>
        </w:numPr>
        <w:tabs>
          <w:tab w:pos="2718" w:val="left" w:leader="none"/>
        </w:tabs>
        <w:spacing w:line="240" w:lineRule="auto" w:before="122" w:after="0"/>
        <w:ind w:left="2718" w:right="0" w:hanging="359"/>
        <w:jc w:val="both"/>
        <w:rPr>
          <w:sz w:val="24"/>
        </w:rPr>
      </w:pP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subdivisant</w:t>
      </w:r>
      <w:r>
        <w:rPr>
          <w:spacing w:val="-1"/>
          <w:sz w:val="24"/>
        </w:rPr>
        <w:t> </w:t>
      </w:r>
      <w:r>
        <w:rPr>
          <w:sz w:val="24"/>
        </w:rPr>
        <w:t>selon</w:t>
      </w:r>
      <w:r>
        <w:rPr>
          <w:spacing w:val="-1"/>
          <w:sz w:val="24"/>
        </w:rPr>
        <w:t> </w:t>
      </w:r>
      <w:r>
        <w:rPr>
          <w:sz w:val="24"/>
        </w:rPr>
        <w:t>ses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besoins.</w:t>
      </w:r>
    </w:p>
    <w:p>
      <w:pPr>
        <w:pStyle w:val="ListParagraph"/>
        <w:numPr>
          <w:ilvl w:val="2"/>
          <w:numId w:val="8"/>
        </w:numPr>
        <w:tabs>
          <w:tab w:pos="1845" w:val="left" w:leader="none"/>
        </w:tabs>
        <w:spacing w:line="240" w:lineRule="auto" w:before="113" w:after="0"/>
        <w:ind w:left="1845" w:right="0" w:hanging="206"/>
        <w:jc w:val="both"/>
        <w:rPr>
          <w:sz w:val="24"/>
        </w:rPr>
      </w:pPr>
      <w:r>
        <w:rPr>
          <w:sz w:val="24"/>
        </w:rPr>
        <w:t>Cette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1"/>
          <w:sz w:val="24"/>
        </w:rPr>
        <w:t> </w:t>
      </w:r>
      <w:r>
        <w:rPr>
          <w:sz w:val="24"/>
        </w:rPr>
        <w:t>obéit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deux</w:t>
      </w:r>
      <w:r>
        <w:rPr>
          <w:spacing w:val="-1"/>
          <w:sz w:val="24"/>
        </w:rPr>
        <w:t> </w:t>
      </w:r>
      <w:r>
        <w:rPr>
          <w:sz w:val="24"/>
        </w:rPr>
        <w:t>impératifs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3"/>
          <w:numId w:val="8"/>
        </w:numPr>
        <w:tabs>
          <w:tab w:pos="2719" w:val="left" w:leader="none"/>
        </w:tabs>
        <w:spacing w:line="345" w:lineRule="auto" w:before="141" w:after="0"/>
        <w:ind w:left="2719" w:right="135" w:hanging="360"/>
        <w:jc w:val="both"/>
        <w:rPr>
          <w:sz w:val="24"/>
        </w:rPr>
      </w:pPr>
      <w:r>
        <w:rPr>
          <w:sz w:val="24"/>
        </w:rPr>
        <w:t>une analyse plus fine de la nature de l’opération, sur la base d’au moins deux positions : le numéro de compte comportera alors six chiffres, comme le prévoient de nombreux logiciels.</w:t>
      </w:r>
    </w:p>
    <w:p>
      <w:pPr>
        <w:pStyle w:val="BodyText"/>
        <w:spacing w:before="228"/>
        <w:ind w:left="1725"/>
        <w:jc w:val="center"/>
      </w:pPr>
      <w:r>
        <w:rPr/>
        <w:t>UUUU. </w:t>
      </w:r>
      <w:r>
        <w:rPr>
          <w:spacing w:val="-5"/>
        </w:rPr>
        <w:t>UU</w:t>
      </w:r>
    </w:p>
    <w:p>
      <w:pPr>
        <w:pStyle w:val="BodyText"/>
        <w:spacing w:before="2"/>
        <w:ind w:left="1725" w:right="485"/>
        <w:jc w:val="center"/>
      </w:pPr>
      <w:r>
        <w:rPr/>
        <w:t>SYSCOHADA.</w:t>
      </w:r>
      <w:r>
        <w:rPr>
          <w:spacing w:val="-1"/>
        </w:rPr>
        <w:t> </w:t>
      </w:r>
      <w:r>
        <w:rPr>
          <w:spacing w:val="-2"/>
        </w:rPr>
        <w:t>nature</w:t>
      </w:r>
    </w:p>
    <w:p>
      <w:pPr>
        <w:pStyle w:val="BodyText"/>
        <w:spacing w:before="233"/>
        <w:ind w:left="2695"/>
      </w:pPr>
      <w:r>
        <w:rPr/>
        <w:t>La</w:t>
      </w:r>
      <w:r>
        <w:rPr>
          <w:spacing w:val="-4"/>
        </w:rPr>
        <w:t> </w:t>
      </w:r>
      <w:r>
        <w:rPr/>
        <w:t>subdivision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s’effectue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fonction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>
          <w:spacing w:val="-2"/>
        </w:rPr>
        <w:t>nomenclatures.</w:t>
      </w:r>
    </w:p>
    <w:p>
      <w:pPr>
        <w:pStyle w:val="BodyText"/>
      </w:pPr>
    </w:p>
    <w:p>
      <w:pPr>
        <w:pStyle w:val="BodyText"/>
        <w:spacing w:before="103"/>
      </w:pPr>
    </w:p>
    <w:p>
      <w:pPr>
        <w:spacing w:before="0"/>
        <w:ind w:left="2359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902135</wp:posOffset>
            </wp:positionH>
            <wp:positionV relativeFrom="paragraph">
              <wp:posOffset>-195579</wp:posOffset>
            </wp:positionV>
            <wp:extent cx="685800" cy="34137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548DD4"/>
          <w:w w:val="110"/>
          <w:sz w:val="21"/>
          <w:u w:val="double" w:color="548DD4"/>
        </w:rPr>
        <w:t>EXEMPLE</w:t>
      </w:r>
      <w:r>
        <w:rPr>
          <w:rFonts w:ascii="Cambria"/>
          <w:color w:val="548DD4"/>
          <w:spacing w:val="35"/>
          <w:w w:val="110"/>
          <w:sz w:val="21"/>
        </w:rPr>
        <w:t> </w:t>
      </w:r>
      <w:r>
        <w:rPr>
          <w:spacing w:val="-10"/>
          <w:w w:val="110"/>
          <w:sz w:val="24"/>
        </w:rPr>
        <w:t>:</w:t>
      </w:r>
    </w:p>
    <w:p>
      <w:pPr>
        <w:pStyle w:val="BodyText"/>
        <w:spacing w:before="106"/>
      </w:pPr>
    </w:p>
    <w:p>
      <w:pPr>
        <w:spacing w:line="355" w:lineRule="auto" w:before="0"/>
        <w:ind w:left="1279" w:right="0" w:firstLine="60"/>
        <w:jc w:val="left"/>
        <w:rPr>
          <w:b/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achats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papier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pour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photocopieur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sont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enregistrés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79"/>
          <w:sz w:val="24"/>
        </w:rPr>
        <w:t> </w:t>
      </w:r>
      <w:r>
        <w:rPr>
          <w:b/>
          <w:i/>
          <w:sz w:val="24"/>
        </w:rPr>
        <w:t>6047.17(voir</w:t>
      </w:r>
      <w:r>
        <w:rPr>
          <w:b/>
          <w:i/>
          <w:spacing w:val="79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79"/>
          <w:sz w:val="24"/>
        </w:rPr>
        <w:t> </w:t>
      </w:r>
      <w:r>
        <w:rPr>
          <w:b/>
          <w:i/>
          <w:sz w:val="24"/>
        </w:rPr>
        <w:t>nouvelle nomenclature P. 1083)</w:t>
      </w:r>
    </w:p>
    <w:p>
      <w:pPr>
        <w:spacing w:before="249"/>
        <w:ind w:left="2695" w:right="0" w:firstLine="0"/>
        <w:jc w:val="left"/>
        <w:rPr>
          <w:i/>
          <w:sz w:val="24"/>
        </w:rPr>
      </w:pPr>
      <w:r>
        <w:rPr>
          <w:b/>
          <w:i/>
          <w:sz w:val="24"/>
        </w:rPr>
        <w:t>6047</w:t>
      </w:r>
      <w:r>
        <w:rPr>
          <w:b/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achats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fournitures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bureau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(dans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-2"/>
          <w:sz w:val="24"/>
        </w:rPr>
        <w:t> SYSCOHADA)</w:t>
      </w:r>
    </w:p>
    <w:p>
      <w:pPr>
        <w:pStyle w:val="BodyText"/>
        <w:spacing w:before="100"/>
        <w:rPr>
          <w:i/>
        </w:rPr>
      </w:pPr>
    </w:p>
    <w:p>
      <w:pPr>
        <w:spacing w:before="1"/>
        <w:ind w:left="2755" w:right="0" w:firstLine="0"/>
        <w:jc w:val="left"/>
        <w:rPr>
          <w:i/>
          <w:sz w:val="24"/>
        </w:rPr>
      </w:pPr>
      <w:r>
        <w:rPr>
          <w:b/>
          <w:i/>
          <w:sz w:val="24"/>
        </w:rPr>
        <w:t>17</w:t>
      </w:r>
      <w:r>
        <w:rPr>
          <w:i/>
          <w:sz w:val="24"/>
        </w:rPr>
        <w:t>= </w:t>
      </w:r>
      <w:r>
        <w:rPr>
          <w:i/>
          <w:spacing w:val="-2"/>
          <w:sz w:val="24"/>
        </w:rPr>
        <w:t>papier</w:t>
      </w:r>
    </w:p>
    <w:p>
      <w:pPr>
        <w:pStyle w:val="BodyText"/>
        <w:spacing w:before="107"/>
        <w:rPr>
          <w:i/>
        </w:rPr>
      </w:pPr>
    </w:p>
    <w:p>
      <w:pPr>
        <w:pStyle w:val="ListParagraph"/>
        <w:numPr>
          <w:ilvl w:val="2"/>
          <w:numId w:val="8"/>
        </w:numPr>
        <w:tabs>
          <w:tab w:pos="1845" w:val="left" w:leader="none"/>
          <w:tab w:pos="1999" w:val="left" w:leader="none"/>
        </w:tabs>
        <w:spacing w:line="348" w:lineRule="auto" w:before="0" w:after="0"/>
        <w:ind w:left="1999" w:right="135" w:hanging="360"/>
        <w:jc w:val="left"/>
        <w:rPr>
          <w:sz w:val="24"/>
        </w:rPr>
      </w:pPr>
      <w:r>
        <w:rPr>
          <w:sz w:val="24"/>
        </w:rPr>
        <w:t>Une</w:t>
      </w:r>
      <w:r>
        <w:rPr>
          <w:spacing w:val="23"/>
          <w:sz w:val="24"/>
        </w:rPr>
        <w:t> </w:t>
      </w:r>
      <w:r>
        <w:rPr>
          <w:sz w:val="24"/>
        </w:rPr>
        <w:t>analyse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fonction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l’opération,</w:t>
      </w:r>
      <w:r>
        <w:rPr>
          <w:spacing w:val="23"/>
          <w:sz w:val="24"/>
        </w:rPr>
        <w:t> </w:t>
      </w:r>
      <w:r>
        <w:rPr>
          <w:sz w:val="24"/>
        </w:rPr>
        <w:t>sur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base</w:t>
      </w:r>
      <w:r>
        <w:rPr>
          <w:spacing w:val="23"/>
          <w:sz w:val="24"/>
        </w:rPr>
        <w:t> </w:t>
      </w:r>
      <w:r>
        <w:rPr>
          <w:sz w:val="24"/>
        </w:rPr>
        <w:t>d’une</w:t>
      </w:r>
      <w:r>
        <w:rPr>
          <w:spacing w:val="23"/>
          <w:sz w:val="24"/>
        </w:rPr>
        <w:t> </w:t>
      </w:r>
      <w:r>
        <w:rPr>
          <w:sz w:val="24"/>
        </w:rPr>
        <w:t>ou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deux</w:t>
      </w:r>
      <w:r>
        <w:rPr>
          <w:spacing w:val="23"/>
          <w:sz w:val="24"/>
        </w:rPr>
        <w:t> </w:t>
      </w:r>
      <w:r>
        <w:rPr>
          <w:sz w:val="24"/>
        </w:rPr>
        <w:t>positions</w:t>
      </w:r>
      <w:r>
        <w:rPr>
          <w:spacing w:val="23"/>
          <w:sz w:val="24"/>
        </w:rPr>
        <w:t> </w:t>
      </w:r>
      <w:r>
        <w:rPr>
          <w:sz w:val="24"/>
        </w:rPr>
        <w:t>:</w:t>
      </w:r>
      <w:r>
        <w:rPr>
          <w:spacing w:val="23"/>
          <w:sz w:val="24"/>
        </w:rPr>
        <w:t> </w:t>
      </w:r>
      <w:r>
        <w:rPr>
          <w:sz w:val="24"/>
        </w:rPr>
        <w:t>le numéro comportera alors sept ou huit chiffres.</w:t>
      </w:r>
    </w:p>
    <w:p>
      <w:pPr>
        <w:pStyle w:val="BodyText"/>
        <w:tabs>
          <w:tab w:pos="6999" w:val="left" w:leader="none"/>
        </w:tabs>
        <w:spacing w:line="275" w:lineRule="exact" w:before="218"/>
        <w:ind w:left="5419"/>
      </w:pPr>
      <w:r>
        <w:rPr/>
        <w:t>UUUU.</w:t>
      </w:r>
      <w:r>
        <w:rPr>
          <w:spacing w:val="29"/>
        </w:rPr>
        <w:t>  </w:t>
      </w:r>
      <w:r>
        <w:rPr>
          <w:spacing w:val="-5"/>
        </w:rPr>
        <w:t>UU.</w:t>
      </w:r>
      <w:r>
        <w:rPr/>
        <w:tab/>
      </w:r>
      <w:r>
        <w:rPr>
          <w:spacing w:val="-5"/>
        </w:rPr>
        <w:t>UU</w:t>
      </w:r>
    </w:p>
    <w:p>
      <w:pPr>
        <w:pStyle w:val="BodyText"/>
        <w:spacing w:line="275" w:lineRule="exact"/>
        <w:ind w:left="4699"/>
      </w:pPr>
      <w:r>
        <w:rPr/>
        <w:t>SYSCOHADA.</w:t>
      </w:r>
      <w:r>
        <w:rPr>
          <w:spacing w:val="-2"/>
        </w:rPr>
        <w:t> </w:t>
      </w:r>
      <w:r>
        <w:rPr/>
        <w:t>nature.</w:t>
      </w:r>
      <w:r>
        <w:rPr>
          <w:spacing w:val="-2"/>
        </w:rPr>
        <w:t> fonction</w:t>
      </w:r>
    </w:p>
    <w:p>
      <w:pPr>
        <w:pStyle w:val="BodyText"/>
        <w:spacing w:line="355" w:lineRule="auto" w:before="243"/>
        <w:ind w:left="1846"/>
      </w:pPr>
      <w:r>
        <w:rPr/>
        <w:t>La subdivision par fonction est liée à la comptabilité analytique de gestion de l’entité, si elle existe, ou au souci de déterminer :</w:t>
      </w:r>
    </w:p>
    <w:p>
      <w:pPr>
        <w:pStyle w:val="ListParagraph"/>
        <w:numPr>
          <w:ilvl w:val="3"/>
          <w:numId w:val="8"/>
        </w:numPr>
        <w:tabs>
          <w:tab w:pos="2718" w:val="left" w:leader="none"/>
        </w:tabs>
        <w:spacing w:line="240" w:lineRule="auto" w:before="248" w:after="0"/>
        <w:ind w:left="2718" w:right="0" w:hanging="359"/>
        <w:jc w:val="left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coûts,</w:t>
      </w:r>
      <w:r>
        <w:rPr>
          <w:spacing w:val="-1"/>
          <w:sz w:val="24"/>
        </w:rPr>
        <w:t> </w:t>
      </w:r>
      <w:r>
        <w:rPr>
          <w:sz w:val="24"/>
        </w:rPr>
        <w:t>par</w:t>
      </w:r>
      <w:r>
        <w:rPr>
          <w:spacing w:val="-1"/>
          <w:sz w:val="24"/>
        </w:rPr>
        <w:t> </w:t>
      </w:r>
      <w:r>
        <w:rPr>
          <w:sz w:val="24"/>
        </w:rPr>
        <w:t>regroupement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charges,</w:t>
      </w:r>
    </w:p>
    <w:p>
      <w:pPr>
        <w:pStyle w:val="ListParagraph"/>
        <w:numPr>
          <w:ilvl w:val="3"/>
          <w:numId w:val="8"/>
        </w:numPr>
        <w:tabs>
          <w:tab w:pos="2718" w:val="left" w:leader="none"/>
        </w:tabs>
        <w:spacing w:line="240" w:lineRule="auto" w:before="112" w:after="0"/>
        <w:ind w:left="2718" w:right="0" w:hanging="359"/>
        <w:jc w:val="left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marges</w:t>
      </w:r>
      <w:r>
        <w:rPr>
          <w:spacing w:val="-2"/>
          <w:sz w:val="24"/>
        </w:rPr>
        <w:t> </w:t>
      </w:r>
      <w:r>
        <w:rPr>
          <w:sz w:val="24"/>
        </w:rPr>
        <w:t>analytiques,</w:t>
      </w:r>
      <w:r>
        <w:rPr>
          <w:spacing w:val="-2"/>
          <w:sz w:val="24"/>
        </w:rPr>
        <w:t> </w:t>
      </w:r>
      <w:r>
        <w:rPr>
          <w:sz w:val="24"/>
        </w:rPr>
        <w:t>après</w:t>
      </w:r>
      <w:r>
        <w:rPr>
          <w:spacing w:val="-2"/>
          <w:sz w:val="24"/>
        </w:rPr>
        <w:t> </w:t>
      </w:r>
      <w:r>
        <w:rPr>
          <w:sz w:val="24"/>
        </w:rPr>
        <w:t>regroupement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comptes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produits.</w:t>
      </w:r>
    </w:p>
    <w:p>
      <w:pPr>
        <w:pStyle w:val="BodyText"/>
        <w:spacing w:before="85"/>
      </w:pPr>
    </w:p>
    <w:p>
      <w:pPr>
        <w:pStyle w:val="BodyText"/>
        <w:spacing w:before="1"/>
        <w:ind w:left="1846"/>
      </w:pPr>
      <w:r>
        <w:rPr/>
        <w:t>Le</w:t>
      </w:r>
      <w:r>
        <w:rPr>
          <w:spacing w:val="-4"/>
        </w:rPr>
        <w:t> </w:t>
      </w:r>
      <w:r>
        <w:rPr/>
        <w:t>numéro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soit à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centre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frais,</w:t>
      </w:r>
      <w:r>
        <w:rPr>
          <w:spacing w:val="-1"/>
        </w:rPr>
        <w:t> </w:t>
      </w:r>
      <w:r>
        <w:rPr/>
        <w:t>soit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activité</w:t>
      </w:r>
      <w:r>
        <w:rPr>
          <w:spacing w:val="-2"/>
        </w:rPr>
        <w:t> </w:t>
      </w:r>
      <w:r>
        <w:rPr/>
        <w:t>déterminée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l’entité.</w:t>
      </w:r>
    </w:p>
    <w:p>
      <w:pPr>
        <w:pStyle w:val="BodyText"/>
        <w:spacing w:after="0"/>
        <w:sectPr>
          <w:pgSz w:w="11910" w:h="16840"/>
          <w:pgMar w:header="0" w:footer="1037" w:top="1320" w:bottom="1220" w:left="141" w:right="1275"/>
        </w:sectPr>
      </w:pPr>
    </w:p>
    <w:p>
      <w:pPr>
        <w:pStyle w:val="BodyText"/>
        <w:spacing w:line="355" w:lineRule="auto" w:before="60"/>
        <w:ind w:left="1846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902135</wp:posOffset>
            </wp:positionH>
            <wp:positionV relativeFrom="paragraph">
              <wp:posOffset>692567</wp:posOffset>
            </wp:positionV>
            <wp:extent cx="685800" cy="34442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subdivision par fonction n’a de sens que dans les comptes de charges et de produits (classes 6, 7 et 8). Elle demeure entièrement libre.</w:t>
      </w:r>
    </w:p>
    <w:p>
      <w:pPr>
        <w:pStyle w:val="BodyText"/>
        <w:spacing w:before="246"/>
      </w:pPr>
    </w:p>
    <w:p>
      <w:pPr>
        <w:spacing w:before="0"/>
        <w:ind w:left="2359" w:right="0" w:firstLine="0"/>
        <w:jc w:val="left"/>
        <w:rPr>
          <w:sz w:val="24"/>
        </w:rPr>
      </w:pPr>
      <w:r>
        <w:rPr>
          <w:rFonts w:ascii="Cambria"/>
          <w:color w:val="548DD4"/>
          <w:w w:val="105"/>
          <w:sz w:val="21"/>
          <w:u w:val="double" w:color="548DD4"/>
        </w:rPr>
        <w:t>EXEMPLE</w:t>
      </w:r>
      <w:r>
        <w:rPr>
          <w:rFonts w:ascii="Cambria"/>
          <w:color w:val="548DD4"/>
          <w:spacing w:val="28"/>
          <w:w w:val="105"/>
          <w:sz w:val="21"/>
          <w:u w:val="double" w:color="548DD4"/>
        </w:rPr>
        <w:t> </w:t>
      </w:r>
      <w:r>
        <w:rPr>
          <w:rFonts w:ascii="Cambria"/>
          <w:color w:val="548DD4"/>
          <w:w w:val="105"/>
          <w:sz w:val="21"/>
          <w:u w:val="double" w:color="548DD4"/>
        </w:rPr>
        <w:t>(SUITE)</w:t>
      </w:r>
      <w:r>
        <w:rPr>
          <w:rFonts w:ascii="Cambria"/>
          <w:color w:val="548DD4"/>
          <w:spacing w:val="19"/>
          <w:w w:val="105"/>
          <w:sz w:val="21"/>
        </w:rPr>
        <w:t> </w:t>
      </w:r>
      <w:r>
        <w:rPr>
          <w:spacing w:val="-10"/>
          <w:w w:val="105"/>
          <w:sz w:val="24"/>
        </w:rPr>
        <w:t>:</w:t>
      </w:r>
    </w:p>
    <w:p>
      <w:pPr>
        <w:pStyle w:val="BodyText"/>
        <w:spacing w:before="106"/>
      </w:pPr>
    </w:p>
    <w:p>
      <w:pPr>
        <w:spacing w:line="360" w:lineRule="auto" w:before="0"/>
        <w:ind w:left="1846" w:right="0" w:firstLine="0"/>
        <w:jc w:val="left"/>
        <w:rPr>
          <w:b/>
          <w:i/>
          <w:sz w:val="24"/>
        </w:rPr>
      </w:pPr>
      <w:r>
        <w:rPr>
          <w:i/>
          <w:sz w:val="24"/>
        </w:rPr>
        <w:t>Si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papier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est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destiné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au</w:t>
      </w:r>
      <w:r>
        <w:rPr>
          <w:i/>
          <w:spacing w:val="34"/>
          <w:sz w:val="24"/>
        </w:rPr>
        <w:t> </w:t>
      </w:r>
      <w:r>
        <w:rPr>
          <w:b/>
          <w:i/>
          <w:sz w:val="24"/>
        </w:rPr>
        <w:t>service</w:t>
      </w:r>
      <w:r>
        <w:rPr>
          <w:b/>
          <w:i/>
          <w:spacing w:val="35"/>
          <w:sz w:val="24"/>
        </w:rPr>
        <w:t> </w:t>
      </w:r>
      <w:r>
        <w:rPr>
          <w:b/>
          <w:i/>
          <w:sz w:val="24"/>
        </w:rPr>
        <w:t>comptable</w:t>
      </w:r>
      <w:r>
        <w:rPr>
          <w:i/>
          <w:sz w:val="24"/>
        </w:rPr>
        <w:t>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codé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02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dans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l'organigramme,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l'achat sera enregistré en </w:t>
      </w:r>
      <w:r>
        <w:rPr>
          <w:b/>
          <w:i/>
          <w:sz w:val="24"/>
        </w:rPr>
        <w:t>6047.17.02</w:t>
      </w:r>
    </w:p>
    <w:p>
      <w:pPr>
        <w:pStyle w:val="Heading1"/>
        <w:numPr>
          <w:ilvl w:val="1"/>
          <w:numId w:val="8"/>
        </w:numPr>
        <w:tabs>
          <w:tab w:pos="1766" w:val="left" w:leader="none"/>
        </w:tabs>
        <w:spacing w:line="240" w:lineRule="auto" w:before="239" w:after="0"/>
        <w:ind w:left="1766" w:right="0" w:hanging="487"/>
        <w:jc w:val="left"/>
      </w:pPr>
      <w:r>
        <w:rPr/>
        <w:t>Notion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d’emploi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>
          <w:spacing w:val="-2"/>
        </w:rPr>
        <w:t>nomenclatures</w:t>
      </w:r>
    </w:p>
    <w:p>
      <w:pPr>
        <w:pStyle w:val="BodyText"/>
        <w:spacing w:before="81"/>
        <w:rPr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999" w:val="left" w:leader="none"/>
        </w:tabs>
        <w:spacing w:line="357" w:lineRule="auto" w:before="0" w:after="0"/>
        <w:ind w:left="1999" w:right="135" w:hanging="360"/>
        <w:jc w:val="both"/>
        <w:rPr>
          <w:sz w:val="24"/>
        </w:rPr>
      </w:pPr>
      <w:r>
        <w:rPr>
          <w:sz w:val="24"/>
        </w:rPr>
        <w:t>Les nomenclatures sont des relevés exhaustifs et codifiés de rubriques d’opérations ou d’agents, mis en place par les services nationaux ou régionaux de la Statistique ou de</w:t>
      </w:r>
      <w:r>
        <w:rPr>
          <w:spacing w:val="40"/>
          <w:sz w:val="24"/>
        </w:rPr>
        <w:t> </w:t>
      </w:r>
      <w:r>
        <w:rPr>
          <w:sz w:val="24"/>
        </w:rPr>
        <w:t>la Comptabilité nationale.</w:t>
      </w:r>
    </w:p>
    <w:p>
      <w:pPr>
        <w:pStyle w:val="ListParagraph"/>
        <w:numPr>
          <w:ilvl w:val="2"/>
          <w:numId w:val="8"/>
        </w:numPr>
        <w:tabs>
          <w:tab w:pos="1999" w:val="left" w:leader="none"/>
        </w:tabs>
        <w:spacing w:line="357" w:lineRule="auto" w:before="0" w:after="0"/>
        <w:ind w:left="1999" w:right="135" w:hanging="360"/>
        <w:jc w:val="both"/>
        <w:rPr>
          <w:sz w:val="24"/>
        </w:rPr>
      </w:pPr>
      <w:r>
        <w:rPr>
          <w:sz w:val="24"/>
        </w:rPr>
        <w:t>L’organisation comptable de l’entité doit permettre de renseigner ces rubriques, et prévoir en conséquence une subdivision des comptes intéressés en sous comptes correspondant à ces rubriques. Si des besoins de gestion exigent plusieurs sous comptes pour une même rubrique de nomenclature, ces derniers doivent pouvoir être regroupés facilement.</w:t>
      </w:r>
    </w:p>
    <w:p>
      <w:pPr>
        <w:pStyle w:val="ListParagraph"/>
        <w:numPr>
          <w:ilvl w:val="2"/>
          <w:numId w:val="8"/>
        </w:numPr>
        <w:tabs>
          <w:tab w:pos="1999" w:val="left" w:leader="none"/>
        </w:tabs>
        <w:spacing w:line="355" w:lineRule="auto" w:before="3" w:after="0"/>
        <w:ind w:left="1999" w:right="134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numérotation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ces</w:t>
      </w:r>
      <w:r>
        <w:rPr>
          <w:spacing w:val="-1"/>
          <w:sz w:val="24"/>
        </w:rPr>
        <w:t> </w:t>
      </w:r>
      <w:r>
        <w:rPr>
          <w:sz w:val="24"/>
        </w:rPr>
        <w:t>sous</w:t>
      </w:r>
      <w:r>
        <w:rPr>
          <w:spacing w:val="-1"/>
          <w:sz w:val="24"/>
        </w:rPr>
        <w:t> </w:t>
      </w:r>
      <w:r>
        <w:rPr>
          <w:sz w:val="24"/>
        </w:rPr>
        <w:t>comptes</w:t>
      </w:r>
      <w:r>
        <w:rPr>
          <w:spacing w:val="-1"/>
          <w:sz w:val="24"/>
        </w:rPr>
        <w:t> </w:t>
      </w:r>
      <w:r>
        <w:rPr>
          <w:sz w:val="24"/>
        </w:rPr>
        <w:t>demeure</w:t>
      </w:r>
      <w:r>
        <w:rPr>
          <w:spacing w:val="-1"/>
          <w:sz w:val="24"/>
        </w:rPr>
        <w:t> </w:t>
      </w:r>
      <w:r>
        <w:rPr>
          <w:sz w:val="24"/>
        </w:rPr>
        <w:t>libre,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1"/>
          <w:sz w:val="24"/>
        </w:rPr>
        <w:t> </w:t>
      </w:r>
      <w:r>
        <w:rPr>
          <w:sz w:val="24"/>
        </w:rPr>
        <w:t>grille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passage</w:t>
      </w:r>
      <w:r>
        <w:rPr>
          <w:spacing w:val="-1"/>
          <w:sz w:val="24"/>
        </w:rPr>
        <w:t> </w:t>
      </w:r>
      <w:r>
        <w:rPr>
          <w:sz w:val="24"/>
        </w:rPr>
        <w:t>permet</w:t>
      </w:r>
      <w:r>
        <w:rPr>
          <w:spacing w:val="-1"/>
          <w:sz w:val="24"/>
        </w:rPr>
        <w:t> </w:t>
      </w:r>
      <w:r>
        <w:rPr>
          <w:sz w:val="24"/>
        </w:rPr>
        <w:t>ce regroupement. Pour des raisons pédagogiques, le présent guide reprend cependant tel quel tous les numéros des nomenclatures citées.</w:t>
      </w:r>
    </w:p>
    <w:sectPr>
      <w:pgSz w:w="11910" w:h="16840"/>
      <w:pgMar w:header="0" w:footer="1037" w:top="1340" w:bottom="122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8576">
              <wp:simplePos x="0" y="0"/>
              <wp:positionH relativeFrom="page">
                <wp:posOffset>6483146</wp:posOffset>
              </wp:positionH>
              <wp:positionV relativeFrom="page">
                <wp:posOffset>9893694</wp:posOffset>
              </wp:positionV>
              <wp:extent cx="230504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05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0.484009pt;margin-top:779.031067pt;width:18.150pt;height:15.2pt;mso-position-horizontal-relative:page;mso-position-vertical-relative:page;z-index:-15867904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"/>
      <w:lvlJc w:val="left"/>
      <w:pPr>
        <w:ind w:left="1769" w:hanging="49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69" w:hanging="4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fr-FR" w:eastAsia="en-US" w:bidi="ar-SA"/>
      </w:rPr>
    </w:lvl>
    <w:lvl w:ilvl="2">
      <w:start w:val="0"/>
      <w:numFmt w:val="bullet"/>
      <w:lvlText w:val=""/>
      <w:lvlJc w:val="left"/>
      <w:pPr>
        <w:ind w:left="1999" w:hanging="20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o"/>
      <w:lvlJc w:val="left"/>
      <w:pPr>
        <w:ind w:left="271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0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7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47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987" w:hanging="144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30" w:hanging="14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81" w:hanging="14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32" w:hanging="14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83" w:hanging="14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34" w:hanging="14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85" w:hanging="14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36" w:hanging="14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87" w:hanging="144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4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9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4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4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91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o"/>
      <w:lvlJc w:val="left"/>
      <w:pPr>
        <w:ind w:left="271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"/>
      <w:lvlJc w:val="left"/>
      <w:pPr>
        <w:ind w:left="343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2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0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27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-"/>
      <w:lvlJc w:val="left"/>
      <w:pPr>
        <w:ind w:left="480" w:hanging="2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1" w:hanging="2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03" w:hanging="2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15" w:hanging="2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127" w:hanging="2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39" w:hanging="2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951" w:hanging="2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62" w:hanging="2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74" w:hanging="26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-"/>
      <w:lvlJc w:val="left"/>
      <w:pPr>
        <w:ind w:left="264" w:hanging="2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77" w:hanging="2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94" w:hanging="2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11" w:hanging="2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29" w:hanging="2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46" w:hanging="2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563" w:hanging="2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780" w:hanging="2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98" w:hanging="264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053" w:hanging="49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2053" w:hanging="49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fr-FR" w:eastAsia="en-US" w:bidi="ar-SA"/>
      </w:rPr>
    </w:lvl>
    <w:lvl w:ilvl="2">
      <w:start w:val="0"/>
      <w:numFmt w:val="bullet"/>
      <w:lvlText w:val=""/>
      <w:lvlJc w:val="left"/>
      <w:pPr>
        <w:ind w:left="227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o"/>
      <w:lvlJc w:val="left"/>
      <w:pPr>
        <w:ind w:left="269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2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0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99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987" w:hanging="19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30" w:hanging="19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81" w:hanging="19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32" w:hanging="19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83" w:hanging="19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34" w:hanging="19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85" w:hanging="19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36" w:hanging="19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87" w:hanging="193"/>
      </w:pPr>
      <w:rPr>
        <w:rFonts w:hint="default"/>
        <w:lang w:val="fr-FR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766" w:hanging="48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14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987" w:right="135"/>
      <w:jc w:val="both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866"/>
    </w:pPr>
    <w:rPr>
      <w:rFonts w:ascii="Cambria" w:hAnsi="Cambria" w:eastAsia="Cambria" w:cs="Cambria"/>
      <w:b/>
      <w:bCs/>
      <w:sz w:val="72"/>
      <w:szCs w:val="72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2025-03-11T05:31:24Z</dcterms:created>
  <dcterms:modified xsi:type="dcterms:W3CDTF">2025-03-11T05:31:24Z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