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8120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81200" cy="749935"/>
                          <a:chExt cx="198120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5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5958" y="588264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595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8120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25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6pt;height:59.05pt;mso-position-horizontal-relative:page;mso-position-vertical-relative:paragraph;z-index:15728640" id="docshapegroup2" coordorigin="168,0" coordsize="3120,1181">
                <v:shape style="position:absolute;left:187;top:0;width:3101;height:1181" type="#_x0000_t75" id="docshape3" stroked="false">
                  <v:imagedata r:id="rId6" o:title=""/>
                </v:shape>
                <v:shape style="position:absolute;left:187;top:67;width:2976;height:927" id="docshape4" coordorigin="187,67" coordsize="2976,927" path="m2543,67l187,67,187,994,2543,994,3163,531,2543,67xe" filled="true" fillcolor="#376092" stroked="false">
                  <v:path arrowok="t"/>
                  <v:fill type="solid"/>
                </v:shape>
                <v:shape style="position:absolute;left:187;top:67;width:2976;height:927" id="docshape5" coordorigin="187,67" coordsize="2976,927" path="m187,67l2543,67,3163,531,2543,994,187,994e" filled="false" stroked="true" strokeweight="1.92pt" strokecolor="#385d8a">
                  <v:path arrowok="t"/>
                  <v:stroke dashstyle="solid"/>
                </v:shape>
                <v:shape style="position:absolute;left:167;top:0;width:3120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25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2"/>
        </w:rPr>
        <w:t>Personnel</w:t>
      </w:r>
      <w:r>
        <w:rPr>
          <w:color w:val="548DD4"/>
          <w:spacing w:val="-6"/>
        </w:rPr>
        <w:t> </w:t>
      </w:r>
      <w:r>
        <w:rPr>
          <w:color w:val="548DD4"/>
          <w:spacing w:val="-2"/>
        </w:rPr>
        <w:t>intérimaire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06"/>
        <w:rPr>
          <w:rFonts w:ascii="Cambria"/>
          <w:b/>
          <w:sz w:val="20"/>
        </w:rPr>
      </w:pPr>
    </w:p>
    <w:tbl>
      <w:tblPr>
        <w:tblW w:w="0" w:type="auto"/>
        <w:jc w:val="left"/>
        <w:tblInd w:w="1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371"/>
        <w:gridCol w:w="6319"/>
      </w:tblGrid>
      <w:tr>
        <w:trPr>
          <w:trHeight w:val="370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5232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-94321</wp:posOffset>
                      </wp:positionV>
                      <wp:extent cx="5831205" cy="219773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1205" cy="2197735"/>
                                <a:chExt cx="5831205" cy="219773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2197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2087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208788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87879"/>
                                      </a:lnTo>
                                      <a:lnTo>
                                        <a:pt x="185928" y="2087879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3710" cy="2087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 h="2087880">
                                      <a:moveTo>
                                        <a:pt x="5553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87879"/>
                                      </a:lnTo>
                                      <a:lnTo>
                                        <a:pt x="5553456" y="2087879"/>
                                      </a:lnTo>
                                      <a:lnTo>
                                        <a:pt x="5553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888" y="21335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6pt;margin-top:-7.426868pt;width:459.15pt;height:173.05pt;mso-position-horizontal-relative:column;mso-position-vertical-relative:paragraph;z-index:-15861248" id="docshapegroup7" coordorigin="-492,-149" coordsize="9183,3461">
                      <v:shape style="position:absolute;left:-492;top:-149;width:461;height:3461" type="#_x0000_t75" id="docshape8" stroked="false">
                        <v:imagedata r:id="rId7" o:title=""/>
                      </v:shape>
                      <v:rect style="position:absolute;left:-348;top:-63;width:293;height:3288" id="docshape9" filled="true" fillcolor="#4f81bd" stroked="false">
                        <v:fill type="solid"/>
                      </v:rect>
                      <v:rect style="position:absolute;left:-56;top:-63;width:8746;height:3288" id="docshape10" filled="true" fillcolor="#dce6f2" stroked="false">
                        <v:fill type="solid"/>
                      </v:rect>
                      <v:shape style="position:absolute;left:-104;top:-115;width:2578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57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1" y="292607"/>
                                      </a:lnTo>
                                      <a:lnTo>
                                        <a:pt x="15057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8pt;width:118.6pt;height:23.05pt;mso-position-horizontal-relative:column;mso-position-vertical-relative:paragraph;z-index:-15860736" id="docshapegroup12" coordorigin="0,-45" coordsize="2372,461">
                      <v:rect style="position:absolute;left:0;top:-46;width:2372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98</w:t>
            </w:r>
          </w:p>
        </w:tc>
        <w:tc>
          <w:tcPr>
            <w:tcW w:w="631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245"/>
              <w:rPr>
                <w:b/>
                <w:sz w:val="26"/>
              </w:rPr>
            </w:pPr>
            <w:r>
              <w:rPr>
                <w:b/>
                <w:sz w:val="26"/>
              </w:rPr>
              <w:t>Personnel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intérimaire</w:t>
            </w:r>
          </w:p>
        </w:tc>
      </w:tr>
      <w:tr>
        <w:trPr>
          <w:trHeight w:val="2765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271" w:lineRule="auto" w:before="107"/>
              <w:ind w:left="108" w:right="284"/>
              <w:rPr>
                <w:sz w:val="24"/>
              </w:rPr>
            </w:pPr>
            <w:r>
              <w:rPr>
                <w:color w:val="0D0D0D"/>
                <w:sz w:val="24"/>
              </w:rPr>
              <w:t>Une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entité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filiale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d’un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groupe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engagé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durant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l'exercice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N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les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charges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suivantes, entre autres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1" w:val="left" w:leader="none"/>
                <w:tab w:pos="6823" w:val="left" w:leader="none"/>
              </w:tabs>
              <w:spacing w:line="276" w:lineRule="auto" w:before="209" w:after="0"/>
              <w:ind w:left="391" w:right="904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location de personnel pour une durée de 6 mois auprès</w:t>
              <w:tab/>
              <w:t>6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000 d’une société de travail temporaire.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1" w:val="left" w:leader="none"/>
                <w:tab w:pos="6833" w:val="left" w:leader="none"/>
              </w:tabs>
              <w:spacing w:line="240" w:lineRule="auto" w:before="209" w:after="0"/>
              <w:ind w:left="391" w:right="0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facturation par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société mère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du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groupe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du personnel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détaché</w:t>
            </w:r>
            <w:r>
              <w:rPr>
                <w:color w:val="0D0D0D"/>
                <w:sz w:val="24"/>
              </w:rPr>
              <w:tab/>
              <w:t>8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400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1" w:val="left" w:leader="none"/>
                <w:tab w:pos="6933" w:val="left" w:leader="none"/>
              </w:tabs>
              <w:spacing w:line="240" w:lineRule="auto" w:before="147" w:after="0"/>
              <w:ind w:left="391" w:right="0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facturation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prestations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du </w:t>
            </w:r>
            <w:r>
              <w:rPr>
                <w:color w:val="0D0D0D"/>
                <w:spacing w:val="-2"/>
                <w:sz w:val="24"/>
              </w:rPr>
              <w:t>gardien</w:t>
            </w:r>
            <w:r>
              <w:rPr>
                <w:color w:val="0D0D0D"/>
                <w:sz w:val="24"/>
              </w:rPr>
              <w:tab/>
              <w:t>720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168"/>
        <w:rPr>
          <w:rFonts w:ascii="Cambria"/>
          <w:b/>
        </w:rPr>
      </w:pP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both"/>
        <w:rPr>
          <w:b/>
          <w:sz w:val="24"/>
        </w:rPr>
      </w:pPr>
      <w:r>
        <w:rPr>
          <w:b/>
          <w:spacing w:val="-2"/>
          <w:sz w:val="24"/>
        </w:rPr>
        <w:t>Principe</w:t>
      </w:r>
    </w:p>
    <w:p>
      <w:pPr>
        <w:pStyle w:val="BodyText"/>
        <w:spacing w:line="360" w:lineRule="auto" w:before="142"/>
        <w:ind w:left="1279" w:right="277"/>
        <w:jc w:val="both"/>
      </w:pPr>
      <w:r>
        <w:rPr/>
        <w:t>Le personnel intérimaire, détaché ou prêté</w:t>
      </w:r>
      <w:r>
        <w:rPr>
          <w:spacing w:val="40"/>
        </w:rPr>
        <w:t> </w:t>
      </w:r>
      <w:r>
        <w:rPr/>
        <w:t>est le personnel salarié d'une entité qui le met à la disposition d’une autre entité utilisatrice des services pour une durée déterminée. L’entité prestataire du service (employeur du personnel extérieur) peut être :</w:t>
      </w:r>
    </w:p>
    <w:p>
      <w:pPr>
        <w:pStyle w:val="ListParagraph"/>
        <w:numPr>
          <w:ilvl w:val="1"/>
          <w:numId w:val="2"/>
        </w:numPr>
        <w:tabs>
          <w:tab w:pos="1998" w:val="left" w:leader="none"/>
        </w:tabs>
        <w:spacing w:line="288" w:lineRule="exact" w:before="0" w:after="0"/>
        <w:ind w:left="1998" w:right="0" w:hanging="359"/>
        <w:jc w:val="both"/>
        <w:rPr>
          <w:sz w:val="24"/>
        </w:rPr>
      </w:pPr>
      <w:r>
        <w:rPr>
          <w:sz w:val="24"/>
        </w:rPr>
        <w:t>une</w:t>
      </w:r>
      <w:r>
        <w:rPr>
          <w:spacing w:val="-4"/>
          <w:sz w:val="24"/>
        </w:rPr>
        <w:t> </w:t>
      </w:r>
      <w:r>
        <w:rPr>
          <w:sz w:val="24"/>
        </w:rPr>
        <w:t>entité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travail</w:t>
      </w:r>
      <w:r>
        <w:rPr>
          <w:spacing w:val="-1"/>
          <w:sz w:val="24"/>
        </w:rPr>
        <w:t> </w:t>
      </w:r>
      <w:r>
        <w:rPr>
          <w:sz w:val="24"/>
        </w:rPr>
        <w:t>temporaire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355" w:lineRule="auto" w:before="138" w:after="0"/>
        <w:ind w:left="1999" w:right="277" w:hanging="360"/>
        <w:jc w:val="both"/>
        <w:rPr>
          <w:sz w:val="24"/>
        </w:rPr>
      </w:pPr>
      <w:r>
        <w:rPr>
          <w:sz w:val="24"/>
        </w:rPr>
        <w:t>une autre entité industrielle ou commerciale, appartenant généralement au même </w:t>
      </w:r>
      <w:r>
        <w:rPr>
          <w:spacing w:val="-2"/>
          <w:sz w:val="24"/>
        </w:rPr>
        <w:t>groupe.</w:t>
      </w:r>
    </w:p>
    <w:p>
      <w:pPr>
        <w:pStyle w:val="BodyText"/>
        <w:spacing w:before="176"/>
        <w:ind w:left="1279"/>
        <w:jc w:val="both"/>
      </w:pPr>
      <w:r>
        <w:rPr/>
        <w:t>En</w:t>
      </w:r>
      <w:r>
        <w:rPr>
          <w:spacing w:val="31"/>
        </w:rPr>
        <w:t>  </w:t>
      </w:r>
      <w:r>
        <w:rPr/>
        <w:t>vertu</w:t>
      </w:r>
      <w:r>
        <w:rPr>
          <w:spacing w:val="33"/>
        </w:rPr>
        <w:t>  </w:t>
      </w:r>
      <w:r>
        <w:rPr/>
        <w:t>du</w:t>
      </w:r>
      <w:r>
        <w:rPr>
          <w:spacing w:val="33"/>
        </w:rPr>
        <w:t>  </w:t>
      </w:r>
      <w:r>
        <w:rPr/>
        <w:t>principe</w:t>
      </w:r>
      <w:r>
        <w:rPr>
          <w:spacing w:val="33"/>
        </w:rPr>
        <w:t>  </w:t>
      </w:r>
      <w:r>
        <w:rPr/>
        <w:t>de</w:t>
      </w:r>
      <w:r>
        <w:rPr>
          <w:spacing w:val="33"/>
        </w:rPr>
        <w:t>  </w:t>
      </w:r>
      <w:r>
        <w:rPr/>
        <w:t>la</w:t>
      </w:r>
      <w:r>
        <w:rPr>
          <w:spacing w:val="33"/>
        </w:rPr>
        <w:t>  </w:t>
      </w:r>
      <w:r>
        <w:rPr/>
        <w:t>prééminence</w:t>
      </w:r>
      <w:r>
        <w:rPr>
          <w:spacing w:val="33"/>
        </w:rPr>
        <w:t>  </w:t>
      </w:r>
      <w:r>
        <w:rPr/>
        <w:t>de</w:t>
      </w:r>
      <w:r>
        <w:rPr>
          <w:spacing w:val="33"/>
        </w:rPr>
        <w:t>  </w:t>
      </w:r>
      <w:r>
        <w:rPr/>
        <w:t>la</w:t>
      </w:r>
      <w:r>
        <w:rPr>
          <w:spacing w:val="33"/>
        </w:rPr>
        <w:t>  </w:t>
      </w:r>
      <w:r>
        <w:rPr/>
        <w:t>réalité</w:t>
      </w:r>
      <w:r>
        <w:rPr>
          <w:spacing w:val="33"/>
        </w:rPr>
        <w:t>  </w:t>
      </w:r>
      <w:r>
        <w:rPr/>
        <w:t>sur</w:t>
      </w:r>
      <w:r>
        <w:rPr>
          <w:spacing w:val="33"/>
        </w:rPr>
        <w:t>  </w:t>
      </w:r>
      <w:r>
        <w:rPr/>
        <w:t>l’apparence</w:t>
      </w:r>
      <w:r>
        <w:rPr>
          <w:spacing w:val="33"/>
        </w:rPr>
        <w:t>  </w:t>
      </w:r>
      <w:r>
        <w:rPr/>
        <w:t>juridique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360" w:lineRule="auto" w:before="0" w:after="0"/>
        <w:ind w:left="1999" w:right="277" w:hanging="360"/>
        <w:jc w:val="both"/>
        <w:rPr>
          <w:sz w:val="24"/>
        </w:rPr>
      </w:pPr>
      <w:r>
        <w:rPr>
          <w:sz w:val="24"/>
        </w:rPr>
        <w:t>en cours d'exercice, l'entité utilisatrice enregistre les factures reçues de l’entité de travail temporaire (ou des autres entités employeurs) au débit du compte 637 Rémunérations de personnel extérieur à l’entité;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355" w:lineRule="auto" w:before="0" w:after="0"/>
        <w:ind w:left="1999" w:right="277" w:hanging="360"/>
        <w:jc w:val="both"/>
        <w:rPr>
          <w:sz w:val="24"/>
        </w:rPr>
      </w:pPr>
      <w:r>
        <w:rPr>
          <w:sz w:val="24"/>
        </w:rPr>
        <w:t>à la clôture de l'exercice, le compte 637 est viré, pour solde, au débit du compte 667 Rémunération transférée de personnel extérieur.</w:t>
      </w:r>
    </w:p>
    <w:p>
      <w:pPr>
        <w:pStyle w:val="BodyText"/>
        <w:spacing w:line="360" w:lineRule="auto"/>
        <w:ind w:left="1279" w:right="277"/>
        <w:jc w:val="both"/>
      </w:pPr>
      <w:r>
        <w:rPr/>
        <w:t>Les rémunérations des autres prestataires de services non-salariés d'une autre entité, ou non mis à disposition par une autre entité doivent être enregistrées au</w:t>
      </w:r>
      <w:r>
        <w:rPr>
          <w:spacing w:val="40"/>
        </w:rPr>
        <w:t> </w:t>
      </w:r>
      <w:r>
        <w:rPr/>
        <w:t>compte 6327</w:t>
      </w:r>
      <w:r>
        <w:rPr>
          <w:spacing w:val="40"/>
        </w:rPr>
        <w:t> </w:t>
      </w:r>
      <w:r>
        <w:rPr/>
        <w:t>Rémunérations des autres prestataires de services ou au compte 6324 Honoraires des professions réglementées.</w:t>
      </w:r>
    </w:p>
    <w:p>
      <w:pPr>
        <w:pStyle w:val="BodyText"/>
        <w:spacing w:after="0" w:line="360" w:lineRule="auto"/>
        <w:jc w:val="both"/>
        <w:sectPr>
          <w:footerReference w:type="default" r:id="rId5"/>
          <w:type w:val="continuous"/>
          <w:pgSz w:w="11910" w:h="16840"/>
          <w:pgMar w:header="0" w:footer="1037" w:top="1360" w:bottom="1220" w:left="141" w:right="1133"/>
          <w:pgNumType w:start="234"/>
        </w:sectPr>
      </w:pP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240" w:lineRule="auto" w:before="75" w:after="0"/>
        <w:ind w:left="1519" w:right="0" w:hanging="24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6946316</wp:posOffset>
                </wp:positionH>
                <wp:positionV relativeFrom="page">
                  <wp:posOffset>5422320</wp:posOffset>
                </wp:positionV>
                <wp:extent cx="6350" cy="8813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441960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426.954376pt;width:.5pt;height:69.4pt;mso-position-horizontal-relative:page;mso-position-vertical-relative:page;z-index:15736320" id="docshape14" coordorigin="10939,8539" coordsize="10,1388" path="m10949,8539l10939,8539,10939,8549,10939,9005,10939,9235,10939,9465,10939,9696,10939,9926,10949,9926,10949,8549,10949,85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Comptabilisation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opérations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24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Au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l’exercice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4"/>
        <w:rPr>
          <w:b/>
          <w:sz w:val="20"/>
        </w:rPr>
      </w:pP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5103"/>
        <w:gridCol w:w="1364"/>
        <w:gridCol w:w="1153"/>
      </w:tblGrid>
      <w:tr>
        <w:trPr>
          <w:trHeight w:val="1156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6371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5" coordorigin="0,0" coordsize="1983,10">
                      <v:shape style="position:absolute;left:0;top:0;width:1983;height:10" id="docshape16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17" coordorigin="0,0" coordsize="1978,10">
                      <v:rect style="position:absolute;left:0;top:0;width:1978;height:10" id="docshape1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z w:val="19"/>
              </w:rPr>
              <w:t>Rémunérations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personnel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intérimaire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6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Fournisseurs</w:t>
            </w:r>
          </w:p>
          <w:p>
            <w:pPr>
              <w:pStyle w:val="TableParagraph"/>
              <w:spacing w:before="11"/>
              <w:ind w:left="166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Facturation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société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travail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temporaire</w:t>
            </w:r>
            <w:r>
              <w:rPr>
                <w:spacing w:val="-2"/>
                <w:w w:val="105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0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6372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9" coordorigin="0,0" coordsize="1983,10">
                      <v:rect style="position:absolute;left:0;top:0;width:1983;height:10" id="docshape2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1" coordorigin="0,0" coordsize="1978,10">
                      <v:rect style="position:absolute;left:0;top:0;width:1978;height:10" id="docshape2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z w:val="19"/>
              </w:rPr>
              <w:t>Rémunérations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personnel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détaché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4012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866"/>
              <w:rPr>
                <w:sz w:val="19"/>
              </w:rPr>
            </w:pPr>
            <w:r>
              <w:rPr>
                <w:sz w:val="19"/>
              </w:rPr>
              <w:t>Fournisseurs</w:t>
            </w:r>
            <w:r>
              <w:rPr>
                <w:spacing w:val="42"/>
                <w:sz w:val="19"/>
              </w:rPr>
              <w:t> </w:t>
            </w:r>
            <w:r>
              <w:rPr>
                <w:spacing w:val="-2"/>
                <w:sz w:val="19"/>
              </w:rPr>
              <w:t>Groupe</w:t>
            </w:r>
          </w:p>
          <w:p>
            <w:pPr>
              <w:pStyle w:val="TableParagraph"/>
              <w:spacing w:before="12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Facturation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société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mère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personnel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détaché</w:t>
            </w:r>
            <w:r>
              <w:rPr>
                <w:spacing w:val="-2"/>
                <w:w w:val="105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20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6327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3" coordorigin="0,0" coordsize="1983,10">
                      <v:rect style="position:absolute;left:0;top:0;width:1983;height:10" id="docshape2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5" coordorigin="0,0" coordsize="1978,10">
                      <v:rect style="position:absolute;left:0;top:0;width:1978;height:10" id="docshape2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Rémunérations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autres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prestataires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services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119"/>
              <w:ind w:left="66" w:right="1930" w:firstLine="1150"/>
              <w:rPr>
                <w:i/>
                <w:sz w:val="19"/>
              </w:rPr>
            </w:pPr>
            <w:r>
              <w:rPr>
                <w:spacing w:val="-2"/>
                <w:sz w:val="19"/>
              </w:rPr>
              <w:t>Fournisseurs</w:t>
            </w:r>
            <w:r>
              <w:rPr>
                <w:spacing w:val="-2"/>
                <w:sz w:val="19"/>
              </w:rPr>
              <w:t> </w:t>
            </w: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Facturation du gardien)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20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21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6946316</wp:posOffset>
                </wp:positionH>
                <wp:positionV relativeFrom="paragraph">
                  <wp:posOffset>-2522712</wp:posOffset>
                </wp:positionV>
                <wp:extent cx="6350" cy="22098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50" cy="22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9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2209800"/>
                              </a:lnTo>
                              <a:lnTo>
                                <a:pt x="6096" y="22098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98.638763pt;width:.5pt;height:174pt;mso-position-horizontal-relative:page;mso-position-vertical-relative:paragraph;z-index:15734272" id="docshape27" coordorigin="10939,-3973" coordsize="10,3480" path="m10949,-3973l10939,-3973,10939,-3963,10939,-3507,10939,-493,10949,-493,10949,-3963,10949,-39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899083</wp:posOffset>
                </wp:positionH>
                <wp:positionV relativeFrom="paragraph">
                  <wp:posOffset>-2516616</wp:posOffset>
                </wp:positionV>
                <wp:extent cx="6350" cy="22040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50" cy="2204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40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582168"/>
                              </a:lnTo>
                              <a:lnTo>
                                <a:pt x="0" y="2203704"/>
                              </a:lnTo>
                              <a:lnTo>
                                <a:pt x="6096" y="2203704"/>
                              </a:lnTo>
                              <a:lnTo>
                                <a:pt x="6096" y="28956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198.158768pt;width:.5pt;height:173.55pt;mso-position-horizontal-relative:page;mso-position-vertical-relative:paragraph;z-index:15734784" id="docshape28" coordorigin="1416,-3963" coordsize="10,3471" path="m1425,-3963l1416,-3963,1416,-3507,1416,-3046,1416,-493,1425,-493,1425,-3507,1425,-39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1984175</wp:posOffset>
                </wp:positionH>
                <wp:positionV relativeFrom="paragraph">
                  <wp:posOffset>-312913</wp:posOffset>
                </wp:positionV>
                <wp:extent cx="1259205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24.638828pt;width:99.12pt;height:.48pt;mso-position-horizontal-relative:page;mso-position-vertical-relative:paragraph;z-index:15735296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3953183</wp:posOffset>
                </wp:positionH>
                <wp:positionV relativeFrom="paragraph">
                  <wp:posOffset>-312913</wp:posOffset>
                </wp:positionV>
                <wp:extent cx="126492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4.638828pt;width:99.6pt;height:.48pt;mso-position-horizontal-relative:page;mso-position-vertical-relative:paragraph;z-index:1573580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clôture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l’exercice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before="242"/>
        <w:ind w:left="1279"/>
      </w:pPr>
      <w:r>
        <w:rPr/>
        <w:t>Montant</w:t>
      </w:r>
      <w:r>
        <w:rPr>
          <w:spacing w:val="15"/>
        </w:rPr>
        <w:t> </w:t>
      </w:r>
      <w:r>
        <w:rPr/>
        <w:t>transféré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charges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personnel</w:t>
      </w:r>
      <w:r>
        <w:rPr>
          <w:spacing w:val="15"/>
        </w:rPr>
        <w:t> </w:t>
      </w:r>
      <w:r>
        <w:rPr/>
        <w:t>à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clôture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:</w:t>
      </w:r>
      <w:r>
        <w:rPr>
          <w:spacing w:val="15"/>
        </w:rPr>
        <w:t> </w:t>
      </w:r>
      <w:r>
        <w:rPr/>
        <w:t>6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15"/>
        </w:rPr>
        <w:t> </w:t>
      </w:r>
      <w:r>
        <w:rPr/>
        <w:t>+</w:t>
      </w:r>
      <w:r>
        <w:rPr>
          <w:spacing w:val="15"/>
        </w:rPr>
        <w:t> </w:t>
      </w:r>
      <w:r>
        <w:rPr/>
        <w:t>8</w:t>
      </w:r>
      <w:r>
        <w:rPr>
          <w:spacing w:val="-2"/>
        </w:rPr>
        <w:t> </w:t>
      </w:r>
      <w:r>
        <w:rPr/>
        <w:t>400 </w:t>
      </w:r>
      <w:r>
        <w:rPr>
          <w:spacing w:val="-5"/>
        </w:rPr>
        <w:t>000</w:t>
      </w:r>
    </w:p>
    <w:p>
      <w:pPr>
        <w:pStyle w:val="BodyText"/>
        <w:spacing w:before="136"/>
        <w:ind w:left="1279"/>
      </w:pPr>
      <w:r>
        <w:rPr/>
        <w:t>= 14 400 </w:t>
      </w:r>
      <w:r>
        <w:rPr>
          <w:spacing w:val="-4"/>
        </w:rPr>
        <w:t>000.</w:t>
      </w:r>
    </w:p>
    <w:p>
      <w:pPr>
        <w:pStyle w:val="BodyText"/>
        <w:spacing w:before="105"/>
      </w:pPr>
    </w:p>
    <w:p>
      <w:pPr>
        <w:spacing w:before="0" w:after="12"/>
        <w:ind w:left="436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899083</wp:posOffset>
                </wp:positionH>
                <wp:positionV relativeFrom="paragraph">
                  <wp:posOffset>149270</wp:posOffset>
                </wp:positionV>
                <wp:extent cx="6350" cy="8750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435864"/>
                              </a:lnTo>
                              <a:lnTo>
                                <a:pt x="0" y="582168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582168"/>
                              </a:lnTo>
                              <a:lnTo>
                                <a:pt x="6096" y="435864"/>
                              </a:lnTo>
                              <a:lnTo>
                                <a:pt x="6096" y="28956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53596pt;width:.5pt;height:68.9pt;mso-position-horizontal-relative:page;mso-position-vertical-relative:paragraph;z-index:15736832" id="docshape31" coordorigin="1416,235" coordsize="10,1378" path="m1425,235l1416,235,1416,691,1416,921,1416,1152,1416,1382,1416,1613,1425,1613,1425,1382,1425,1152,1425,921,1425,691,1425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5103"/>
        <w:gridCol w:w="1364"/>
        <w:gridCol w:w="1153"/>
      </w:tblGrid>
      <w:tr>
        <w:trPr>
          <w:trHeight w:val="23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6671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32" coordorigin="0,0" coordsize="1983,10">
                      <v:shape style="position:absolute;left:0;top:0;width:1983;height:10" id="docshape33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34" coordorigin="0,0" coordsize="1978,10">
                      <v:rect style="position:absolute;left:0;top:0;width:1978;height:10" id="docshape3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66"/>
              <w:rPr>
                <w:sz w:val="19"/>
              </w:rPr>
            </w:pPr>
            <w:r>
              <w:rPr>
                <w:sz w:val="19"/>
              </w:rPr>
              <w:t>Rémunération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transférée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personnel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intérimaire</w:t>
            </w:r>
          </w:p>
        </w:tc>
        <w:tc>
          <w:tcPr>
            <w:tcW w:w="251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2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"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6672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6"/>
              <w:rPr>
                <w:sz w:val="19"/>
              </w:rPr>
            </w:pPr>
            <w:r>
              <w:rPr>
                <w:sz w:val="19"/>
              </w:rPr>
              <w:t>Rémunération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transférée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personnel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détaché</w:t>
            </w:r>
          </w:p>
        </w:tc>
        <w:tc>
          <w:tcPr>
            <w:tcW w:w="251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24" w:hRule="atLeast"/>
        </w:trPr>
        <w:tc>
          <w:tcPr>
            <w:tcW w:w="154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91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6371</w:t>
            </w:r>
          </w:p>
        </w:tc>
        <w:tc>
          <w:tcPr>
            <w:tcW w:w="64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616"/>
              <w:rPr>
                <w:sz w:val="19"/>
              </w:rPr>
            </w:pPr>
            <w:r>
              <w:rPr>
                <w:sz w:val="19"/>
              </w:rPr>
              <w:t>Rémunérations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personnel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intérimaire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4" w:hRule="atLeast"/>
        </w:trPr>
        <w:tc>
          <w:tcPr>
            <w:tcW w:w="154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91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6372</w:t>
            </w:r>
          </w:p>
        </w:tc>
        <w:tc>
          <w:tcPr>
            <w:tcW w:w="64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16"/>
              <w:rPr>
                <w:sz w:val="19"/>
              </w:rPr>
            </w:pPr>
            <w:r>
              <w:rPr>
                <w:sz w:val="19"/>
              </w:rPr>
              <w:t>Rémunérations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personnel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détaché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99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1984175</wp:posOffset>
                </wp:positionH>
                <wp:positionV relativeFrom="paragraph">
                  <wp:posOffset>-203251</wp:posOffset>
                </wp:positionV>
                <wp:extent cx="1259205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16.004072pt;width:99.12pt;height:.48pt;mso-position-horizontal-relative:page;mso-position-vertical-relative:paragraph;z-index:15737344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3953183</wp:posOffset>
                </wp:positionH>
                <wp:positionV relativeFrom="paragraph">
                  <wp:posOffset>-203251</wp:posOffset>
                </wp:positionV>
                <wp:extent cx="126492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16.004072pt;width:99.6pt;height:.48pt;mso-position-horizontal-relative:page;mso-position-vertical-relative:paragraph;z-index:1573785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Impact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retraitement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l’exercice</w:t>
      </w:r>
    </w:p>
    <w:p>
      <w:pPr>
        <w:pStyle w:val="BodyText"/>
        <w:spacing w:before="8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360" w:lineRule="auto" w:before="1" w:after="0"/>
        <w:ind w:left="1999" w:right="277" w:hanging="360"/>
        <w:jc w:val="both"/>
        <w:rPr>
          <w:sz w:val="24"/>
        </w:rPr>
      </w:pPr>
      <w:r>
        <w:rPr>
          <w:b/>
          <w:sz w:val="24"/>
        </w:rPr>
        <w:t>sur la valeur ajoutée</w:t>
      </w:r>
      <w:r>
        <w:rPr>
          <w:b/>
          <w:spacing w:val="-2"/>
          <w:sz w:val="24"/>
        </w:rPr>
        <w:t> </w:t>
      </w:r>
      <w:r>
        <w:rPr>
          <w:sz w:val="24"/>
        </w:rPr>
        <w:t>: les services extérieurs diminuent de 14</w:t>
      </w:r>
      <w:r>
        <w:rPr>
          <w:spacing w:val="-3"/>
          <w:sz w:val="24"/>
        </w:rPr>
        <w:t> </w:t>
      </w:r>
      <w:r>
        <w:rPr>
          <w:sz w:val="24"/>
        </w:rPr>
        <w:t>400</w:t>
      </w:r>
      <w:r>
        <w:rPr>
          <w:spacing w:val="-2"/>
          <w:sz w:val="24"/>
        </w:rPr>
        <w:t> </w:t>
      </w:r>
      <w:r>
        <w:rPr>
          <w:sz w:val="24"/>
        </w:rPr>
        <w:t>000 tandis que la valeur ajoutée augmente d’autant.</w:t>
      </w: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357" w:lineRule="auto" w:before="2" w:after="0"/>
        <w:ind w:left="1999" w:right="277" w:hanging="360"/>
        <w:jc w:val="both"/>
        <w:rPr>
          <w:sz w:val="24"/>
        </w:rPr>
      </w:pPr>
      <w:r>
        <w:rPr>
          <w:b/>
          <w:sz w:val="24"/>
        </w:rPr>
        <w:t>sur l’excédent brut d’exploitation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 l’EBE</w:t>
      </w:r>
      <w:r>
        <w:rPr>
          <w:b/>
          <w:spacing w:val="-2"/>
          <w:sz w:val="24"/>
        </w:rPr>
        <w:t> </w:t>
      </w:r>
      <w:r>
        <w:rPr>
          <w:sz w:val="24"/>
        </w:rPr>
        <w:t>reste inchangé, car les charges de personnel sont-elles mêmes augmentées de 14</w:t>
      </w:r>
      <w:r>
        <w:rPr>
          <w:spacing w:val="-3"/>
          <w:sz w:val="24"/>
        </w:rPr>
        <w:t> </w:t>
      </w:r>
      <w:r>
        <w:rPr>
          <w:sz w:val="24"/>
        </w:rPr>
        <w:t>400 000. Par conséquent, la C.A.F.G restera également le même.</w:t>
      </w:r>
    </w:p>
    <w:sectPr>
      <w:pgSz w:w="11910" w:h="16840"/>
      <w:pgMar w:header="0" w:footer="1037" w:top="1320" w:bottom="1220" w:left="141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234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86176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234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99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7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9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2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5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4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7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0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32" w:hanging="36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54"/>
      <w:ind w:left="3338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  <w:jc w:val="both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2025-03-11T05:57:12Z</dcterms:created>
  <dcterms:modified xsi:type="dcterms:W3CDTF">2025-03-11T05:57:12Z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