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3391" w:val="left" w:leader="none"/>
        </w:tabs>
        <w:spacing w:before="272"/>
        <w:ind w:left="52" w:right="0" w:firstLine="0"/>
        <w:jc w:val="left"/>
        <w:rPr>
          <w:rFonts w:ascii="Cambria" w:hAnsi="Cambria"/>
          <w:b/>
          <w:sz w:val="31"/>
        </w:rPr>
      </w:pPr>
      <w:r>
        <w:rPr>
          <w:rFonts w:ascii="Cambria" w:hAnsi="Cambria"/>
          <w:b/>
          <w:sz w:val="31"/>
        </w:rPr>
        <mc:AlternateContent>
          <mc:Choice Requires="wps">
            <w:drawing>
              <wp:anchor distT="0" distB="0" distL="0" distR="0" allowOverlap="1" layoutInCell="1" locked="0" behindDoc="1" simplePos="0" relativeHeight="487541760">
                <wp:simplePos x="0" y="0"/>
                <wp:positionH relativeFrom="page">
                  <wp:posOffset>106607</wp:posOffset>
                </wp:positionH>
                <wp:positionV relativeFrom="paragraph">
                  <wp:posOffset>-344</wp:posOffset>
                </wp:positionV>
                <wp:extent cx="6620509" cy="70993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6620509" cy="7099300"/>
                          <a:chExt cx="6620509" cy="7099300"/>
                        </a:xfrm>
                      </wpg:grpSpPr>
                      <pic:pic>
                        <pic:nvPicPr>
                          <pic:cNvPr id="3" name="Image 3"/>
                          <pic:cNvPicPr/>
                        </pic:nvPicPr>
                        <pic:blipFill>
                          <a:blip r:embed="rId6" cstate="print"/>
                          <a:stretch>
                            <a:fillRect/>
                          </a:stretch>
                        </pic:blipFill>
                        <pic:spPr>
                          <a:xfrm>
                            <a:off x="12192" y="0"/>
                            <a:ext cx="1969007" cy="749807"/>
                          </a:xfrm>
                          <a:prstGeom prst="rect">
                            <a:avLst/>
                          </a:prstGeom>
                        </pic:spPr>
                      </pic:pic>
                      <wps:wsp>
                        <wps:cNvPr id="4" name="Graphic 4"/>
                        <wps:cNvSpPr/>
                        <wps:spPr>
                          <a:xfrm>
                            <a:off x="12191" y="42671"/>
                            <a:ext cx="1889760" cy="588645"/>
                          </a:xfrm>
                          <a:custGeom>
                            <a:avLst/>
                            <a:gdLst/>
                            <a:ahLst/>
                            <a:cxnLst/>
                            <a:rect l="l" t="t" r="r" b="b"/>
                            <a:pathLst>
                              <a:path w="1889760" h="588645">
                                <a:moveTo>
                                  <a:pt x="1496568" y="0"/>
                                </a:moveTo>
                                <a:lnTo>
                                  <a:pt x="0" y="0"/>
                                </a:lnTo>
                                <a:lnTo>
                                  <a:pt x="0" y="588264"/>
                                </a:lnTo>
                                <a:lnTo>
                                  <a:pt x="1496568" y="588264"/>
                                </a:lnTo>
                                <a:lnTo>
                                  <a:pt x="1889760" y="294131"/>
                                </a:lnTo>
                                <a:lnTo>
                                  <a:pt x="1496568"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1"/>
                            <a:ext cx="1889760" cy="588645"/>
                          </a:xfrm>
                          <a:custGeom>
                            <a:avLst/>
                            <a:gdLst/>
                            <a:ahLst/>
                            <a:cxnLst/>
                            <a:rect l="l" t="t" r="r" b="b"/>
                            <a:pathLst>
                              <a:path w="1889760" h="588645">
                                <a:moveTo>
                                  <a:pt x="0" y="0"/>
                                </a:moveTo>
                                <a:lnTo>
                                  <a:pt x="1496568" y="0"/>
                                </a:lnTo>
                                <a:lnTo>
                                  <a:pt x="1889760" y="294132"/>
                                </a:lnTo>
                                <a:lnTo>
                                  <a:pt x="1496568" y="588264"/>
                                </a:lnTo>
                                <a:lnTo>
                                  <a:pt x="0" y="588264"/>
                                </a:lnTo>
                              </a:path>
                            </a:pathLst>
                          </a:custGeom>
                          <a:ln w="24384">
                            <a:solidFill>
                              <a:srgbClr val="385D8A"/>
                            </a:solidFill>
                            <a:prstDash val="solid"/>
                          </a:ln>
                        </wps:spPr>
                        <wps:bodyPr wrap="square" lIns="0" tIns="0" rIns="0" bIns="0" rtlCol="0">
                          <a:prstTxWarp prst="textNoShape">
                            <a:avLst/>
                          </a:prstTxWarp>
                          <a:noAutofit/>
                        </wps:bodyPr>
                      </wps:wsp>
                      <pic:pic>
                        <pic:nvPicPr>
                          <pic:cNvPr id="6" name="Image 6"/>
                          <pic:cNvPicPr/>
                        </pic:nvPicPr>
                        <pic:blipFill>
                          <a:blip r:embed="rId7" cstate="print"/>
                          <a:stretch>
                            <a:fillRect/>
                          </a:stretch>
                        </pic:blipFill>
                        <pic:spPr>
                          <a:xfrm>
                            <a:off x="786383" y="746759"/>
                            <a:ext cx="292607" cy="6352032"/>
                          </a:xfrm>
                          <a:prstGeom prst="rect">
                            <a:avLst/>
                          </a:prstGeom>
                        </pic:spPr>
                      </pic:pic>
                      <wps:wsp>
                        <wps:cNvPr id="7" name="Graphic 7"/>
                        <wps:cNvSpPr/>
                        <wps:spPr>
                          <a:xfrm>
                            <a:off x="877824" y="801623"/>
                            <a:ext cx="186055" cy="6242685"/>
                          </a:xfrm>
                          <a:custGeom>
                            <a:avLst/>
                            <a:gdLst/>
                            <a:ahLst/>
                            <a:cxnLst/>
                            <a:rect l="l" t="t" r="r" b="b"/>
                            <a:pathLst>
                              <a:path w="186055" h="6242685">
                                <a:moveTo>
                                  <a:pt x="185928" y="0"/>
                                </a:moveTo>
                                <a:lnTo>
                                  <a:pt x="0" y="0"/>
                                </a:lnTo>
                                <a:lnTo>
                                  <a:pt x="0" y="6242304"/>
                                </a:lnTo>
                                <a:lnTo>
                                  <a:pt x="185928" y="6242304"/>
                                </a:lnTo>
                                <a:lnTo>
                                  <a:pt x="185928" y="0"/>
                                </a:lnTo>
                                <a:close/>
                              </a:path>
                            </a:pathLst>
                          </a:custGeom>
                          <a:solidFill>
                            <a:srgbClr val="4F81BD"/>
                          </a:solidFill>
                        </wps:spPr>
                        <wps:bodyPr wrap="square" lIns="0" tIns="0" rIns="0" bIns="0" rtlCol="0">
                          <a:prstTxWarp prst="textNoShape">
                            <a:avLst/>
                          </a:prstTxWarp>
                          <a:noAutofit/>
                        </wps:bodyPr>
                      </wps:wsp>
                      <wps:wsp>
                        <wps:cNvPr id="8" name="Graphic 8"/>
                        <wps:cNvSpPr/>
                        <wps:spPr>
                          <a:xfrm>
                            <a:off x="1063752" y="795527"/>
                            <a:ext cx="5556885" cy="6248400"/>
                          </a:xfrm>
                          <a:custGeom>
                            <a:avLst/>
                            <a:gdLst/>
                            <a:ahLst/>
                            <a:cxnLst/>
                            <a:rect l="l" t="t" r="r" b="b"/>
                            <a:pathLst>
                              <a:path w="5556885" h="6248400">
                                <a:moveTo>
                                  <a:pt x="5556504" y="0"/>
                                </a:moveTo>
                                <a:lnTo>
                                  <a:pt x="0" y="0"/>
                                </a:lnTo>
                                <a:lnTo>
                                  <a:pt x="0" y="6248400"/>
                                </a:lnTo>
                                <a:lnTo>
                                  <a:pt x="5556504" y="6248400"/>
                                </a:lnTo>
                                <a:lnTo>
                                  <a:pt x="5556504" y="0"/>
                                </a:lnTo>
                                <a:close/>
                              </a:path>
                            </a:pathLst>
                          </a:custGeom>
                          <a:solidFill>
                            <a:srgbClr val="DCE6F2"/>
                          </a:solidFill>
                        </wps:spPr>
                        <wps:bodyPr wrap="square" lIns="0" tIns="0" rIns="0" bIns="0" rtlCol="0">
                          <a:prstTxWarp prst="textNoShape">
                            <a:avLst/>
                          </a:prstTxWarp>
                          <a:noAutofit/>
                        </wps:bodyPr>
                      </wps:wsp>
                      <pic:pic>
                        <pic:nvPicPr>
                          <pic:cNvPr id="9" name="Image 9"/>
                          <pic:cNvPicPr/>
                        </pic:nvPicPr>
                        <pic:blipFill>
                          <a:blip r:embed="rId8" cstate="print"/>
                          <a:stretch>
                            <a:fillRect/>
                          </a:stretch>
                        </pic:blipFill>
                        <pic:spPr>
                          <a:xfrm>
                            <a:off x="1036319" y="771144"/>
                            <a:ext cx="1725167" cy="448055"/>
                          </a:xfrm>
                          <a:prstGeom prst="rect">
                            <a:avLst/>
                          </a:prstGeom>
                        </pic:spPr>
                      </pic:pic>
                    </wpg:wgp>
                  </a:graphicData>
                </a:graphic>
              </wp:anchor>
            </w:drawing>
          </mc:Choice>
          <mc:Fallback>
            <w:pict>
              <v:group style="position:absolute;margin-left:8.3943pt;margin-top:-.0271pt;width:521.3pt;height:559pt;mso-position-horizontal-relative:page;mso-position-vertical-relative:paragraph;z-index:-15774720" id="docshapegroup2" coordorigin="168,-1" coordsize="10426,11180">
                <v:shape style="position:absolute;left:187;top:-1;width:3101;height:1181" type="#_x0000_t75" id="docshape3" stroked="false">
                  <v:imagedata r:id="rId6" o:title=""/>
                </v:shape>
                <v:shape style="position:absolute;left:187;top:66;width:2976;height:927" id="docshape4" coordorigin="187,67" coordsize="2976,927" path="m2544,67l187,67,187,993,2544,993,3163,530,2544,67xe" filled="true" fillcolor="#376092" stroked="false">
                  <v:path arrowok="t"/>
                  <v:fill type="solid"/>
                </v:shape>
                <v:shape style="position:absolute;left:187;top:66;width:2976;height:927" id="docshape5" coordorigin="187,67" coordsize="2976,927" path="m187,67l2544,67,3163,530,2544,993,187,993e" filled="false" stroked="true" strokeweight="1.92pt" strokecolor="#385d8a">
                  <v:path arrowok="t"/>
                  <v:stroke dashstyle="solid"/>
                </v:shape>
                <v:shape style="position:absolute;left:1406;top:1175;width:461;height:10004" type="#_x0000_t75" id="docshape6" stroked="false">
                  <v:imagedata r:id="rId7" o:title=""/>
                </v:shape>
                <v:rect style="position:absolute;left:1550;top:1261;width:293;height:9831" id="docshape7" filled="true" fillcolor="#4f81bd" stroked="false">
                  <v:fill type="solid"/>
                </v:rect>
                <v:rect style="position:absolute;left:1843;top:1252;width:8751;height:9840" id="docshape8" filled="true" fillcolor="#dce6f2" stroked="false">
                  <v:fill type="solid"/>
                </v:rect>
                <v:shape style="position:absolute;left:1799;top:1213;width:2717;height:706" type="#_x0000_t75" id="docshape9" stroked="false">
                  <v:imagedata r:id="rId8" o:title=""/>
                </v:shape>
                <w10:wrap type="none"/>
              </v:group>
            </w:pict>
          </mc:Fallback>
        </mc:AlternateContent>
      </w:r>
      <w:r>
        <w:rPr>
          <w:rFonts w:ascii="Cambria" w:hAnsi="Cambria"/>
          <w:b/>
          <w:color w:val="FFFFFF"/>
          <w:spacing w:val="8"/>
          <w:position w:val="-8"/>
          <w:sz w:val="36"/>
        </w:rPr>
        <w:t>Chapitre</w:t>
      </w:r>
      <w:r>
        <w:rPr>
          <w:rFonts w:ascii="Cambria" w:hAnsi="Cambria"/>
          <w:b/>
          <w:color w:val="FFFFFF"/>
          <w:spacing w:val="37"/>
          <w:position w:val="-8"/>
          <w:sz w:val="36"/>
        </w:rPr>
        <w:t>  </w:t>
      </w:r>
      <w:r>
        <w:rPr>
          <w:rFonts w:ascii="Cambria" w:hAnsi="Cambria"/>
          <w:b/>
          <w:color w:val="FFFFFF"/>
          <w:spacing w:val="-5"/>
          <w:position w:val="-8"/>
          <w:sz w:val="36"/>
        </w:rPr>
        <w:t>31</w:t>
      </w:r>
      <w:r>
        <w:rPr>
          <w:rFonts w:ascii="Cambria" w:hAnsi="Cambria"/>
          <w:b/>
          <w:color w:val="FFFFFF"/>
          <w:position w:val="-8"/>
          <w:sz w:val="36"/>
        </w:rPr>
        <w:tab/>
      </w:r>
      <w:r>
        <w:rPr>
          <w:rFonts w:ascii="Cambria" w:hAnsi="Cambria"/>
          <w:b/>
          <w:color w:val="548DD4"/>
          <w:spacing w:val="-2"/>
          <w:sz w:val="31"/>
        </w:rPr>
        <w:t>Événements</w:t>
      </w:r>
      <w:r>
        <w:rPr>
          <w:rFonts w:ascii="Cambria" w:hAnsi="Cambria"/>
          <w:b/>
          <w:color w:val="548DD4"/>
          <w:spacing w:val="-14"/>
          <w:sz w:val="31"/>
        </w:rPr>
        <w:t> </w:t>
      </w:r>
      <w:r>
        <w:rPr>
          <w:rFonts w:ascii="Cambria" w:hAnsi="Cambria"/>
          <w:b/>
          <w:color w:val="548DD4"/>
          <w:spacing w:val="-2"/>
          <w:sz w:val="31"/>
        </w:rPr>
        <w:t>postérieurs</w:t>
      </w:r>
      <w:r>
        <w:rPr>
          <w:rFonts w:ascii="Cambria" w:hAnsi="Cambria"/>
          <w:b/>
          <w:color w:val="548DD4"/>
          <w:spacing w:val="-13"/>
          <w:sz w:val="31"/>
        </w:rPr>
        <w:t> </w:t>
      </w:r>
      <w:r>
        <w:rPr>
          <w:rFonts w:ascii="Cambria" w:hAnsi="Cambria"/>
          <w:b/>
          <w:color w:val="548DD4"/>
          <w:spacing w:val="-2"/>
          <w:sz w:val="31"/>
        </w:rPr>
        <w:t>à</w:t>
      </w:r>
      <w:r>
        <w:rPr>
          <w:rFonts w:ascii="Cambria" w:hAnsi="Cambria"/>
          <w:b/>
          <w:color w:val="548DD4"/>
          <w:spacing w:val="-13"/>
          <w:sz w:val="31"/>
        </w:rPr>
        <w:t> </w:t>
      </w:r>
      <w:r>
        <w:rPr>
          <w:rFonts w:ascii="Cambria" w:hAnsi="Cambria"/>
          <w:b/>
          <w:color w:val="548DD4"/>
          <w:spacing w:val="-2"/>
          <w:sz w:val="31"/>
        </w:rPr>
        <w:t>la</w:t>
      </w:r>
      <w:r>
        <w:rPr>
          <w:rFonts w:ascii="Cambria" w:hAnsi="Cambria"/>
          <w:b/>
          <w:color w:val="548DD4"/>
          <w:spacing w:val="-13"/>
          <w:sz w:val="31"/>
        </w:rPr>
        <w:t> </w:t>
      </w:r>
      <w:r>
        <w:rPr>
          <w:rFonts w:ascii="Cambria" w:hAnsi="Cambria"/>
          <w:b/>
          <w:color w:val="548DD4"/>
          <w:spacing w:val="-2"/>
          <w:sz w:val="31"/>
        </w:rPr>
        <w:t>clôture</w:t>
      </w:r>
      <w:r>
        <w:rPr>
          <w:rFonts w:ascii="Cambria" w:hAnsi="Cambria"/>
          <w:b/>
          <w:color w:val="548DD4"/>
          <w:spacing w:val="-15"/>
          <w:sz w:val="31"/>
        </w:rPr>
        <w:t> </w:t>
      </w:r>
      <w:r>
        <w:rPr>
          <w:rFonts w:ascii="Cambria" w:hAnsi="Cambria"/>
          <w:b/>
          <w:color w:val="548DD4"/>
          <w:spacing w:val="-2"/>
          <w:sz w:val="31"/>
        </w:rPr>
        <w:t>de</w:t>
      </w:r>
      <w:r>
        <w:rPr>
          <w:rFonts w:ascii="Cambria" w:hAnsi="Cambria"/>
          <w:b/>
          <w:color w:val="548DD4"/>
          <w:spacing w:val="-14"/>
          <w:sz w:val="31"/>
        </w:rPr>
        <w:t> </w:t>
      </w:r>
      <w:r>
        <w:rPr>
          <w:rFonts w:ascii="Cambria" w:hAnsi="Cambria"/>
          <w:b/>
          <w:color w:val="548DD4"/>
          <w:spacing w:val="-2"/>
          <w:sz w:val="31"/>
        </w:rPr>
        <w:t>l’exercice</w:t>
      </w:r>
    </w:p>
    <w:p>
      <w:pPr>
        <w:pStyle w:val="BodyText"/>
        <w:rPr>
          <w:rFonts w:ascii="Cambria"/>
          <w:b/>
          <w:sz w:val="20"/>
        </w:rPr>
      </w:pPr>
    </w:p>
    <w:p>
      <w:pPr>
        <w:pStyle w:val="BodyText"/>
        <w:spacing w:before="46"/>
        <w:rPr>
          <w:rFonts w:ascii="Cambria"/>
          <w:b/>
          <w:sz w:val="20"/>
        </w:rPr>
      </w:pPr>
    </w:p>
    <w:tbl>
      <w:tblPr>
        <w:tblW w:w="0" w:type="auto"/>
        <w:jc w:val="left"/>
        <w:tblInd w:w="1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3"/>
        <w:gridCol w:w="2511"/>
        <w:gridCol w:w="6181"/>
      </w:tblGrid>
      <w:tr>
        <w:trPr>
          <w:trHeight w:val="409" w:hRule="atLeast"/>
        </w:trPr>
        <w:tc>
          <w:tcPr>
            <w:tcW w:w="353" w:type="dxa"/>
            <w:vMerge w:val="restart"/>
          </w:tcPr>
          <w:p>
            <w:pPr>
              <w:pStyle w:val="TableParagraph"/>
              <w:ind w:left="0"/>
              <w:jc w:val="left"/>
              <w:rPr>
                <w:sz w:val="24"/>
              </w:rPr>
            </w:pPr>
          </w:p>
        </w:tc>
        <w:tc>
          <w:tcPr>
            <w:tcW w:w="251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58"/>
              <w:jc w:val="left"/>
              <w:rPr>
                <w:b/>
                <w:sz w:val="24"/>
              </w:rPr>
            </w:pPr>
            <w:r>
              <w:rPr>
                <w:b/>
                <w:sz w:val="24"/>
              </w:rPr>
              <mc:AlternateContent>
                <mc:Choice Requires="wps">
                  <w:drawing>
                    <wp:anchor distT="0" distB="0" distL="0" distR="0" allowOverlap="1" layoutInCell="1" locked="0" behindDoc="1" simplePos="0" relativeHeight="487542272">
                      <wp:simplePos x="0" y="0"/>
                      <wp:positionH relativeFrom="column">
                        <wp:posOffset>0</wp:posOffset>
                      </wp:positionH>
                      <wp:positionV relativeFrom="paragraph">
                        <wp:posOffset>-28661</wp:posOffset>
                      </wp:positionV>
                      <wp:extent cx="1594485" cy="3175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1594485" cy="317500"/>
                                <a:chExt cx="1594485" cy="317500"/>
                              </a:xfrm>
                            </wpg:grpSpPr>
                            <wps:wsp>
                              <wps:cNvPr id="11" name="Graphic 11"/>
                              <wps:cNvSpPr/>
                              <wps:spPr>
                                <a:xfrm>
                                  <a:off x="0" y="0"/>
                                  <a:ext cx="1594485" cy="317500"/>
                                </a:xfrm>
                                <a:custGeom>
                                  <a:avLst/>
                                  <a:gdLst/>
                                  <a:ahLst/>
                                  <a:cxnLst/>
                                  <a:rect l="l" t="t" r="r" b="b"/>
                                  <a:pathLst>
                                    <a:path w="1594485" h="317500">
                                      <a:moveTo>
                                        <a:pt x="1594104" y="0"/>
                                      </a:moveTo>
                                      <a:lnTo>
                                        <a:pt x="0" y="0"/>
                                      </a:lnTo>
                                      <a:lnTo>
                                        <a:pt x="0" y="316992"/>
                                      </a:lnTo>
                                      <a:lnTo>
                                        <a:pt x="1594104" y="316992"/>
                                      </a:lnTo>
                                      <a:lnTo>
                                        <a:pt x="159410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49pt;width:125.55pt;height:25pt;mso-position-horizontal-relative:column;mso-position-vertical-relative:paragraph;z-index:-15774208" id="docshapegroup10" coordorigin="0,-45" coordsize="2511,500">
                      <v:rect style="position:absolute;left:0;top:-46;width:2511;height:500" id="docshape11"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103</w:t>
            </w:r>
          </w:p>
        </w:tc>
        <w:tc>
          <w:tcPr>
            <w:tcW w:w="6181" w:type="dxa"/>
            <w:tcBorders>
              <w:left w:val="single" w:sz="36" w:space="0" w:color="FFFFFF"/>
            </w:tcBorders>
          </w:tcPr>
          <w:p>
            <w:pPr>
              <w:pStyle w:val="TableParagraph"/>
              <w:spacing w:before="12"/>
              <w:ind w:left="100"/>
              <w:jc w:val="left"/>
              <w:rPr>
                <w:b/>
                <w:sz w:val="26"/>
              </w:rPr>
            </w:pPr>
            <w:r>
              <w:rPr>
                <w:b/>
                <w:sz w:val="26"/>
              </w:rPr>
              <w:t>Evènements</w:t>
            </w:r>
            <w:r>
              <w:rPr>
                <w:b/>
                <w:spacing w:val="-7"/>
                <w:sz w:val="26"/>
              </w:rPr>
              <w:t> </w:t>
            </w:r>
            <w:r>
              <w:rPr>
                <w:b/>
                <w:sz w:val="26"/>
              </w:rPr>
              <w:t>postérieurs</w:t>
            </w:r>
            <w:r>
              <w:rPr>
                <w:b/>
                <w:spacing w:val="-6"/>
                <w:sz w:val="26"/>
              </w:rPr>
              <w:t> </w:t>
            </w:r>
            <w:r>
              <w:rPr>
                <w:b/>
                <w:sz w:val="26"/>
              </w:rPr>
              <w:t>à</w:t>
            </w:r>
            <w:r>
              <w:rPr>
                <w:b/>
                <w:spacing w:val="-6"/>
                <w:sz w:val="26"/>
              </w:rPr>
              <w:t> </w:t>
            </w:r>
            <w:r>
              <w:rPr>
                <w:b/>
                <w:sz w:val="26"/>
              </w:rPr>
              <w:t>la</w:t>
            </w:r>
            <w:r>
              <w:rPr>
                <w:b/>
                <w:spacing w:val="-6"/>
                <w:sz w:val="26"/>
              </w:rPr>
              <w:t> </w:t>
            </w:r>
            <w:r>
              <w:rPr>
                <w:b/>
                <w:sz w:val="26"/>
              </w:rPr>
              <w:t>clôture</w:t>
            </w:r>
            <w:r>
              <w:rPr>
                <w:b/>
                <w:spacing w:val="-6"/>
                <w:sz w:val="26"/>
              </w:rPr>
              <w:t> </w:t>
            </w:r>
            <w:r>
              <w:rPr>
                <w:b/>
                <w:sz w:val="26"/>
              </w:rPr>
              <w:t>de</w:t>
            </w:r>
            <w:r>
              <w:rPr>
                <w:b/>
                <w:spacing w:val="-6"/>
                <w:sz w:val="26"/>
              </w:rPr>
              <w:t> </w:t>
            </w:r>
            <w:r>
              <w:rPr>
                <w:b/>
                <w:spacing w:val="-2"/>
                <w:sz w:val="26"/>
              </w:rPr>
              <w:t>l’exercice</w:t>
            </w:r>
          </w:p>
        </w:tc>
      </w:tr>
      <w:tr>
        <w:trPr>
          <w:trHeight w:val="9264" w:hRule="atLeast"/>
        </w:trPr>
        <w:tc>
          <w:tcPr>
            <w:tcW w:w="353" w:type="dxa"/>
            <w:vMerge/>
            <w:tcBorders>
              <w:top w:val="nil"/>
            </w:tcBorders>
          </w:tcPr>
          <w:p>
            <w:pPr>
              <w:rPr>
                <w:sz w:val="2"/>
                <w:szCs w:val="2"/>
              </w:rPr>
            </w:pPr>
          </w:p>
        </w:tc>
        <w:tc>
          <w:tcPr>
            <w:tcW w:w="8692" w:type="dxa"/>
            <w:gridSpan w:val="2"/>
          </w:tcPr>
          <w:p>
            <w:pPr>
              <w:pStyle w:val="TableParagraph"/>
              <w:spacing w:before="55"/>
              <w:rPr>
                <w:b/>
                <w:sz w:val="24"/>
              </w:rPr>
            </w:pPr>
            <w:r>
              <w:rPr>
                <w:b/>
                <w:sz w:val="24"/>
              </w:rPr>
              <w:t>Opération</w:t>
            </w:r>
            <w:r>
              <w:rPr>
                <w:b/>
                <w:spacing w:val="1"/>
                <w:sz w:val="24"/>
              </w:rPr>
              <w:t> </w:t>
            </w:r>
            <w:r>
              <w:rPr>
                <w:b/>
                <w:sz w:val="24"/>
              </w:rPr>
              <w:t>1</w:t>
            </w:r>
            <w:r>
              <w:rPr>
                <w:b/>
                <w:spacing w:val="-3"/>
                <w:sz w:val="24"/>
              </w:rPr>
              <w:t> </w:t>
            </w:r>
            <w:r>
              <w:rPr>
                <w:b/>
                <w:spacing w:val="-10"/>
                <w:sz w:val="24"/>
              </w:rPr>
              <w:t>:</w:t>
            </w:r>
          </w:p>
          <w:p>
            <w:pPr>
              <w:pStyle w:val="TableParagraph"/>
              <w:spacing w:line="360" w:lineRule="auto" w:before="136"/>
              <w:ind w:right="161"/>
              <w:rPr>
                <w:sz w:val="24"/>
              </w:rPr>
            </w:pPr>
            <w:r>
              <w:rPr>
                <w:sz w:val="24"/>
              </w:rPr>
              <w:t>Une entité évalue au 31 décembre N ses stocks marchandises en utilisant la méthode FIFO à 200 000 000 dans une situation de récession et d’autres tendances négatives du marché. Ces</w:t>
            </w:r>
            <w:r>
              <w:rPr>
                <w:spacing w:val="-3"/>
                <w:sz w:val="24"/>
              </w:rPr>
              <w:t> </w:t>
            </w:r>
            <w:r>
              <w:rPr>
                <w:sz w:val="24"/>
              </w:rPr>
              <w:t>stocks</w:t>
            </w:r>
            <w:r>
              <w:rPr>
                <w:spacing w:val="-3"/>
                <w:sz w:val="24"/>
              </w:rPr>
              <w:t> </w:t>
            </w:r>
            <w:r>
              <w:rPr>
                <w:sz w:val="24"/>
              </w:rPr>
              <w:t>dépréciés</w:t>
            </w:r>
            <w:r>
              <w:rPr>
                <w:spacing w:val="-3"/>
                <w:sz w:val="24"/>
              </w:rPr>
              <w:t> </w:t>
            </w:r>
            <w:r>
              <w:rPr>
                <w:sz w:val="24"/>
              </w:rPr>
              <w:t>n’ont</w:t>
            </w:r>
            <w:r>
              <w:rPr>
                <w:spacing w:val="-1"/>
                <w:sz w:val="24"/>
              </w:rPr>
              <w:t> </w:t>
            </w:r>
            <w:r>
              <w:rPr>
                <w:sz w:val="24"/>
              </w:rPr>
              <w:t>pas</w:t>
            </w:r>
            <w:r>
              <w:rPr>
                <w:spacing w:val="-3"/>
                <w:sz w:val="24"/>
              </w:rPr>
              <w:t> </w:t>
            </w:r>
            <w:r>
              <w:rPr>
                <w:sz w:val="24"/>
              </w:rPr>
              <w:t>pu</w:t>
            </w:r>
            <w:r>
              <w:rPr>
                <w:spacing w:val="-1"/>
                <w:sz w:val="24"/>
              </w:rPr>
              <w:t> </w:t>
            </w:r>
            <w:r>
              <w:rPr>
                <w:sz w:val="24"/>
              </w:rPr>
              <w:t>être</w:t>
            </w:r>
            <w:r>
              <w:rPr>
                <w:spacing w:val="-2"/>
                <w:sz w:val="24"/>
              </w:rPr>
              <w:t> </w:t>
            </w:r>
            <w:r>
              <w:rPr>
                <w:sz w:val="24"/>
              </w:rPr>
              <w:t>vendus</w:t>
            </w:r>
            <w:r>
              <w:rPr>
                <w:spacing w:val="-3"/>
                <w:sz w:val="24"/>
              </w:rPr>
              <w:t> </w:t>
            </w:r>
            <w:r>
              <w:rPr>
                <w:sz w:val="24"/>
              </w:rPr>
              <w:t>au</w:t>
            </w:r>
            <w:r>
              <w:rPr>
                <w:spacing w:val="-1"/>
                <w:sz w:val="24"/>
              </w:rPr>
              <w:t> </w:t>
            </w:r>
            <w:r>
              <w:rPr>
                <w:sz w:val="24"/>
              </w:rPr>
              <w:t>mois</w:t>
            </w:r>
            <w:r>
              <w:rPr>
                <w:spacing w:val="-3"/>
                <w:sz w:val="24"/>
              </w:rPr>
              <w:t> </w:t>
            </w:r>
            <w:r>
              <w:rPr>
                <w:sz w:val="24"/>
              </w:rPr>
              <w:t>de</w:t>
            </w:r>
            <w:r>
              <w:rPr>
                <w:spacing w:val="-2"/>
                <w:sz w:val="24"/>
              </w:rPr>
              <w:t> </w:t>
            </w:r>
            <w:r>
              <w:rPr>
                <w:sz w:val="24"/>
              </w:rPr>
              <w:t>janvier N+1.</w:t>
            </w:r>
            <w:r>
              <w:rPr>
                <w:spacing w:val="-3"/>
                <w:sz w:val="24"/>
              </w:rPr>
              <w:t> </w:t>
            </w:r>
            <w:r>
              <w:rPr>
                <w:sz w:val="24"/>
              </w:rPr>
              <w:t>L’entité vend enfin le 05 février N+1 ses stocks de marchandises pour 140 000 000. La date d’arrêté</w:t>
            </w:r>
            <w:r>
              <w:rPr>
                <w:spacing w:val="40"/>
                <w:sz w:val="24"/>
              </w:rPr>
              <w:t> </w:t>
            </w:r>
            <w:r>
              <w:rPr>
                <w:sz w:val="24"/>
              </w:rPr>
              <w:t>des comptes est le 15 Mars N+1.</w:t>
            </w:r>
          </w:p>
          <w:p>
            <w:pPr>
              <w:pStyle w:val="TableParagraph"/>
              <w:spacing w:before="4"/>
              <w:rPr>
                <w:b/>
                <w:sz w:val="24"/>
              </w:rPr>
            </w:pPr>
            <w:r>
              <w:rPr>
                <w:b/>
                <w:sz w:val="24"/>
              </w:rPr>
              <w:t>Opération</w:t>
            </w:r>
            <w:r>
              <w:rPr>
                <w:b/>
                <w:spacing w:val="1"/>
                <w:sz w:val="24"/>
              </w:rPr>
              <w:t> </w:t>
            </w:r>
            <w:r>
              <w:rPr>
                <w:b/>
                <w:sz w:val="24"/>
              </w:rPr>
              <w:t>2</w:t>
            </w:r>
            <w:r>
              <w:rPr>
                <w:b/>
                <w:spacing w:val="-3"/>
                <w:sz w:val="24"/>
              </w:rPr>
              <w:t> </w:t>
            </w:r>
            <w:r>
              <w:rPr>
                <w:b/>
                <w:spacing w:val="-10"/>
                <w:sz w:val="24"/>
              </w:rPr>
              <w:t>:</w:t>
            </w:r>
          </w:p>
          <w:p>
            <w:pPr>
              <w:pStyle w:val="TableParagraph"/>
              <w:spacing w:line="360" w:lineRule="auto" w:before="137"/>
              <w:ind w:right="167"/>
              <w:rPr>
                <w:sz w:val="24"/>
              </w:rPr>
            </w:pPr>
            <w:r>
              <w:rPr>
                <w:sz w:val="24"/>
              </w:rPr>
              <w:t>Une entité clôt son exercice</w:t>
            </w:r>
            <w:r>
              <w:rPr>
                <w:spacing w:val="40"/>
                <w:sz w:val="24"/>
              </w:rPr>
              <w:t> </w:t>
            </w:r>
            <w:r>
              <w:rPr>
                <w:sz w:val="24"/>
              </w:rPr>
              <w:t>le 31/12/N. Un incendie survient</w:t>
            </w:r>
            <w:r>
              <w:rPr>
                <w:spacing w:val="40"/>
                <w:sz w:val="24"/>
              </w:rPr>
              <w:t> </w:t>
            </w:r>
            <w:r>
              <w:rPr>
                <w:sz w:val="24"/>
              </w:rPr>
              <w:t>fin janvier N + 1 et détruit un atelier représentant 20 % de la capacité de production. Les dommages sont estimés à 150 000 000 F mais ne remettent pas en cause la continuité d'exploitation.</w:t>
            </w:r>
          </w:p>
          <w:p>
            <w:pPr>
              <w:pStyle w:val="TableParagraph"/>
              <w:spacing w:before="1"/>
              <w:rPr>
                <w:b/>
                <w:sz w:val="24"/>
              </w:rPr>
            </w:pPr>
            <w:r>
              <w:rPr>
                <w:b/>
                <w:sz w:val="24"/>
              </w:rPr>
              <w:t>Opération</w:t>
            </w:r>
            <w:r>
              <w:rPr>
                <w:b/>
                <w:spacing w:val="1"/>
                <w:sz w:val="24"/>
              </w:rPr>
              <w:t> </w:t>
            </w:r>
            <w:r>
              <w:rPr>
                <w:b/>
                <w:sz w:val="24"/>
              </w:rPr>
              <w:t>3</w:t>
            </w:r>
            <w:r>
              <w:rPr>
                <w:b/>
                <w:spacing w:val="-3"/>
                <w:sz w:val="24"/>
              </w:rPr>
              <w:t> </w:t>
            </w:r>
            <w:r>
              <w:rPr>
                <w:b/>
                <w:spacing w:val="-10"/>
                <w:sz w:val="24"/>
              </w:rPr>
              <w:t>:</w:t>
            </w:r>
          </w:p>
          <w:p>
            <w:pPr>
              <w:pStyle w:val="TableParagraph"/>
              <w:spacing w:line="360" w:lineRule="auto" w:before="137"/>
              <w:ind w:right="166"/>
              <w:rPr>
                <w:sz w:val="24"/>
              </w:rPr>
            </w:pPr>
            <w:r>
              <w:rPr>
                <w:sz w:val="24"/>
              </w:rPr>
              <w:t>Une entité clôt son exercice le 31/12/N. En février N + 1 débute</w:t>
            </w:r>
            <w:r>
              <w:rPr>
                <w:spacing w:val="80"/>
                <w:sz w:val="24"/>
              </w:rPr>
              <w:t> </w:t>
            </w:r>
            <w:r>
              <w:rPr>
                <w:sz w:val="24"/>
              </w:rPr>
              <w:t>un litige peu important résultant d'événements survenus après la date de clôture. La date d’arrêté</w:t>
            </w:r>
            <w:r>
              <w:rPr>
                <w:spacing w:val="80"/>
                <w:w w:val="150"/>
                <w:sz w:val="24"/>
              </w:rPr>
              <w:t> </w:t>
            </w:r>
            <w:r>
              <w:rPr>
                <w:sz w:val="24"/>
              </w:rPr>
              <w:t>des comptes de cette entité est le 20 Avril N+1.</w:t>
            </w:r>
          </w:p>
          <w:p>
            <w:pPr>
              <w:pStyle w:val="TableParagraph"/>
              <w:spacing w:line="272" w:lineRule="exact"/>
              <w:rPr>
                <w:b/>
                <w:sz w:val="24"/>
              </w:rPr>
            </w:pPr>
            <w:r>
              <w:rPr>
                <w:b/>
                <w:sz w:val="24"/>
              </w:rPr>
              <w:t>Opération</w:t>
            </w:r>
            <w:r>
              <w:rPr>
                <w:b/>
                <w:spacing w:val="1"/>
                <w:sz w:val="24"/>
              </w:rPr>
              <w:t> </w:t>
            </w:r>
            <w:r>
              <w:rPr>
                <w:b/>
                <w:sz w:val="24"/>
              </w:rPr>
              <w:t>4</w:t>
            </w:r>
            <w:r>
              <w:rPr>
                <w:b/>
                <w:spacing w:val="-3"/>
                <w:sz w:val="24"/>
              </w:rPr>
              <w:t> </w:t>
            </w:r>
            <w:r>
              <w:rPr>
                <w:b/>
                <w:spacing w:val="-10"/>
                <w:sz w:val="24"/>
              </w:rPr>
              <w:t>:</w:t>
            </w:r>
          </w:p>
          <w:p>
            <w:pPr>
              <w:pStyle w:val="TableParagraph"/>
              <w:spacing w:line="360" w:lineRule="auto" w:before="142"/>
              <w:ind w:right="165"/>
              <w:rPr>
                <w:sz w:val="24"/>
              </w:rPr>
            </w:pPr>
            <w:r>
              <w:rPr>
                <w:sz w:val="24"/>
              </w:rPr>
              <w:t>Un litige au tribunal de travail est provisionné au passif du bilan au 31/12/N pour un montant de 50 000 000 F. Le conseil d’administration de l’entité a arrêté</w:t>
            </w:r>
            <w:r>
              <w:rPr>
                <w:spacing w:val="80"/>
                <w:sz w:val="24"/>
              </w:rPr>
              <w:t> </w:t>
            </w:r>
            <w:r>
              <w:rPr>
                <w:sz w:val="24"/>
              </w:rPr>
              <w:t>les comptes le 15/04/N+1. Une décision du tribunal intervient le 30/05/N+1 condamnant la société</w:t>
            </w:r>
            <w:r>
              <w:rPr>
                <w:spacing w:val="40"/>
                <w:sz w:val="24"/>
              </w:rPr>
              <w:t> </w:t>
            </w:r>
            <w:r>
              <w:rPr>
                <w:sz w:val="24"/>
              </w:rPr>
              <w:t>à verser 75 000 000 F.</w:t>
            </w:r>
          </w:p>
          <w:p>
            <w:pPr>
              <w:pStyle w:val="TableParagraph"/>
              <w:rPr>
                <w:b/>
                <w:sz w:val="24"/>
              </w:rPr>
            </w:pPr>
            <w:r>
              <w:rPr>
                <w:b/>
                <w:sz w:val="24"/>
              </w:rPr>
              <w:t>Opération</w:t>
            </w:r>
            <w:r>
              <w:rPr>
                <w:b/>
                <w:spacing w:val="1"/>
                <w:sz w:val="24"/>
              </w:rPr>
              <w:t> </w:t>
            </w:r>
            <w:r>
              <w:rPr>
                <w:b/>
                <w:sz w:val="24"/>
              </w:rPr>
              <w:t>5</w:t>
            </w:r>
            <w:r>
              <w:rPr>
                <w:b/>
                <w:spacing w:val="-3"/>
                <w:sz w:val="24"/>
              </w:rPr>
              <w:t> </w:t>
            </w:r>
            <w:r>
              <w:rPr>
                <w:b/>
                <w:spacing w:val="-10"/>
                <w:sz w:val="24"/>
              </w:rPr>
              <w:t>:</w:t>
            </w:r>
          </w:p>
          <w:p>
            <w:pPr>
              <w:pStyle w:val="TableParagraph"/>
              <w:spacing w:line="360" w:lineRule="auto" w:before="137"/>
              <w:ind w:right="161"/>
              <w:rPr>
                <w:sz w:val="24"/>
              </w:rPr>
            </w:pPr>
            <w:r>
              <w:rPr>
                <w:sz w:val="24"/>
              </w:rPr>
              <w:t>Une</w:t>
            </w:r>
            <w:r>
              <w:rPr>
                <w:spacing w:val="-2"/>
                <w:sz w:val="24"/>
              </w:rPr>
              <w:t> </w:t>
            </w:r>
            <w:r>
              <w:rPr>
                <w:sz w:val="24"/>
              </w:rPr>
              <w:t>entité</w:t>
            </w:r>
            <w:r>
              <w:rPr>
                <w:spacing w:val="-2"/>
                <w:sz w:val="24"/>
              </w:rPr>
              <w:t> </w:t>
            </w:r>
            <w:r>
              <w:rPr>
                <w:sz w:val="24"/>
              </w:rPr>
              <w:t>détenant</w:t>
            </w:r>
            <w:r>
              <w:rPr>
                <w:spacing w:val="-1"/>
                <w:sz w:val="24"/>
              </w:rPr>
              <w:t> </w:t>
            </w:r>
            <w:r>
              <w:rPr>
                <w:sz w:val="24"/>
              </w:rPr>
              <w:t>un</w:t>
            </w:r>
            <w:r>
              <w:rPr>
                <w:spacing w:val="-1"/>
                <w:sz w:val="24"/>
              </w:rPr>
              <w:t> </w:t>
            </w:r>
            <w:r>
              <w:rPr>
                <w:sz w:val="24"/>
              </w:rPr>
              <w:t>portefeuille</w:t>
            </w:r>
            <w:r>
              <w:rPr>
                <w:spacing w:val="-7"/>
                <w:sz w:val="24"/>
              </w:rPr>
              <w:t> </w:t>
            </w:r>
            <w:r>
              <w:rPr>
                <w:sz w:val="24"/>
              </w:rPr>
              <w:t>de</w:t>
            </w:r>
            <w:r>
              <w:rPr>
                <w:spacing w:val="-2"/>
                <w:sz w:val="24"/>
              </w:rPr>
              <w:t> </w:t>
            </w:r>
            <w:r>
              <w:rPr>
                <w:sz w:val="24"/>
              </w:rPr>
              <w:t>titres</w:t>
            </w:r>
            <w:r>
              <w:rPr>
                <w:spacing w:val="-3"/>
                <w:sz w:val="24"/>
              </w:rPr>
              <w:t> </w:t>
            </w:r>
            <w:r>
              <w:rPr>
                <w:sz w:val="24"/>
              </w:rPr>
              <w:t>à</w:t>
            </w:r>
            <w:r>
              <w:rPr>
                <w:spacing w:val="-2"/>
                <w:sz w:val="24"/>
              </w:rPr>
              <w:t> </w:t>
            </w:r>
            <w:r>
              <w:rPr>
                <w:sz w:val="24"/>
              </w:rPr>
              <w:t>la</w:t>
            </w:r>
            <w:r>
              <w:rPr>
                <w:spacing w:val="-2"/>
                <w:sz w:val="24"/>
              </w:rPr>
              <w:t> </w:t>
            </w:r>
            <w:r>
              <w:rPr>
                <w:sz w:val="24"/>
              </w:rPr>
              <w:t>clôture</w:t>
            </w:r>
            <w:r>
              <w:rPr>
                <w:spacing w:val="-2"/>
                <w:sz w:val="24"/>
              </w:rPr>
              <w:t> </w:t>
            </w:r>
            <w:r>
              <w:rPr>
                <w:sz w:val="24"/>
              </w:rPr>
              <w:t>de</w:t>
            </w:r>
            <w:r>
              <w:rPr>
                <w:spacing w:val="-2"/>
                <w:sz w:val="24"/>
              </w:rPr>
              <w:t> </w:t>
            </w:r>
            <w:r>
              <w:rPr>
                <w:sz w:val="24"/>
              </w:rPr>
              <w:t>l’exercice</w:t>
            </w:r>
            <w:r>
              <w:rPr>
                <w:spacing w:val="-2"/>
                <w:sz w:val="24"/>
              </w:rPr>
              <w:t> </w:t>
            </w:r>
            <w:r>
              <w:rPr>
                <w:sz w:val="24"/>
              </w:rPr>
              <w:t>constate</w:t>
            </w:r>
            <w:r>
              <w:rPr>
                <w:spacing w:val="-2"/>
                <w:sz w:val="24"/>
              </w:rPr>
              <w:t> </w:t>
            </w:r>
            <w:r>
              <w:rPr>
                <w:sz w:val="24"/>
              </w:rPr>
              <w:t>une</w:t>
            </w:r>
            <w:r>
              <w:rPr>
                <w:spacing w:val="-2"/>
                <w:sz w:val="24"/>
              </w:rPr>
              <w:t> </w:t>
            </w:r>
            <w:r>
              <w:rPr>
                <w:sz w:val="24"/>
              </w:rPr>
              <w:t>chute des cours de bourse début N+1.</w:t>
            </w:r>
          </w:p>
        </w:tc>
      </w:tr>
    </w:tbl>
    <w:p>
      <w:pPr>
        <w:pStyle w:val="BodyText"/>
        <w:spacing w:before="134"/>
        <w:rPr>
          <w:rFonts w:ascii="Cambria"/>
          <w:b/>
        </w:rPr>
      </w:pPr>
    </w:p>
    <w:p>
      <w:pPr>
        <w:pStyle w:val="Heading1"/>
        <w:numPr>
          <w:ilvl w:val="0"/>
          <w:numId w:val="1"/>
        </w:numPr>
        <w:tabs>
          <w:tab w:pos="1519" w:val="left" w:leader="none"/>
        </w:tabs>
        <w:spacing w:line="240" w:lineRule="auto" w:before="0" w:after="0"/>
        <w:ind w:left="1519" w:right="0" w:hanging="240"/>
        <w:jc w:val="left"/>
      </w:pPr>
      <w:r>
        <w:rPr>
          <w:color w:val="0D0D0D"/>
        </w:rPr>
        <w:t>Opération</w:t>
      </w:r>
      <w:r>
        <w:rPr>
          <w:color w:val="0D0D0D"/>
          <w:spacing w:val="-2"/>
        </w:rPr>
        <w:t> </w:t>
      </w:r>
      <w:r>
        <w:rPr>
          <w:color w:val="0D0D0D"/>
        </w:rPr>
        <w:t>1</w:t>
      </w:r>
      <w:r>
        <w:rPr>
          <w:color w:val="0D0D0D"/>
          <w:spacing w:val="-2"/>
        </w:rPr>
        <w:t> </w:t>
      </w:r>
      <w:r>
        <w:rPr>
          <w:color w:val="0D0D0D"/>
          <w:spacing w:val="-10"/>
        </w:rPr>
        <w:t>:</w:t>
      </w:r>
    </w:p>
    <w:p>
      <w:pPr>
        <w:pStyle w:val="BodyText"/>
        <w:spacing w:before="106"/>
        <w:rPr>
          <w:b/>
        </w:rPr>
      </w:pPr>
    </w:p>
    <w:p>
      <w:pPr>
        <w:pStyle w:val="BodyText"/>
        <w:spacing w:line="360" w:lineRule="auto"/>
        <w:ind w:left="1279" w:right="135"/>
        <w:jc w:val="both"/>
      </w:pPr>
      <w:r>
        <w:rPr>
          <w:color w:val="0D0D0D"/>
        </w:rPr>
        <w:t>La perte probable de 60</w:t>
      </w:r>
      <w:r>
        <w:rPr>
          <w:color w:val="0D0D0D"/>
          <w:spacing w:val="40"/>
        </w:rPr>
        <w:t> </w:t>
      </w:r>
      <w:r>
        <w:rPr>
          <w:color w:val="0D0D0D"/>
        </w:rPr>
        <w:t>000</w:t>
      </w:r>
      <w:r>
        <w:rPr>
          <w:color w:val="0D0D0D"/>
          <w:spacing w:val="-2"/>
        </w:rPr>
        <w:t> </w:t>
      </w:r>
      <w:r>
        <w:rPr>
          <w:color w:val="0D0D0D"/>
        </w:rPr>
        <w:t>000 F (200</w:t>
      </w:r>
      <w:r>
        <w:rPr>
          <w:color w:val="0D0D0D"/>
          <w:spacing w:val="-2"/>
        </w:rPr>
        <w:t> </w:t>
      </w:r>
      <w:r>
        <w:rPr>
          <w:color w:val="0D0D0D"/>
        </w:rPr>
        <w:t>000</w:t>
      </w:r>
      <w:r>
        <w:rPr>
          <w:color w:val="0D0D0D"/>
          <w:spacing w:val="-2"/>
        </w:rPr>
        <w:t> </w:t>
      </w:r>
      <w:r>
        <w:rPr>
          <w:color w:val="0D0D0D"/>
        </w:rPr>
        <w:t>000 – 140</w:t>
      </w:r>
      <w:r>
        <w:rPr>
          <w:color w:val="0D0D0D"/>
          <w:spacing w:val="-2"/>
        </w:rPr>
        <w:t> </w:t>
      </w:r>
      <w:r>
        <w:rPr>
          <w:color w:val="0D0D0D"/>
        </w:rPr>
        <w:t>000</w:t>
      </w:r>
      <w:r>
        <w:rPr>
          <w:color w:val="0D0D0D"/>
          <w:spacing w:val="-2"/>
        </w:rPr>
        <w:t> </w:t>
      </w:r>
      <w:r>
        <w:rPr>
          <w:color w:val="0D0D0D"/>
        </w:rPr>
        <w:t>000) doit être comptabilisée dans les comptes de l’exercice N au 31 décembre parce qu’elle intervient avant la date d’arrêté des comptes. Ainsi, il convient de constater une dépréciation des stocks dans les comptes annuels de l’exercice N pour un montant (supplémentaire) de 60 000 000 F.</w:t>
      </w:r>
    </w:p>
    <w:p>
      <w:pPr>
        <w:pStyle w:val="BodyText"/>
        <w:spacing w:after="0" w:line="360" w:lineRule="auto"/>
        <w:jc w:val="both"/>
        <w:sectPr>
          <w:footerReference w:type="default" r:id="rId5"/>
          <w:type w:val="continuous"/>
          <w:pgSz w:w="11910" w:h="16840"/>
          <w:pgMar w:header="0" w:footer="1037" w:top="1380" w:bottom="1220" w:left="141" w:right="1275"/>
          <w:pgNumType w:start="248"/>
        </w:sectPr>
      </w:pPr>
    </w:p>
    <w:p>
      <w:pPr>
        <w:pStyle w:val="Heading1"/>
        <w:numPr>
          <w:ilvl w:val="0"/>
          <w:numId w:val="1"/>
        </w:numPr>
        <w:tabs>
          <w:tab w:pos="1519" w:val="left" w:leader="none"/>
        </w:tabs>
        <w:spacing w:line="240" w:lineRule="auto" w:before="60" w:after="0"/>
        <w:ind w:left="1519" w:right="0" w:hanging="240"/>
        <w:jc w:val="left"/>
      </w:pPr>
      <w:r>
        <w:rPr>
          <w:color w:val="0D0D0D"/>
        </w:rPr>
        <w:t>Opération</w:t>
      </w:r>
      <w:r>
        <w:rPr>
          <w:color w:val="0D0D0D"/>
          <w:spacing w:val="-2"/>
        </w:rPr>
        <w:t> </w:t>
      </w:r>
      <w:r>
        <w:rPr>
          <w:color w:val="0D0D0D"/>
        </w:rPr>
        <w:t>2</w:t>
      </w:r>
      <w:r>
        <w:rPr>
          <w:color w:val="0D0D0D"/>
          <w:spacing w:val="-2"/>
        </w:rPr>
        <w:t> </w:t>
      </w:r>
      <w:r>
        <w:rPr>
          <w:color w:val="0D0D0D"/>
          <w:spacing w:val="-10"/>
        </w:rPr>
        <w:t>:</w:t>
      </w:r>
    </w:p>
    <w:p>
      <w:pPr>
        <w:pStyle w:val="BodyText"/>
        <w:spacing w:before="101"/>
        <w:rPr>
          <w:b/>
        </w:rPr>
      </w:pPr>
    </w:p>
    <w:p>
      <w:pPr>
        <w:pStyle w:val="BodyText"/>
        <w:spacing w:line="360" w:lineRule="auto"/>
        <w:ind w:left="1279" w:right="135"/>
        <w:jc w:val="both"/>
      </w:pPr>
      <w:r>
        <w:rPr>
          <w:color w:val="0D0D0D"/>
        </w:rPr>
        <w:t>L'incendie n'a aucun lien avec la situation à la date de clôture (évènement indiquant une situation postérieure à la clôture de l’exercice) et ne remet pas en cause la continuité d'exploitation : il ne donne pas lieu à un ajustement des comptes annuels de l’exercice N. Cependant, l'événement étant significatif, une information les notes annexes est nécessaire.</w:t>
      </w:r>
    </w:p>
    <w:p>
      <w:pPr>
        <w:pStyle w:val="Heading1"/>
        <w:numPr>
          <w:ilvl w:val="0"/>
          <w:numId w:val="1"/>
        </w:numPr>
        <w:tabs>
          <w:tab w:pos="1519" w:val="left" w:leader="none"/>
        </w:tabs>
        <w:spacing w:line="240" w:lineRule="auto" w:before="240" w:after="0"/>
        <w:ind w:left="1519" w:right="0" w:hanging="240"/>
        <w:jc w:val="left"/>
      </w:pPr>
      <w:r>
        <w:rPr>
          <w:color w:val="0D0D0D"/>
        </w:rPr>
        <w:t>Opération</w:t>
      </w:r>
      <w:r>
        <w:rPr>
          <w:color w:val="0D0D0D"/>
          <w:spacing w:val="-2"/>
        </w:rPr>
        <w:t> </w:t>
      </w:r>
      <w:r>
        <w:rPr>
          <w:color w:val="0D0D0D"/>
        </w:rPr>
        <w:t>3</w:t>
      </w:r>
      <w:r>
        <w:rPr>
          <w:color w:val="0D0D0D"/>
          <w:spacing w:val="-2"/>
        </w:rPr>
        <w:t> </w:t>
      </w:r>
      <w:r>
        <w:rPr>
          <w:color w:val="0D0D0D"/>
          <w:spacing w:val="-10"/>
        </w:rPr>
        <w:t>:</w:t>
      </w:r>
    </w:p>
    <w:p>
      <w:pPr>
        <w:pStyle w:val="BodyText"/>
        <w:spacing w:before="101"/>
        <w:rPr>
          <w:b/>
        </w:rPr>
      </w:pPr>
    </w:p>
    <w:p>
      <w:pPr>
        <w:pStyle w:val="BodyText"/>
        <w:spacing w:line="360" w:lineRule="auto"/>
        <w:ind w:left="1279" w:right="134"/>
        <w:jc w:val="both"/>
      </w:pPr>
      <w:r>
        <w:rPr>
          <w:color w:val="0D0D0D"/>
        </w:rPr>
        <w:t>Le litige n'a aucun lien avec la situation à la date de clôture et n'est pas d'une importance significative. Il ne donne donc pas lieu à un ajustement dans les comptes annuels, ni à une information dans les notes annexes de l’exercice N. Mais une information doit être fournie dans le rapport de gestion de l’exercice N.</w:t>
      </w:r>
    </w:p>
    <w:p>
      <w:pPr>
        <w:pStyle w:val="Heading1"/>
        <w:numPr>
          <w:ilvl w:val="0"/>
          <w:numId w:val="1"/>
        </w:numPr>
        <w:tabs>
          <w:tab w:pos="1519" w:val="left" w:leader="none"/>
        </w:tabs>
        <w:spacing w:line="240" w:lineRule="auto" w:before="240" w:after="0"/>
        <w:ind w:left="1519" w:right="0" w:hanging="240"/>
        <w:jc w:val="left"/>
      </w:pPr>
      <w:r>
        <w:rPr>
          <w:color w:val="0D0D0D"/>
        </w:rPr>
        <w:t>Opération</w:t>
      </w:r>
      <w:r>
        <w:rPr>
          <w:color w:val="0D0D0D"/>
          <w:spacing w:val="-3"/>
        </w:rPr>
        <w:t> </w:t>
      </w:r>
      <w:r>
        <w:rPr>
          <w:color w:val="0D0D0D"/>
        </w:rPr>
        <w:t>4</w:t>
      </w:r>
      <w:r>
        <w:rPr>
          <w:color w:val="0D0D0D"/>
          <w:spacing w:val="-2"/>
        </w:rPr>
        <w:t> </w:t>
      </w:r>
      <w:r>
        <w:rPr>
          <w:color w:val="0D0D0D"/>
          <w:spacing w:val="-10"/>
        </w:rPr>
        <w:t>:</w:t>
      </w:r>
    </w:p>
    <w:p>
      <w:pPr>
        <w:pStyle w:val="BodyText"/>
        <w:spacing w:before="105"/>
        <w:rPr>
          <w:b/>
        </w:rPr>
      </w:pPr>
    </w:p>
    <w:p>
      <w:pPr>
        <w:pStyle w:val="BodyText"/>
        <w:spacing w:line="357" w:lineRule="auto" w:before="1"/>
        <w:ind w:left="1279" w:right="135"/>
        <w:jc w:val="both"/>
      </w:pPr>
      <w:r>
        <w:rPr>
          <w:color w:val="0D0D0D"/>
        </w:rPr>
        <w:t>Cette décision du tribunal en date du 30/05/N+1 ne constitue pas un événement postérieur à la période de l’exercice dès lors qu’elle intervient postérieurement à la date d’arrêté des comptes le 15/04/N+1. En conséquence, les états financiers N ne doivent pas être ajustés.</w:t>
      </w:r>
    </w:p>
    <w:p>
      <w:pPr>
        <w:pStyle w:val="Heading1"/>
        <w:numPr>
          <w:ilvl w:val="0"/>
          <w:numId w:val="1"/>
        </w:numPr>
        <w:tabs>
          <w:tab w:pos="1519" w:val="left" w:leader="none"/>
        </w:tabs>
        <w:spacing w:line="240" w:lineRule="auto" w:before="244" w:after="0"/>
        <w:ind w:left="1519" w:right="0" w:hanging="240"/>
        <w:jc w:val="left"/>
      </w:pPr>
      <w:r>
        <w:rPr>
          <w:color w:val="0D0D0D"/>
        </w:rPr>
        <w:t>Opération</w:t>
      </w:r>
      <w:r>
        <w:rPr>
          <w:color w:val="0D0D0D"/>
          <w:spacing w:val="-2"/>
        </w:rPr>
        <w:t> </w:t>
      </w:r>
      <w:r>
        <w:rPr>
          <w:color w:val="0D0D0D"/>
        </w:rPr>
        <w:t>5</w:t>
      </w:r>
      <w:r>
        <w:rPr>
          <w:color w:val="0D0D0D"/>
          <w:spacing w:val="-2"/>
        </w:rPr>
        <w:t> </w:t>
      </w:r>
      <w:r>
        <w:rPr>
          <w:color w:val="0D0D0D"/>
          <w:spacing w:val="-10"/>
        </w:rPr>
        <w:t>:</w:t>
      </w:r>
    </w:p>
    <w:p>
      <w:pPr>
        <w:pStyle w:val="BodyText"/>
        <w:spacing w:before="106"/>
        <w:rPr>
          <w:b/>
        </w:rPr>
      </w:pPr>
    </w:p>
    <w:p>
      <w:pPr>
        <w:pStyle w:val="BodyText"/>
        <w:spacing w:line="360" w:lineRule="auto"/>
        <w:ind w:left="1279" w:right="135"/>
        <w:jc w:val="both"/>
      </w:pPr>
      <w:r>
        <w:rPr>
          <w:color w:val="0D0D0D"/>
        </w:rPr>
        <w:t>Une chute brutale début N+1 des cours de bourse en pleine période d’arrêté des comptes annuels de l’exercice N n’affecte pas l’évaluation des actifs. En effet, l’événement est relatif à l’année N+1 et ne remet pas en cause la valeur actuelle du cours des titres au 31 décembre. Toutefois, dès lors que les incidences sur l’activité, de la chute des cours sont jugées significatives, l’entité doit les expliquer et si possible les quantifier dans les notes annexes de l’exercice N.</w:t>
      </w:r>
    </w:p>
    <w:sectPr>
      <w:pgSz w:w="11910" w:h="16840"/>
      <w:pgMar w:header="0" w:footer="1037" w:top="1340" w:bottom="1220" w:left="141"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41760">
              <wp:simplePos x="0" y="0"/>
              <wp:positionH relativeFrom="page">
                <wp:posOffset>6412341</wp:posOffset>
              </wp:positionH>
              <wp:positionV relativeFrom="page">
                <wp:posOffset>9893694</wp:posOffset>
              </wp:positionV>
              <wp:extent cx="301625"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01625"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248</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4.908813pt;margin-top:779.031067pt;width:23.75pt;height:15.2pt;mso-position-horizontal-relative:page;mso-position-vertical-relative:page;z-index:-15774720"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248</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519" w:hanging="240"/>
        <w:jc w:val="left"/>
      </w:pPr>
      <w:rPr>
        <w:rFonts w:hint="default" w:ascii="Times New Roman" w:hAnsi="Times New Roman" w:eastAsia="Times New Roman" w:cs="Times New Roman"/>
        <w:b/>
        <w:bCs/>
        <w:i w:val="0"/>
        <w:iCs w:val="0"/>
        <w:color w:val="0D0D0D"/>
        <w:spacing w:val="0"/>
        <w:w w:val="100"/>
        <w:sz w:val="24"/>
        <w:szCs w:val="24"/>
        <w:lang w:val="fr-FR" w:eastAsia="en-US" w:bidi="ar-SA"/>
      </w:rPr>
    </w:lvl>
    <w:lvl w:ilvl="1">
      <w:start w:val="0"/>
      <w:numFmt w:val="bullet"/>
      <w:lvlText w:val="•"/>
      <w:lvlJc w:val="left"/>
      <w:pPr>
        <w:ind w:left="2416" w:hanging="240"/>
      </w:pPr>
      <w:rPr>
        <w:rFonts w:hint="default"/>
        <w:lang w:val="fr-FR" w:eastAsia="en-US" w:bidi="ar-SA"/>
      </w:rPr>
    </w:lvl>
    <w:lvl w:ilvl="2">
      <w:start w:val="0"/>
      <w:numFmt w:val="bullet"/>
      <w:lvlText w:val="•"/>
      <w:lvlJc w:val="left"/>
      <w:pPr>
        <w:ind w:left="3313" w:hanging="240"/>
      </w:pPr>
      <w:rPr>
        <w:rFonts w:hint="default"/>
        <w:lang w:val="fr-FR" w:eastAsia="en-US" w:bidi="ar-SA"/>
      </w:rPr>
    </w:lvl>
    <w:lvl w:ilvl="3">
      <w:start w:val="0"/>
      <w:numFmt w:val="bullet"/>
      <w:lvlText w:val="•"/>
      <w:lvlJc w:val="left"/>
      <w:pPr>
        <w:ind w:left="4210" w:hanging="240"/>
      </w:pPr>
      <w:rPr>
        <w:rFonts w:hint="default"/>
        <w:lang w:val="fr-FR" w:eastAsia="en-US" w:bidi="ar-SA"/>
      </w:rPr>
    </w:lvl>
    <w:lvl w:ilvl="4">
      <w:start w:val="0"/>
      <w:numFmt w:val="bullet"/>
      <w:lvlText w:val="•"/>
      <w:lvlJc w:val="left"/>
      <w:pPr>
        <w:ind w:left="5107" w:hanging="240"/>
      </w:pPr>
      <w:rPr>
        <w:rFonts w:hint="default"/>
        <w:lang w:val="fr-FR" w:eastAsia="en-US" w:bidi="ar-SA"/>
      </w:rPr>
    </w:lvl>
    <w:lvl w:ilvl="5">
      <w:start w:val="0"/>
      <w:numFmt w:val="bullet"/>
      <w:lvlText w:val="•"/>
      <w:lvlJc w:val="left"/>
      <w:pPr>
        <w:ind w:left="6004" w:hanging="240"/>
      </w:pPr>
      <w:rPr>
        <w:rFonts w:hint="default"/>
        <w:lang w:val="fr-FR" w:eastAsia="en-US" w:bidi="ar-SA"/>
      </w:rPr>
    </w:lvl>
    <w:lvl w:ilvl="6">
      <w:start w:val="0"/>
      <w:numFmt w:val="bullet"/>
      <w:lvlText w:val="•"/>
      <w:lvlJc w:val="left"/>
      <w:pPr>
        <w:ind w:left="6901" w:hanging="240"/>
      </w:pPr>
      <w:rPr>
        <w:rFonts w:hint="default"/>
        <w:lang w:val="fr-FR" w:eastAsia="en-US" w:bidi="ar-SA"/>
      </w:rPr>
    </w:lvl>
    <w:lvl w:ilvl="7">
      <w:start w:val="0"/>
      <w:numFmt w:val="bullet"/>
      <w:lvlText w:val="•"/>
      <w:lvlJc w:val="left"/>
      <w:pPr>
        <w:ind w:left="7798" w:hanging="240"/>
      </w:pPr>
      <w:rPr>
        <w:rFonts w:hint="default"/>
        <w:lang w:val="fr-FR" w:eastAsia="en-US" w:bidi="ar-SA"/>
      </w:rPr>
    </w:lvl>
    <w:lvl w:ilvl="8">
      <w:start w:val="0"/>
      <w:numFmt w:val="bullet"/>
      <w:lvlText w:val="•"/>
      <w:lvlJc w:val="left"/>
      <w:pPr>
        <w:ind w:left="8695" w:hanging="240"/>
      </w:pPr>
      <w:rPr>
        <w:rFonts w:hint="default"/>
        <w:lang w:val="fr-F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spacing w:before="240"/>
      <w:ind w:left="1519" w:hanging="240"/>
      <w:outlineLvl w:val="1"/>
    </w:pPr>
    <w:rPr>
      <w:rFonts w:ascii="Times New Roman" w:hAnsi="Times New Roman" w:eastAsia="Times New Roman" w:cs="Times New Roman"/>
      <w:b/>
      <w:bCs/>
      <w:sz w:val="24"/>
      <w:szCs w:val="24"/>
      <w:lang w:val="fr-FR" w:eastAsia="en-US" w:bidi="ar-SA"/>
    </w:rPr>
  </w:style>
  <w:style w:styleId="ListParagraph" w:type="paragraph">
    <w:name w:val="List Paragraph"/>
    <w:basedOn w:val="Normal"/>
    <w:uiPriority w:val="1"/>
    <w:qFormat/>
    <w:pPr>
      <w:spacing w:before="240"/>
      <w:ind w:left="1519" w:hanging="240"/>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ind w:left="103"/>
      <w:jc w:val="both"/>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2025-03-11T05:58:49Z</dcterms:created>
  <dcterms:modified xsi:type="dcterms:W3CDTF">2025-03-11T05:58:49Z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