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106607</wp:posOffset>
                </wp:positionH>
                <wp:positionV relativeFrom="paragraph">
                  <wp:posOffset>163</wp:posOffset>
                </wp:positionV>
                <wp:extent cx="1975485" cy="74993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975485" cy="749935"/>
                          <a:chExt cx="1975485" cy="74993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962911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191" y="42671"/>
                            <a:ext cx="188404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4045" h="588645">
                                <a:moveTo>
                                  <a:pt x="1490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1490472" y="588264"/>
                                </a:lnTo>
                                <a:lnTo>
                                  <a:pt x="1883664" y="294132"/>
                                </a:lnTo>
                                <a:lnTo>
                                  <a:pt x="1490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192" y="42672"/>
                            <a:ext cx="188404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4045" h="588645">
                                <a:moveTo>
                                  <a:pt x="0" y="0"/>
                                </a:moveTo>
                                <a:lnTo>
                                  <a:pt x="1490472" y="0"/>
                                </a:lnTo>
                                <a:lnTo>
                                  <a:pt x="1883664" y="294132"/>
                                </a:lnTo>
                                <a:lnTo>
                                  <a:pt x="1490472" y="588264"/>
                                </a:ln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1975485" cy="749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5"/>
                                <w:ind w:left="15" w:right="0" w:firstLine="0"/>
                                <w:jc w:val="left"/>
                                <w:rPr>
                                  <w:rFonts w:asci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10"/>
                                  <w:sz w:val="36"/>
                                </w:rPr>
                                <w:t>Chapitre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67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w w:val="110"/>
                                  <w:sz w:val="36"/>
                                </w:rPr>
                                <w:t>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.0129pt;width:155.550pt;height:59.05pt;mso-position-horizontal-relative:page;mso-position-vertical-relative:paragraph;z-index:15728640" id="docshapegroup2" coordorigin="168,0" coordsize="3111,1181">
                <v:shape style="position:absolute;left:187;top:0;width:3092;height:1181" type="#_x0000_t75" id="docshape3" stroked="false">
                  <v:imagedata r:id="rId6" o:title=""/>
                </v:shape>
                <v:shape style="position:absolute;left:187;top:67;width:2967;height:927" id="docshape4" coordorigin="187,67" coordsize="2967,927" path="m2534,67l187,67,187,994,2534,994,3153,531,2534,67xe" filled="true" fillcolor="#376092" stroked="false">
                  <v:path arrowok="t"/>
                  <v:fill type="solid"/>
                </v:shape>
                <v:shape style="position:absolute;left:187;top:67;width:2967;height:927" id="docshape5" coordorigin="187,67" coordsize="2967,927" path="m187,67l2534,67,3153,531,2534,994,187,994e" filled="false" stroked="true" strokeweight="1.92pt" strokecolor="#385d8a">
                  <v:path arrowok="t"/>
                  <v:stroke dashstyle="solid"/>
                </v:shape>
                <v:shape style="position:absolute;left:167;top:0;width:3111;height:1181" type="#_x0000_t202" id="docshape6" filled="false" stroked="false">
                  <v:textbox inset="0,0,0,0">
                    <w:txbxContent>
                      <w:p>
                        <w:pPr>
                          <w:spacing w:before="315"/>
                          <w:ind w:left="15" w:right="0" w:firstLine="0"/>
                          <w:jc w:val="left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10"/>
                            <w:sz w:val="36"/>
                          </w:rPr>
                          <w:t>Chapitre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67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w w:val="110"/>
                            <w:sz w:val="36"/>
                          </w:rPr>
                          <w:t>39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548DD4"/>
        </w:rPr>
        <w:t>Comptes</w:t>
      </w:r>
      <w:r>
        <w:rPr>
          <w:color w:val="548DD4"/>
          <w:spacing w:val="-16"/>
        </w:rPr>
        <w:t> </w:t>
      </w:r>
      <w:r>
        <w:rPr>
          <w:color w:val="548DD4"/>
          <w:spacing w:val="-2"/>
        </w:rPr>
        <w:t>intermédiaires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50"/>
        <w:rPr>
          <w:b/>
          <w:sz w:val="20"/>
        </w:rPr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2554"/>
        <w:gridCol w:w="6137"/>
      </w:tblGrid>
      <w:tr>
        <w:trPr>
          <w:trHeight w:val="370" w:hRule="atLeast"/>
        </w:trPr>
        <w:tc>
          <w:tcPr>
            <w:tcW w:w="353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554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10016">
                      <wp:simplePos x="0" y="0"/>
                      <wp:positionH relativeFrom="column">
                        <wp:posOffset>-315468</wp:posOffset>
                      </wp:positionH>
                      <wp:positionV relativeFrom="paragraph">
                        <wp:posOffset>-97369</wp:posOffset>
                      </wp:positionV>
                      <wp:extent cx="5897880" cy="3487420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5897880" cy="3487420"/>
                                <a:chExt cx="5897880" cy="3487420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608" cy="34869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" name="Graphic 9"/>
                              <wps:cNvSpPr/>
                              <wps:spPr>
                                <a:xfrm>
                                  <a:off x="91439" y="54864"/>
                                  <a:ext cx="186055" cy="3377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55" h="3377565">
                                      <a:moveTo>
                                        <a:pt x="1859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377183"/>
                                      </a:lnTo>
                                      <a:lnTo>
                                        <a:pt x="185928" y="3377183"/>
                                      </a:lnTo>
                                      <a:lnTo>
                                        <a:pt x="185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277368" y="54864"/>
                                  <a:ext cx="5556885" cy="3377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6885" h="3377565">
                                      <a:moveTo>
                                        <a:pt x="55565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377183"/>
                                      </a:lnTo>
                                      <a:lnTo>
                                        <a:pt x="5556504" y="3377183"/>
                                      </a:lnTo>
                                      <a:lnTo>
                                        <a:pt x="5556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3359" y="115823"/>
                                  <a:ext cx="5684520" cy="32583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2" name="Image 12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9936" y="24383"/>
                                  <a:ext cx="1752600" cy="423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84pt;margin-top:-7.666856pt;width:464.4pt;height:274.6pt;mso-position-horizontal-relative:column;mso-position-vertical-relative:paragraph;z-index:-15806464" id="docshapegroup7" coordorigin="-497,-153" coordsize="9288,5492">
                      <v:shape style="position:absolute;left:-497;top:-154;width:461;height:5492" type="#_x0000_t75" id="docshape8" stroked="false">
                        <v:imagedata r:id="rId7" o:title=""/>
                      </v:shape>
                      <v:rect style="position:absolute;left:-353;top:-67;width:293;height:5319" id="docshape9" filled="true" fillcolor="#4f81bd" stroked="false">
                        <v:fill type="solid"/>
                      </v:rect>
                      <v:rect style="position:absolute;left:-60;top:-67;width:8751;height:5319" id="docshape10" filled="true" fillcolor="#dce6f2" stroked="false">
                        <v:fill type="solid"/>
                      </v:rect>
                      <v:shape style="position:absolute;left:-161;top:29;width:8952;height:5132" type="#_x0000_t75" id="docshape11" stroked="false">
                        <v:imagedata r:id="rId8" o:title=""/>
                      </v:shape>
                      <v:shape style="position:absolute;left:-104;top:-115;width:2760;height:668" type="#_x0000_t75" id="docshape12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105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621790" cy="292735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1621790" cy="292735"/>
                                <a:chExt cx="1621790" cy="29273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1621790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21790" h="292735">
                                      <a:moveTo>
                                        <a:pt x="16215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2607"/>
                                      </a:lnTo>
                                      <a:lnTo>
                                        <a:pt x="1621536" y="292607"/>
                                      </a:lnTo>
                                      <a:lnTo>
                                        <a:pt x="16215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56pt;width:127.7pt;height:23.05pt;mso-position-horizontal-relative:column;mso-position-vertical-relative:paragraph;z-index:-15805952" id="docshapegroup13" coordorigin="0,-45" coordsize="2554,461">
                      <v:rect style="position:absolute;left:0;top:-46;width:2554;height:461" id="docshape14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121</w:t>
            </w:r>
          </w:p>
        </w:tc>
        <w:tc>
          <w:tcPr>
            <w:tcW w:w="6137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26"/>
              <w:ind w:left="57"/>
              <w:rPr>
                <w:b/>
                <w:sz w:val="26"/>
              </w:rPr>
            </w:pPr>
            <w:r>
              <w:rPr>
                <w:b/>
                <w:sz w:val="26"/>
              </w:rPr>
              <w:t>Période</w:t>
            </w:r>
            <w:r>
              <w:rPr>
                <w:b/>
                <w:spacing w:val="-9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comparative</w:t>
            </w:r>
          </w:p>
        </w:tc>
      </w:tr>
      <w:tr>
        <w:trPr>
          <w:trHeight w:val="4790" w:hRule="atLeast"/>
        </w:trPr>
        <w:tc>
          <w:tcPr>
            <w:tcW w:w="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1" w:type="dxa"/>
            <w:gridSpan w:val="2"/>
          </w:tcPr>
          <w:p>
            <w:pPr>
              <w:pStyle w:val="TableParagraph"/>
              <w:spacing w:line="360" w:lineRule="auto" w:before="107"/>
              <w:ind w:left="102"/>
              <w:rPr>
                <w:sz w:val="24"/>
              </w:rPr>
            </w:pPr>
            <w:r>
              <w:rPr>
                <w:sz w:val="24"/>
              </w:rPr>
              <w:t>Une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entité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clôture ses états financiers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annuels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 31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Décembre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 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décide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préparer pour la première fois des états financiers intermédiaires au 30 juin N.</w:t>
            </w:r>
          </w:p>
          <w:p>
            <w:pPr>
              <w:pStyle w:val="TableParagraph"/>
              <w:spacing w:before="17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6088" w:val="left" w:leader="none"/>
              </w:tabs>
              <w:spacing w:line="391" w:lineRule="auto" w:before="0"/>
              <w:ind w:left="4048" w:right="468" w:hanging="576"/>
              <w:rPr>
                <w:b/>
                <w:sz w:val="24"/>
              </w:rPr>
            </w:pPr>
            <w:r>
              <w:rPr>
                <w:b/>
                <w:sz w:val="24"/>
              </w:rPr>
              <w:t>Période en cours</w:t>
              <w:tab/>
              <w:t>Période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comparative </w:t>
            </w:r>
            <w:r>
              <w:rPr>
                <w:b/>
                <w:spacing w:val="-2"/>
                <w:sz w:val="24"/>
              </w:rPr>
              <w:t>Bilan</w:t>
            </w:r>
          </w:p>
          <w:p>
            <w:pPr>
              <w:pStyle w:val="TableParagraph"/>
              <w:tabs>
                <w:tab w:pos="3856" w:val="left" w:leader="none"/>
                <w:tab w:pos="7101" w:val="left" w:leader="none"/>
              </w:tabs>
              <w:spacing w:before="3"/>
              <w:ind w:left="102"/>
              <w:rPr>
                <w:sz w:val="24"/>
              </w:rPr>
            </w:pPr>
            <w:r>
              <w:rPr>
                <w:sz w:val="24"/>
              </w:rPr>
              <w:t>Période clôturant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0"/>
                <w:sz w:val="24"/>
              </w:rPr>
              <w:t>:</w:t>
            </w:r>
            <w:r>
              <w:rPr>
                <w:sz w:val="24"/>
              </w:rPr>
              <w:tab/>
              <w:t>30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Juin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0"/>
                <w:sz w:val="24"/>
              </w:rPr>
              <w:t>N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?</w:t>
            </w:r>
          </w:p>
          <w:p>
            <w:pPr>
              <w:pStyle w:val="TableParagraph"/>
              <w:spacing w:before="170"/>
              <w:ind w:left="2" w:right="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Compte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résultat</w:t>
            </w:r>
          </w:p>
          <w:p>
            <w:pPr>
              <w:pStyle w:val="TableParagraph"/>
              <w:tabs>
                <w:tab w:pos="3093" w:val="left" w:leader="none"/>
                <w:tab w:pos="7101" w:val="left" w:leader="none"/>
              </w:tabs>
              <w:spacing w:before="176"/>
              <w:ind w:left="102"/>
              <w:rPr>
                <w:sz w:val="24"/>
              </w:rPr>
            </w:pPr>
            <w:r>
              <w:rPr>
                <w:sz w:val="24"/>
              </w:rPr>
              <w:t>-Sur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mois</w:t>
            </w:r>
            <w:r>
              <w:rPr>
                <w:sz w:val="24"/>
              </w:rPr>
              <w:tab/>
              <w:t>1</w:t>
            </w:r>
            <w:r>
              <w:rPr>
                <w:sz w:val="24"/>
                <w:vertAlign w:val="superscript"/>
              </w:rPr>
              <w:t>er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janvier</w:t>
            </w:r>
            <w:r>
              <w:rPr>
                <w:spacing w:val="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N</w:t>
            </w:r>
            <w:r>
              <w:rPr>
                <w:spacing w:val="-4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au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30</w:t>
            </w:r>
            <w:r>
              <w:rPr>
                <w:spacing w:val="-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juin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pacing w:val="-10"/>
                <w:sz w:val="24"/>
                <w:vertAlign w:val="baseline"/>
              </w:rPr>
              <w:t>N</w:t>
            </w:r>
            <w:r>
              <w:rPr>
                <w:sz w:val="24"/>
                <w:vertAlign w:val="baseline"/>
              </w:rPr>
              <w:tab/>
            </w:r>
            <w:r>
              <w:rPr>
                <w:spacing w:val="-10"/>
                <w:sz w:val="24"/>
                <w:vertAlign w:val="baseline"/>
              </w:rPr>
              <w:t>?</w:t>
            </w:r>
          </w:p>
          <w:p>
            <w:pPr>
              <w:pStyle w:val="TableParagraph"/>
              <w:spacing w:before="175"/>
              <w:ind w:left="0" w:right="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Tableau 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flux de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trésorerie</w:t>
            </w:r>
          </w:p>
          <w:p>
            <w:pPr>
              <w:pStyle w:val="TableParagraph"/>
              <w:tabs>
                <w:tab w:pos="3093" w:val="left" w:leader="none"/>
                <w:tab w:pos="7101" w:val="left" w:leader="none"/>
              </w:tabs>
              <w:spacing w:before="175"/>
              <w:ind w:left="102"/>
              <w:rPr>
                <w:sz w:val="24"/>
              </w:rPr>
            </w:pPr>
            <w:r>
              <w:rPr>
                <w:sz w:val="24"/>
              </w:rPr>
              <w:t>-sur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4"/>
                <w:sz w:val="24"/>
              </w:rPr>
              <w:t>mois</w:t>
            </w:r>
            <w:r>
              <w:rPr>
                <w:sz w:val="24"/>
              </w:rPr>
              <w:tab/>
              <w:t>1</w:t>
            </w:r>
            <w:r>
              <w:rPr>
                <w:sz w:val="24"/>
                <w:vertAlign w:val="superscript"/>
              </w:rPr>
              <w:t>er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janvier</w:t>
            </w:r>
            <w:r>
              <w:rPr>
                <w:spacing w:val="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N</w:t>
            </w:r>
            <w:r>
              <w:rPr>
                <w:spacing w:val="-4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au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30</w:t>
            </w:r>
            <w:r>
              <w:rPr>
                <w:spacing w:val="-3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juin</w:t>
            </w:r>
            <w:r>
              <w:rPr>
                <w:spacing w:val="1"/>
                <w:sz w:val="24"/>
                <w:vertAlign w:val="baseline"/>
              </w:rPr>
              <w:t> </w:t>
            </w:r>
            <w:r>
              <w:rPr>
                <w:spacing w:val="-10"/>
                <w:sz w:val="24"/>
                <w:vertAlign w:val="baseline"/>
              </w:rPr>
              <w:t>N</w:t>
            </w:r>
            <w:r>
              <w:rPr>
                <w:sz w:val="24"/>
                <w:vertAlign w:val="baseline"/>
              </w:rPr>
              <w:tab/>
            </w:r>
            <w:r>
              <w:rPr>
                <w:spacing w:val="-10"/>
                <w:sz w:val="24"/>
                <w:vertAlign w:val="baseline"/>
              </w:rPr>
              <w:t>?</w:t>
            </w:r>
          </w:p>
        </w:tc>
      </w:tr>
    </w:tbl>
    <w:p>
      <w:pPr>
        <w:pStyle w:val="BodyText"/>
        <w:spacing w:before="16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519" w:val="left" w:leader="none"/>
        </w:tabs>
        <w:spacing w:line="240" w:lineRule="auto" w:before="0" w:after="0"/>
        <w:ind w:left="1519" w:right="0" w:hanging="240"/>
        <w:jc w:val="left"/>
        <w:rPr>
          <w:b/>
          <w:sz w:val="24"/>
        </w:rPr>
      </w:pPr>
      <w:r>
        <w:rPr>
          <w:b/>
          <w:spacing w:val="-2"/>
          <w:sz w:val="24"/>
        </w:rPr>
        <w:t>Principe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Contenu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états</w:t>
      </w:r>
      <w:r>
        <w:rPr>
          <w:b/>
          <w:spacing w:val="-2"/>
          <w:sz w:val="24"/>
        </w:rPr>
        <w:t> financiers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355" w:lineRule="auto"/>
        <w:ind w:left="1279" w:right="418"/>
      </w:pPr>
      <w:r>
        <w:rPr/>
        <w:t>Les présentes dispositions recommandent aux entités qui publient des comptes intermédiaires de préparer les mêmes états de synthèse que ceux établis à la clôture de l'exercice.</w:t>
      </w:r>
    </w:p>
    <w:p>
      <w:pPr>
        <w:pStyle w:val="BodyText"/>
        <w:spacing w:before="206"/>
        <w:ind w:left="1279"/>
      </w:pPr>
      <w:r>
        <w:rPr/>
        <w:t>Un</w:t>
      </w:r>
      <w:r>
        <w:rPr>
          <w:spacing w:val="-4"/>
        </w:rPr>
        <w:t> </w:t>
      </w:r>
      <w:r>
        <w:rPr/>
        <w:t>jeu</w:t>
      </w:r>
      <w:r>
        <w:rPr>
          <w:spacing w:val="-2"/>
        </w:rPr>
        <w:t> </w:t>
      </w:r>
      <w:r>
        <w:rPr/>
        <w:t>complet</w:t>
      </w:r>
      <w:r>
        <w:rPr>
          <w:spacing w:val="-2"/>
        </w:rPr>
        <w:t> </w:t>
      </w:r>
      <w:r>
        <w:rPr/>
        <w:t>d’états</w:t>
      </w:r>
      <w:r>
        <w:rPr>
          <w:spacing w:val="-1"/>
        </w:rPr>
        <w:t> </w:t>
      </w:r>
      <w:r>
        <w:rPr/>
        <w:t>financiers</w:t>
      </w:r>
      <w:r>
        <w:rPr>
          <w:spacing w:val="-2"/>
        </w:rPr>
        <w:t> </w:t>
      </w:r>
      <w:r>
        <w:rPr/>
        <w:t>intègre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spacing w:before="67"/>
      </w:pPr>
    </w:p>
    <w:p>
      <w:pPr>
        <w:pStyle w:val="ListParagraph"/>
        <w:numPr>
          <w:ilvl w:val="0"/>
          <w:numId w:val="2"/>
        </w:numPr>
        <w:tabs>
          <w:tab w:pos="1604" w:val="left" w:leader="none"/>
        </w:tabs>
        <w:spacing w:line="240" w:lineRule="auto" w:before="0" w:after="0"/>
        <w:ind w:left="1604" w:right="0" w:hanging="325"/>
        <w:jc w:val="left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Bilan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1618" w:val="left" w:leader="none"/>
        </w:tabs>
        <w:spacing w:line="240" w:lineRule="auto" w:before="137" w:after="0"/>
        <w:ind w:left="1618" w:right="0" w:hanging="339"/>
        <w:jc w:val="left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Compte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résultat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1604" w:val="left" w:leader="none"/>
        </w:tabs>
        <w:spacing w:line="240" w:lineRule="auto" w:before="142" w:after="0"/>
        <w:ind w:left="1604" w:right="0" w:hanging="325"/>
        <w:jc w:val="left"/>
        <w:rPr>
          <w:sz w:val="24"/>
        </w:rPr>
      </w:pP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Tableau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flux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trésorerie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0"/>
          <w:numId w:val="2"/>
        </w:numPr>
        <w:tabs>
          <w:tab w:pos="1618" w:val="left" w:leader="none"/>
        </w:tabs>
        <w:spacing w:line="240" w:lineRule="auto" w:before="136" w:after="0"/>
        <w:ind w:left="1618" w:right="0" w:hanging="339"/>
        <w:jc w:val="left"/>
        <w:rPr>
          <w:sz w:val="24"/>
        </w:rPr>
      </w:pP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Notes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annexe.</w:t>
      </w: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240" w:lineRule="auto" w:before="134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Respect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principe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comparabilité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comptes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annuels</w:t>
      </w:r>
    </w:p>
    <w:p>
      <w:pPr>
        <w:pStyle w:val="BodyText"/>
        <w:spacing w:before="136"/>
        <w:ind w:left="1279"/>
      </w:pPr>
      <w:r>
        <w:rPr/>
        <w:t>Pour</w:t>
      </w:r>
      <w:r>
        <w:rPr>
          <w:spacing w:val="-4"/>
        </w:rPr>
        <w:t> </w:t>
      </w:r>
      <w:r>
        <w:rPr/>
        <w:t>assurer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comparabilité,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comptes</w:t>
      </w:r>
      <w:r>
        <w:rPr>
          <w:spacing w:val="-2"/>
        </w:rPr>
        <w:t> </w:t>
      </w:r>
      <w:r>
        <w:rPr/>
        <w:t>intermédiaires</w:t>
      </w:r>
      <w:r>
        <w:rPr>
          <w:spacing w:val="-2"/>
        </w:rPr>
        <w:t> </w:t>
      </w:r>
      <w:r>
        <w:rPr/>
        <w:t>comportent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BodyText"/>
        <w:spacing w:before="67"/>
      </w:pPr>
    </w:p>
    <w:p>
      <w:pPr>
        <w:pStyle w:val="BodyText"/>
        <w:tabs>
          <w:tab w:pos="1999" w:val="left" w:leader="none"/>
        </w:tabs>
        <w:spacing w:line="360" w:lineRule="auto" w:before="1"/>
        <w:ind w:left="1999" w:right="418" w:hanging="360"/>
      </w:pPr>
      <w:r>
        <w:rPr>
          <w:spacing w:val="-10"/>
        </w:rPr>
        <w:t>-</w:t>
      </w:r>
      <w:r>
        <w:rPr/>
        <w:tab/>
        <w:t>le bilan à la fin de la période intermédiaire concernée et le bilan à la date de clôture de l'exercice précédent ;</w:t>
      </w:r>
    </w:p>
    <w:p>
      <w:pPr>
        <w:pStyle w:val="BodyText"/>
        <w:spacing w:after="0" w:line="360" w:lineRule="auto"/>
        <w:sectPr>
          <w:footerReference w:type="default" r:id="rId5"/>
          <w:type w:val="continuous"/>
          <w:pgSz w:w="11910" w:h="16840"/>
          <w:pgMar w:header="0" w:footer="1037" w:top="1360" w:bottom="1220" w:left="141" w:right="992"/>
          <w:pgNumType w:start="305"/>
        </w:sectPr>
      </w:pPr>
    </w:p>
    <w:p>
      <w:pPr>
        <w:pStyle w:val="ListParagraph"/>
        <w:numPr>
          <w:ilvl w:val="0"/>
          <w:numId w:val="3"/>
        </w:numPr>
        <w:tabs>
          <w:tab w:pos="1999" w:val="left" w:leader="none"/>
          <w:tab w:pos="2058" w:val="left" w:leader="none"/>
        </w:tabs>
        <w:spacing w:line="360" w:lineRule="auto" w:before="60" w:after="0"/>
        <w:ind w:left="1999" w:right="418" w:hanging="360"/>
        <w:jc w:val="both"/>
        <w:rPr>
          <w:sz w:val="24"/>
        </w:rPr>
      </w:pPr>
      <w:r>
        <w:rPr>
          <w:sz w:val="24"/>
        </w:rPr>
        <w:t>le</w:t>
      </w:r>
      <w:r>
        <w:rPr>
          <w:spacing w:val="40"/>
          <w:sz w:val="24"/>
        </w:rPr>
        <w:t> </w:t>
      </w:r>
      <w:r>
        <w:rPr>
          <w:sz w:val="24"/>
        </w:rPr>
        <w:t>compte de résultat cumulé du début de l'exercice à la fin de la période</w:t>
      </w:r>
      <w:r>
        <w:rPr>
          <w:spacing w:val="40"/>
          <w:sz w:val="24"/>
        </w:rPr>
        <w:t> </w:t>
      </w:r>
      <w:r>
        <w:rPr>
          <w:sz w:val="24"/>
        </w:rPr>
        <w:t>intermédiaire, le compte de résultat pour la même période de l'exercice précédent,</w:t>
      </w:r>
      <w:r>
        <w:rPr>
          <w:spacing w:val="40"/>
          <w:sz w:val="24"/>
        </w:rPr>
        <w:t> </w:t>
      </w:r>
      <w:r>
        <w:rPr>
          <w:sz w:val="24"/>
        </w:rPr>
        <w:t>ainsi que le compte de résultat de l'exercice précédent.</w:t>
      </w:r>
    </w:p>
    <w:p>
      <w:pPr>
        <w:pStyle w:val="ListParagraph"/>
        <w:numPr>
          <w:ilvl w:val="0"/>
          <w:numId w:val="3"/>
        </w:numPr>
        <w:tabs>
          <w:tab w:pos="1999" w:val="left" w:leader="none"/>
        </w:tabs>
        <w:spacing w:line="360" w:lineRule="auto" w:before="1" w:after="0"/>
        <w:ind w:left="1999" w:right="418" w:hanging="360"/>
        <w:jc w:val="both"/>
        <w:rPr>
          <w:sz w:val="24"/>
        </w:rPr>
      </w:pPr>
      <w:r>
        <w:rPr>
          <w:sz w:val="24"/>
        </w:rPr>
        <w:t>le tableau des variations de capitaux propres cumulées du début de l'exercice à la fin</w:t>
      </w:r>
      <w:r>
        <w:rPr>
          <w:spacing w:val="40"/>
          <w:sz w:val="24"/>
        </w:rPr>
        <w:t> </w:t>
      </w:r>
      <w:r>
        <w:rPr>
          <w:sz w:val="24"/>
        </w:rPr>
        <w:t>de la période intermédiaire, ainsi que le tableau des variations de capitaux propres de l'exercice précédent ; et</w:t>
      </w:r>
    </w:p>
    <w:p>
      <w:pPr>
        <w:pStyle w:val="ListParagraph"/>
        <w:numPr>
          <w:ilvl w:val="0"/>
          <w:numId w:val="3"/>
        </w:numPr>
        <w:tabs>
          <w:tab w:pos="1999" w:val="left" w:leader="none"/>
        </w:tabs>
        <w:spacing w:line="360" w:lineRule="auto" w:before="2" w:after="0"/>
        <w:ind w:left="1999" w:right="418" w:hanging="360"/>
        <w:jc w:val="both"/>
        <w:rPr>
          <w:sz w:val="24"/>
        </w:rPr>
      </w:pPr>
      <w:r>
        <w:rPr>
          <w:sz w:val="24"/>
        </w:rPr>
        <w:t>un tableau des flux de trésorerie cumulés du début de l'exercice à la fin de la période intermédiaire, ainsi que le tableau des flux de l'exercice précédent.</w:t>
      </w:r>
    </w:p>
    <w:p>
      <w:pPr>
        <w:pStyle w:val="BodyText"/>
        <w:spacing w:line="360" w:lineRule="auto"/>
        <w:ind w:left="1279" w:right="418" w:firstLine="60"/>
        <w:jc w:val="both"/>
      </w:pPr>
      <w:r>
        <w:rPr/>
        <w:t>En cas de changement de méthode comptable décidé au cours de l'exercice et reflété dans les comptes intermédiaires publiés, l'information comparative présentée doit être retraitée pro- </w:t>
      </w:r>
      <w:r>
        <w:rPr>
          <w:spacing w:val="-2"/>
        </w:rPr>
        <w:t>forma.</w:t>
      </w:r>
    </w:p>
    <w:p>
      <w:pPr>
        <w:pStyle w:val="ListParagraph"/>
        <w:numPr>
          <w:ilvl w:val="0"/>
          <w:numId w:val="1"/>
        </w:numPr>
        <w:tabs>
          <w:tab w:pos="1519" w:val="left" w:leader="none"/>
        </w:tabs>
        <w:spacing w:line="240" w:lineRule="auto" w:before="195" w:after="0"/>
        <w:ind w:left="1519" w:right="0" w:hanging="240"/>
        <w:jc w:val="both"/>
        <w:rPr>
          <w:sz w:val="24"/>
        </w:rPr>
      </w:pPr>
      <w:r>
        <w:rPr>
          <w:b/>
          <w:sz w:val="24"/>
        </w:rPr>
        <w:t>Détermination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périodes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comparatives</w:t>
      </w:r>
    </w:p>
    <w:p>
      <w:pPr>
        <w:pStyle w:val="BodyText"/>
        <w:spacing w:before="112"/>
        <w:rPr>
          <w:b/>
          <w:sz w:val="20"/>
        </w:rPr>
      </w:pPr>
    </w:p>
    <w:tbl>
      <w:tblPr>
        <w:tblW w:w="0" w:type="auto"/>
        <w:jc w:val="left"/>
        <w:tblInd w:w="11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7"/>
        <w:gridCol w:w="2971"/>
        <w:gridCol w:w="3307"/>
      </w:tblGrid>
      <w:tr>
        <w:trPr>
          <w:trHeight w:val="397" w:hRule="atLeast"/>
        </w:trPr>
        <w:tc>
          <w:tcPr>
            <w:tcW w:w="3307" w:type="dxa"/>
            <w:shd w:val="clear" w:color="auto" w:fill="F2F2F2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2971" w:type="dxa"/>
            <w:shd w:val="clear" w:color="auto" w:fill="F2F2F2"/>
          </w:tcPr>
          <w:p>
            <w:pPr>
              <w:pStyle w:val="TableParagraph"/>
              <w:spacing w:before="15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Période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cours</w:t>
            </w:r>
          </w:p>
        </w:tc>
        <w:tc>
          <w:tcPr>
            <w:tcW w:w="3307" w:type="dxa"/>
            <w:shd w:val="clear" w:color="auto" w:fill="F2F2F2"/>
          </w:tcPr>
          <w:p>
            <w:pPr>
              <w:pStyle w:val="TableParagraph"/>
              <w:spacing w:before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Période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comparative</w:t>
            </w:r>
          </w:p>
        </w:tc>
      </w:tr>
      <w:tr>
        <w:trPr>
          <w:trHeight w:val="397" w:hRule="atLeast"/>
        </w:trPr>
        <w:tc>
          <w:tcPr>
            <w:tcW w:w="9585" w:type="dxa"/>
            <w:gridSpan w:val="3"/>
          </w:tcPr>
          <w:p>
            <w:pPr>
              <w:pStyle w:val="TableParagraph"/>
              <w:spacing w:before="15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Bilan</w:t>
            </w:r>
          </w:p>
        </w:tc>
      </w:tr>
      <w:tr>
        <w:trPr>
          <w:trHeight w:val="397" w:hRule="atLeast"/>
        </w:trPr>
        <w:tc>
          <w:tcPr>
            <w:tcW w:w="3307" w:type="dxa"/>
          </w:tcPr>
          <w:p>
            <w:pPr>
              <w:pStyle w:val="TableParagraph"/>
              <w:spacing w:before="15"/>
              <w:ind w:left="110"/>
              <w:rPr>
                <w:sz w:val="24"/>
              </w:rPr>
            </w:pPr>
            <w:r>
              <w:rPr>
                <w:sz w:val="24"/>
              </w:rPr>
              <w:t>Période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clôturant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971" w:type="dxa"/>
          </w:tcPr>
          <w:p>
            <w:pPr>
              <w:pStyle w:val="TableParagraph"/>
              <w:spacing w:before="15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30 Juin </w:t>
            </w:r>
            <w:r>
              <w:rPr>
                <w:spacing w:val="-10"/>
                <w:sz w:val="24"/>
              </w:rPr>
              <w:t>N</w:t>
            </w:r>
          </w:p>
        </w:tc>
        <w:tc>
          <w:tcPr>
            <w:tcW w:w="3307" w:type="dxa"/>
          </w:tcPr>
          <w:p>
            <w:pPr>
              <w:pStyle w:val="TableParagraph"/>
              <w:spacing w:before="15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Juin N-</w:t>
            </w: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9585" w:type="dxa"/>
            <w:gridSpan w:val="3"/>
          </w:tcPr>
          <w:p>
            <w:pPr>
              <w:pStyle w:val="TableParagraph"/>
              <w:spacing w:before="15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Compte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résultat</w:t>
            </w:r>
          </w:p>
        </w:tc>
      </w:tr>
      <w:tr>
        <w:trPr>
          <w:trHeight w:val="397" w:hRule="atLeast"/>
        </w:trPr>
        <w:tc>
          <w:tcPr>
            <w:tcW w:w="3307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-Sur 6 </w:t>
            </w:r>
            <w:r>
              <w:rPr>
                <w:spacing w:val="-4"/>
                <w:sz w:val="24"/>
              </w:rPr>
              <w:t>mois</w:t>
            </w:r>
          </w:p>
        </w:tc>
        <w:tc>
          <w:tcPr>
            <w:tcW w:w="2971" w:type="dxa"/>
          </w:tcPr>
          <w:p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er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janvier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N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au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30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juin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pacing w:val="-10"/>
                <w:sz w:val="24"/>
                <w:vertAlign w:val="baseline"/>
              </w:rPr>
              <w:t>N</w:t>
            </w:r>
          </w:p>
        </w:tc>
        <w:tc>
          <w:tcPr>
            <w:tcW w:w="3307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er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janvier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N-1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au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30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juin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N-</w:t>
            </w:r>
            <w:r>
              <w:rPr>
                <w:spacing w:val="-10"/>
                <w:sz w:val="24"/>
                <w:vertAlign w:val="baseline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9585" w:type="dxa"/>
            <w:gridSpan w:val="3"/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Tableau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flux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trésorerie</w:t>
            </w:r>
          </w:p>
        </w:tc>
      </w:tr>
      <w:tr>
        <w:trPr>
          <w:trHeight w:val="397" w:hRule="atLeast"/>
        </w:trPr>
        <w:tc>
          <w:tcPr>
            <w:tcW w:w="3307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-sur 6 </w:t>
            </w:r>
            <w:r>
              <w:rPr>
                <w:spacing w:val="-4"/>
                <w:sz w:val="24"/>
              </w:rPr>
              <w:t>mois</w:t>
            </w:r>
          </w:p>
        </w:tc>
        <w:tc>
          <w:tcPr>
            <w:tcW w:w="2971" w:type="dxa"/>
          </w:tcPr>
          <w:p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er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janvier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N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au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30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juin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pacing w:val="-10"/>
                <w:sz w:val="24"/>
                <w:vertAlign w:val="baseline"/>
              </w:rPr>
              <w:t>N</w:t>
            </w:r>
          </w:p>
        </w:tc>
        <w:tc>
          <w:tcPr>
            <w:tcW w:w="3307" w:type="dxa"/>
          </w:tcPr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er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janvier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N-1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au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30</w:t>
            </w:r>
            <w:r>
              <w:rPr>
                <w:spacing w:val="-2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juin</w:t>
            </w:r>
            <w:r>
              <w:rPr>
                <w:spacing w:val="-1"/>
                <w:sz w:val="24"/>
                <w:vertAlign w:val="baseline"/>
              </w:rPr>
              <w:t> </w:t>
            </w:r>
            <w:r>
              <w:rPr>
                <w:sz w:val="24"/>
                <w:vertAlign w:val="baseline"/>
              </w:rPr>
              <w:t>N-</w:t>
            </w:r>
            <w:r>
              <w:rPr>
                <w:spacing w:val="-10"/>
                <w:sz w:val="24"/>
                <w:vertAlign w:val="baseline"/>
              </w:rPr>
              <w:t>1</w:t>
            </w:r>
          </w:p>
        </w:tc>
      </w:tr>
    </w:tbl>
    <w:sectPr>
      <w:pgSz w:w="11910" w:h="16840"/>
      <w:pgMar w:header="0" w:footer="1037" w:top="1340" w:bottom="1220" w:left="141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09504">
              <wp:simplePos x="0" y="0"/>
              <wp:positionH relativeFrom="page">
                <wp:posOffset>6412341</wp:posOffset>
              </wp:positionH>
              <wp:positionV relativeFrom="page">
                <wp:posOffset>9893694</wp:posOffset>
              </wp:positionV>
              <wp:extent cx="301625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305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4.908813pt;margin-top:779.031067pt;width:23.75pt;height:15.2pt;mso-position-horizontal-relative:page;mso-position-vertical-relative:page;z-index:-15806976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305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1999" w:hanging="4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77" w:hanging="42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54" w:hanging="42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31" w:hanging="42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509" w:hanging="42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86" w:hanging="42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263" w:hanging="42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40" w:hanging="42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018" w:hanging="42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1606" w:hanging="32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7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4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9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7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4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23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19" w:hanging="240"/>
        <w:jc w:val="left"/>
      </w:pPr>
      <w:rPr>
        <w:rFonts w:hint="default"/>
        <w:spacing w:val="0"/>
        <w:w w:val="100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7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49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89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7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4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23" w:hanging="360"/>
      </w:pPr>
      <w:rPr>
        <w:rFonts w:hint="default"/>
        <w:lang w:val="fr-F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303"/>
      <w:ind w:right="17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999" w:hanging="36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/>
      <w:ind w:left="21"/>
    </w:pPr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2025-03-11T06:02:40Z</dcterms:created>
  <dcterms:modified xsi:type="dcterms:W3CDTF">2025-03-11T06:02:40Z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