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A5A56"/>
          <w:sz w:val="18"/>
        </w:rPr>
        <w:t>GOVERNANÇA BRASIL (GOVBR) — VBU</w:t>
      </w:r>
    </w:p>
    <w:p>
      <w:pPr>
        <w:spacing w:after="120"/>
      </w:pPr>
      <w:r>
        <w:rPr>
          <w:color w:val="5A5A56"/>
          <w:sz w:val="17"/>
        </w:rPr>
        <w:t>Shareable with leadership  •  26/Jun/2026 → 26/Sep/2026</w:t>
      </w:r>
    </w:p>
    <w:p>
      <w:pPr>
        <w:pStyle w:val="Title"/>
      </w:pPr>
      <w:r>
        <w:rPr>
          <w:color w:val="1F3A5F"/>
        </w:rPr>
        <w:t>90-Day Plan — One Pager</w:t>
      </w:r>
    </w:p>
    <w:p>
      <w:r>
        <w:rPr>
          <w:i/>
          <w:color w:val="5A5A56"/>
          <w:sz w:val="20"/>
        </w:rPr>
        <w:t>Leader: Henrique Barreto  •  Portfolio: Volaris</w:t>
      </w:r>
    </w:p>
    <w:p>
      <w:r>
        <w:rPr>
          <w:b w:val="0"/>
          <w:i/>
          <w:sz w:val="19"/>
        </w:rPr>
        <w:t>North Star: capture the “+$1/customer/month” via above-IPCA readjustment (justified by adopted satellites) + cloud-COGS reduction, restructuring the product and decentralizing the R&amp;D cadence.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BUILD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Agentic architecture decided (wk3) + ≥15 satellites adopted in 10–20/18 stars (wk10) + 5/64 modules −30% cloud (wk12) + 20 on Builder 360 (wk6). Owner: Ivan Filagrana/Higo.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SELL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IPCA + 5–10% on the ~6 September renewals (Viamão, Saquarema, Boituva, Porto Feliz ×2, Rolândia); defend the rest at IPCA. Owner: Miguel Júnior + regionals.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UPSIDES &gt; BLOCKERS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Builder 360 ships features with embedded PS kit + Mia docs; 10 PS techs building (wk3); R&amp;D cadence decentralized. Owners: Tiago Nogueira, Manuela Bolsonaro/Lívia Sá, Higo.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2× THE BUSINESS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COGS-rewrite + satellites as one program; proof: 5 modules −30% → −60% model + Sept readjustments; 3-year business case. Owner: Henrique.</w:t>
            </w:r>
          </w:p>
        </w:tc>
      </w:tr>
    </w:tbl>
    <w:p>
      <w:r>
        <w:rPr>
          <w:b/>
          <w:color w:val="1F3A5F"/>
          <w:sz w:val="19"/>
        </w:rPr>
        <w:t>Three lines:</w:t>
      </w:r>
    </w:p>
    <w:p>
      <w:pPr>
        <w:pStyle w:val="ListNumber"/>
      </w:pPr>
      <w:r>
        <w:rPr>
          <w:sz w:val="18"/>
        </w:rPr>
        <w:t>Most confident to deliver: BUILD — Builder 360 ready; architecture + 5 modules + 20 certified within reach.</w:t>
      </w:r>
    </w:p>
    <w:p>
      <w:pPr>
        <w:pStyle w:val="ListNumber"/>
      </w:pPr>
      <w:r>
        <w:rPr>
          <w:sz w:val="18"/>
        </w:rPr>
        <w:t>Most likely to underdeliver: SELL (above-index readjustment) — hostage to product timing against an immovable renewal calendar.</w:t>
      </w:r>
    </w:p>
    <w:p>
      <w:pPr>
        <w:pStyle w:val="ListNumber"/>
      </w:pPr>
      <w:r>
        <w:rPr>
          <w:sz w:val="18"/>
        </w:rPr>
        <w:t>Stop doing: letting the R&amp;D cadence be dictated by a single leadership — decentralizing the pace makes room for the whole plan.</w:t>
      </w:r>
    </w:p>
    <w:p>
      <w:r>
        <w:rPr>
          <w:b w:val="0"/>
          <w:i w:val="0"/>
          <w:sz w:val="17"/>
        </w:rPr>
        <w:t>Reviews: 26/Jul • 26/Aug • 26/Sep/2026.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