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A5A56"/>
          <w:sz w:val="18"/>
        </w:rPr>
        <w:t>GOVERNANÇA BRASIL (GOVBR) — VBU</w:t>
      </w:r>
    </w:p>
    <w:p>
      <w:pPr>
        <w:spacing w:after="120"/>
      </w:pPr>
      <w:r>
        <w:rPr>
          <w:color w:val="5A5A56"/>
          <w:sz w:val="17"/>
        </w:rPr>
        <w:t>Compartilhável com a liderança  •  26/06/2026 → 26/09/2026</w:t>
      </w:r>
    </w:p>
    <w:p>
      <w:pPr>
        <w:pStyle w:val="Title"/>
      </w:pPr>
      <w:r>
        <w:rPr>
          <w:color w:val="1F3A5F"/>
        </w:rPr>
        <w:t>Plano de 90 Dias — 1 Página</w:t>
      </w:r>
    </w:p>
    <w:p>
      <w:r>
        <w:rPr>
          <w:i/>
          <w:color w:val="5A5A56"/>
          <w:sz w:val="20"/>
        </w:rPr>
        <w:t>Líder: Henrique Barreto  •  Portfólio: Volaris</w:t>
      </w:r>
    </w:p>
    <w:p>
      <w:r>
        <w:rPr>
          <w:b w:val="0"/>
          <w:i/>
          <w:sz w:val="19"/>
        </w:rPr>
        <w:t>North Star: capturar o “+R$1/cliente/mês” via reajuste acima do IPCA (justificado por satélites adotados) + redução de COGS-cloud, reestruturando o produto e descentralizando o ritmo de R&amp;D.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BUILD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Arquitetura agêntica decidida (sem3) + ≥15 satélites adotados em 10–20/18 estrelas (sem10) + 5/64 módulos −30% cloud (sem12) + 20 no Builder 360 (sem6). Dono: Ivan Filagrana/Higo.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SELL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IPCA + 5–10% nas ~6 renovações de setembro (Viamão, Saquarema, Boituva, Porto Feliz ×2, Rolândia); defender as demais a IPCA. Dono: Miguel Júnior + regionais.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UPSIDES &gt; BLOCKERS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Builder 360 gera feature já com kit de PS + doc da Mia; 10 técnicos de PS construindo (sem3); ritmo de R&amp;D descentralizado. Donos: Tiago Nogueira, Manuela Bolsonaro/Lívia Sá, Higo.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color w:val="1F3A5F"/>
                <w:sz w:val="19"/>
              </w:rPr>
              <w:t>2× THE BUSINESS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Reescrita-COGS + satélites como um programa; prova: 5 módulos −30% → modelo −60% + reajustes de set; business case de 3 anos. Dono: Henrique.</w:t>
            </w:r>
          </w:p>
        </w:tc>
      </w:tr>
    </w:tbl>
    <w:p>
      <w:r>
        <w:rPr>
          <w:b/>
          <w:color w:val="1F3A5F"/>
          <w:sz w:val="19"/>
        </w:rPr>
        <w:t>Três linhas:</w:t>
      </w:r>
    </w:p>
    <w:p>
      <w:pPr>
        <w:pStyle w:val="ListNumber"/>
      </w:pPr>
      <w:r>
        <w:rPr>
          <w:sz w:val="18"/>
        </w:rPr>
        <w:t>Mais confiante em entregar: BUILD — Builder 360 pronto, arquitetura + 5 módulos + 20 certificados ao alcance.</w:t>
      </w:r>
    </w:p>
    <w:p>
      <w:pPr>
        <w:pStyle w:val="ListNumber"/>
      </w:pPr>
      <w:r>
        <w:rPr>
          <w:sz w:val="18"/>
        </w:rPr>
        <w:t>Mais provável de subentregar: SELL (reajuste acima do índice) — refém do timing do produto contra um calendário de vencimentos imóvel.</w:t>
      </w:r>
    </w:p>
    <w:p>
      <w:pPr>
        <w:pStyle w:val="ListNumber"/>
      </w:pPr>
      <w:r>
        <w:rPr>
          <w:sz w:val="18"/>
        </w:rPr>
        <w:t>Parar de fazer: deixar o ritmo de R&amp;D ser ditado por uma única liderança — descentralizar a cadência abre espaço pro plano inteiro.</w:t>
      </w:r>
    </w:p>
    <w:p>
      <w:r>
        <w:rPr>
          <w:b w:val="0"/>
          <w:i w:val="0"/>
          <w:sz w:val="17"/>
        </w:rPr>
        <w:t>Reviews: 26/07 • 26/08 • 26/09/2026.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