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A5A56"/>
          <w:sz w:val="18"/>
        </w:rPr>
        <w:t>GOVERNANÇA BRASIL (GOVBR) — VBU</w:t>
      </w:r>
    </w:p>
    <w:p>
      <w:pPr>
        <w:spacing w:after="120"/>
      </w:pPr>
      <w:r>
        <w:rPr>
          <w:color w:val="5A5A56"/>
          <w:sz w:val="17"/>
        </w:rPr>
        <w:t>Document shareable with leadership  •  Effective: 26/Jun/2026 → 26/Sep/2026</w:t>
      </w:r>
    </w:p>
    <w:p>
      <w:pPr>
        <w:pStyle w:val="Title"/>
      </w:pPr>
      <w:r>
        <w:rPr>
          <w:color w:val="1F3A5F"/>
        </w:rPr>
        <w:t>90-Day Transformation Plan</w:t>
      </w:r>
    </w:p>
    <w:p>
      <w:r>
        <w:rPr>
          <w:i/>
          <w:color w:val="5A5A56"/>
          <w:sz w:val="20"/>
        </w:rPr>
        <w:t>Four commitments. Named blockers. Measurable outcomes.</w:t>
      </w:r>
    </w:p>
    <w:p>
      <w:pPr>
        <w:spacing w:after="80"/>
      </w:pPr>
      <w:r>
        <w:rPr>
          <w:b/>
          <w:color w:val="1F3A5F"/>
        </w:rPr>
        <w:t xml:space="preserve">VBU: </w:t>
      </w:r>
      <w:r>
        <w:t>Governança Brasil (GOVBR)</w:t>
      </w:r>
    </w:p>
    <w:p>
      <w:pPr>
        <w:spacing w:after="80"/>
      </w:pPr>
      <w:r>
        <w:rPr>
          <w:b/>
          <w:color w:val="1F3A5F"/>
        </w:rPr>
        <w:t xml:space="preserve">Leader: </w:t>
      </w:r>
      <w:r>
        <w:t>Henrique Barreto</w:t>
      </w:r>
    </w:p>
    <w:p>
      <w:pPr>
        <w:spacing w:after="80"/>
      </w:pPr>
      <w:r>
        <w:rPr>
          <w:b/>
          <w:color w:val="1F3A5F"/>
        </w:rPr>
        <w:t xml:space="preserve">Portfolio: </w:t>
      </w:r>
      <w:r>
        <w:t>Volaris</w:t>
      </w:r>
    </w:p>
    <w:p>
      <w:pPr>
        <w:spacing w:after="80"/>
      </w:pPr>
      <w:r>
        <w:rPr>
          <w:b/>
          <w:color w:val="1F3A5F"/>
        </w:rPr>
        <w:t xml:space="preserve">Created: </w:t>
      </w:r>
      <w:r>
        <w:t>26/Jun/2026</w:t>
      </w:r>
    </w:p>
    <w:p>
      <w:pPr>
        <w:spacing w:after="80"/>
      </w:pPr>
      <w:r>
        <w:rPr>
          <w:b/>
          <w:color w:val="1F3A5F"/>
        </w:rPr>
        <w:t xml:space="preserve">90-day review: </w:t>
      </w:r>
      <w:r>
        <w:t>26/Sep/2026</w:t>
      </w:r>
    </w:p>
    <w:p>
      <w:pPr>
        <w:pStyle w:val="Heading1"/>
      </w:pPr>
      <w:r>
        <w:rPr>
          <w:color w:val="1F3A5F"/>
        </w:rPr>
        <w:t>Transformation hypothesis (North Star)</w:t>
      </w:r>
    </w:p>
    <w:p>
      <w:r>
        <w:rPr>
          <w:b w:val="0"/>
          <w:i w:val="0"/>
          <w:sz w:val="21"/>
        </w:rPr>
        <w:t>The VBU’s “+$1 per customer/month” hides in two places at once: (1) contractual readjustment above the inflation index, justified by the value of new satellites delivered to the star base, and (2) cloud-COGS reduction via the legacy-product rewrite, which expands per-customer margin. Capturing it by Day 90 means restructuring the product (COGS-rewrite + satellites as a single program) and redistributing the build cadence beyond a single R&amp;D leadership — proving, on the star municipalities that renew in September, that an adopted satellite becomes an above-index readjustment.</w:t>
      </w:r>
    </w:p>
    <w:p>
      <w:pPr>
        <w:spacing w:after="80"/>
      </w:pPr>
      <w:r>
        <w:rPr>
          <w:b/>
          <w:color w:val="1F3A5F"/>
        </w:rPr>
        <w:t xml:space="preserve">Cluster A — 18 star clients: </w:t>
      </w:r>
      <w:r>
        <w:t>Viamão · Santa Maria · Itabira · São Sebastião/SP · Montes Claros · Uruguaiana · Porto Feliz · São Roque · Ananindeua · Leme · Contagem · Olinda · Boituva · Rolândia · Eldorado do Sul · Saquarema · Pato Branco · Ubá</w:t>
      </w:r>
    </w:p>
    <w:p>
      <w:pPr>
        <w:pStyle w:val="Heading1"/>
      </w:pPr>
      <w:r>
        <w:rPr>
          <w:color w:val="1F3A5F"/>
        </w:rPr>
        <w:t>Commitment 1 — BUILD (ship + how you ship)</w:t>
      </w:r>
    </w:p>
    <w:p>
      <w:pPr>
        <w:spacing w:after="80"/>
      </w:pPr>
      <w:r>
        <w:rPr>
          <w:b/>
          <w:color w:val="1F3A5F"/>
        </w:rPr>
        <w:t xml:space="preserve">Grid movement: </w:t>
      </w:r>
      <w:r>
        <w:t>Build is already Green on capability (strong Builder 360; first agent in 2 days). 90-day move: from “Green tied to one leadership cadence” → “Green in production, adopted and scalable”.</w:t>
      </w:r>
    </w:p>
    <w:p>
      <w:pPr>
        <w:spacing w:after="80"/>
      </w:pPr>
      <w:r>
        <w:rPr>
          <w:b/>
          <w:color w:val="1F3A5F"/>
        </w:rPr>
        <w:t xml:space="preserve">What’s changing: </w:t>
      </w:r>
      <w:r>
        <w:t>Decide the agentic architecture (single layer vs. per-module agents, across 64 modules / 35M lines); map the base’s expectations via a Cluster A discovery and ship the first prioritized wave of satellites; start the rewrite with the highest cloud-cost modules — operating Builder 360 well beyond a single leadership cadence.</w:t>
      </w:r>
    </w:p>
    <w:p>
      <w:r>
        <w:rPr>
          <w:b/>
          <w:i w:val="0"/>
          <w:sz w:val="21"/>
        </w:rPr>
        <w:t>The measurable:</w:t>
      </w:r>
    </w:p>
    <w:p>
      <w:pPr>
        <w:pStyle w:val="ListBullet"/>
      </w:pPr>
      <w:r>
        <w:t>Agentic architecture approved in writing — week 3</w:t>
      </w:r>
    </w:p>
    <w:p>
      <w:pPr>
        <w:pStyle w:val="ListBullet"/>
      </w:pPr>
      <w:r>
        <w:t>Cluster A discovery prioritizing the satellite roadmap — week 2–3</w:t>
      </w:r>
    </w:p>
    <w:p>
      <w:pPr>
        <w:pStyle w:val="ListBullet"/>
      </w:pPr>
      <w:r>
        <w:t>≥15 satellites live and adopted by 10–20 of the 18 star municipalities (active use) — week 10</w:t>
      </w:r>
    </w:p>
    <w:p>
      <w:pPr>
        <w:pStyle w:val="ListBullet"/>
      </w:pPr>
      <w:r>
        <w:t>≥5/64 modules (highest cloud cost) rewritten with −30% cloud measured on the bill — week 12</w:t>
      </w:r>
    </w:p>
    <w:p>
      <w:pPr>
        <w:pStyle w:val="ListBullet"/>
      </w:pPr>
      <w:r>
        <w:t>20 people certified on Builder 360 (incl. the 10 PS technicians) — week 6</w:t>
      </w:r>
    </w:p>
    <w:p>
      <w:pPr>
        <w:spacing w:after="80"/>
      </w:pPr>
      <w:r>
        <w:rPr>
          <w:b/>
          <w:color w:val="1F3A5F"/>
        </w:rPr>
        <w:t xml:space="preserve">Timeline and owner: </w:t>
      </w:r>
      <w:r>
        <w:t>90 days → 26/Sep. Owner: Ivan Filagrana, with Higo Mariano.</w:t>
      </w:r>
    </w:p>
    <w:p>
      <w:pPr>
        <w:spacing w:after="80"/>
      </w:pPr>
      <w:r>
        <w:rPr>
          <w:b/>
          <w:color w:val="1F3A5F"/>
        </w:rPr>
        <w:t xml:space="preserve">First blocker / unlock: </w:t>
      </w:r>
      <w:r>
        <w:t>The bottleneck is not capacity — there are 70+ devs. It is the cadence (pace) that R&amp;D leadership imposes. Unlock: an architecture decision that parallelizes + 20 certified on Builder 360 distributing build authority, reducing dependence on a single leadership’s pace.</w:t>
      </w:r>
    </w:p>
    <w:p>
      <w:pPr>
        <w:pStyle w:val="Heading1"/>
      </w:pPr>
      <w:r>
        <w:rPr>
          <w:color w:val="1F3A5F"/>
        </w:rPr>
        <w:t>Commitment 2 — SELL (find, win, keep)</w:t>
      </w:r>
    </w:p>
    <w:p>
      <w:pPr>
        <w:spacing w:after="80"/>
      </w:pPr>
      <w:r>
        <w:rPr>
          <w:b/>
          <w:color w:val="1F3A5F"/>
        </w:rPr>
        <w:t xml:space="preserve">Grid movement: </w:t>
      </w:r>
      <w:r>
        <w:t>Sell is Red today (weakest row). 90-day move: Red → Surviving/Succeeding, proving above-index readjustment on the September renewals + retention of the rest.</w:t>
      </w:r>
    </w:p>
    <w:p>
      <w:pPr>
        <w:spacing w:after="80"/>
      </w:pPr>
      <w:r>
        <w:rPr>
          <w:b/>
          <w:color w:val="1F3A5F"/>
        </w:rPr>
        <w:t xml:space="preserve">What’s changing: </w:t>
      </w:r>
      <w:r>
        <w:t>Convert satellite adoption into above-IPCA readjustment on the star municipalities that renew in the window where the product already exists (September); defend at IPCA (retention, no upsell) those renewing earlier; use the agents’ governance/audit dossier as the formal price justification.</w:t>
      </w:r>
    </w:p>
    <w:p>
      <w:r>
        <w:rPr>
          <w:b/>
          <w:i w:val="0"/>
          <w:sz w:val="21"/>
        </w:rPr>
        <w:t>The measurable:</w:t>
      </w:r>
    </w:p>
    <w:p>
      <w:pPr>
        <w:pStyle w:val="ListBullet"/>
      </w:pPr>
      <w:r>
        <w:t>Upsell (IPCA + 5–10%) on the ~6 September renewals: Viamão (PM), Saquarema (CM), Boituva (PM), Porto Feliz (PM+CM), Rolândia (PM)</w:t>
      </w:r>
    </w:p>
    <w:p>
      <w:pPr>
        <w:pStyle w:val="ListBullet"/>
      </w:pPr>
      <w:r>
        <w:t>Defend at full IPCA (retention) the Jul–Aug and overdue renewals: Olinda, Itabira, Ananindeua (CM), Leme, Eldorado do Sul (PM), Saquarema (PM), São Roque (PM+CM)</w:t>
      </w:r>
    </w:p>
    <w:p>
      <w:pPr>
        <w:pStyle w:val="ListBullet"/>
      </w:pPr>
      <w:r>
        <w:t>Pricing-unlocking Responsible AI: audit-trail standard + “non-delegable act always human” published as a renewal argument — by week 8</w:t>
      </w:r>
    </w:p>
    <w:p>
      <w:pPr>
        <w:spacing w:after="80"/>
      </w:pPr>
      <w:r>
        <w:rPr>
          <w:b/>
          <w:color w:val="1F3A5F"/>
        </w:rPr>
        <w:t xml:space="preserve">Timeline and owner: </w:t>
      </w:r>
      <w:r>
        <w:t>Tied to the renewal calendar (renewals cannot be brought forward). Owner: Miguel Júnior + regional directors: Rodrigo Braga (MG/RJ), Roberlei Fernandes (SP), Rodrigo (RS), João Macedo (PR), Tomás (North-Northeast).</w:t>
      </w:r>
    </w:p>
    <w:p>
      <w:pPr>
        <w:spacing w:after="80"/>
      </w:pPr>
      <w:r>
        <w:rPr>
          <w:b/>
          <w:color w:val="1F3A5F"/>
        </w:rPr>
        <w:t xml:space="preserve">First blocker / unlock: </w:t>
      </w:r>
      <w:r>
        <w:t>Public client questions above-index readjustment without proof of value → unlock = proven satellite adoption (Build’s metric) becomes the contractual justification. Structural market constraint: contract deadlines are immovable and new sales take up to 3 years — within 90 days the upside is only the September renewals; new sales are seeded, not closed.</w:t>
      </w:r>
    </w:p>
    <w:p>
      <w:r>
        <w:rPr>
          <w:b w:val="0"/>
          <w:i/>
          <w:sz w:val="21"/>
        </w:rPr>
        <w:t>Note: Attrition (7.7% → 3.5%; ~3% political/integrity, ~4.7% addressable) is an annual metric and partly already “baked in” — moved to Beyond 90 days.</w:t>
      </w:r>
    </w:p>
    <w:p>
      <w:pPr>
        <w:pStyle w:val="Heading1"/>
      </w:pPr>
      <w:r>
        <w:rPr>
          <w:color w:val="1F3A5F"/>
        </w:rPr>
        <w:t>Commitment 3 — UPSIDES &gt; BLOCKERS (opportunity &gt; friction)</w:t>
      </w:r>
    </w:p>
    <w:p>
      <w:pPr>
        <w:spacing w:after="80"/>
      </w:pPr>
      <w:r>
        <w:rPr>
          <w:b/>
          <w:color w:val="1F3A5F"/>
        </w:rPr>
        <w:t xml:space="preserve">Grid movement: </w:t>
      </w:r>
      <w:r>
        <w:t>The most volatile row (“people will be problems”) → “self-teaching product + PS building + decentralized R&amp;D cadence”. Friction converted into throughput.</w:t>
      </w:r>
    </w:p>
    <w:p>
      <w:pPr>
        <w:spacing w:after="80"/>
      </w:pPr>
      <w:r>
        <w:rPr>
          <w:b/>
          <w:color w:val="1F3A5F"/>
        </w:rPr>
        <w:t xml:space="preserve">What’s changing: </w:t>
      </w:r>
      <w:r>
        <w:t>Builder 360 starts generating each feature with an embedded PS kit (video/manual) + Mia documentation, so that scaling satellites does not scale support linearly; 10 PS technicians gain autonomy to build features on Builder 360, redistributing the cadence beyond a single leadership; Mia is trained on the documented satellites.</w:t>
      </w:r>
    </w:p>
    <w:p>
      <w:r>
        <w:rPr>
          <w:b/>
          <w:i w:val="0"/>
          <w:sz w:val="21"/>
        </w:rPr>
        <w:t>The measurable:</w:t>
      </w:r>
    </w:p>
    <w:p>
      <w:pPr>
        <w:pStyle w:val="ListBullet"/>
      </w:pPr>
      <w:r>
        <w:t>10 PS technicians building on Builder 360 (subset of the 20 certified, not additive) — week 3</w:t>
      </w:r>
    </w:p>
    <w:p>
      <w:pPr>
        <w:pStyle w:val="ListBullet"/>
      </w:pPr>
      <w:r>
        <w:t>100% of satellites delivered with embedded PS kit + Mia documentation</w:t>
      </w:r>
    </w:p>
    <w:p>
      <w:pPr>
        <w:pStyle w:val="ListBullet"/>
      </w:pPr>
      <w:r>
        <w:t>Mia trained on the satellites’ documentation; ticket deflection-% = 6-month outcome (depends on the product existing)</w:t>
      </w:r>
    </w:p>
    <w:p>
      <w:pPr>
        <w:spacing w:after="80"/>
      </w:pPr>
      <w:r>
        <w:rPr>
          <w:b/>
          <w:color w:val="1F3A5F"/>
        </w:rPr>
        <w:t xml:space="preserve">Timeline and owner: </w:t>
      </w:r>
      <w:r>
        <w:t>PS-builders week 3. Owners: Tiago Nogueira (PS), Manuela Bolsonaro + Lívia Sá (Mia/Customer Care), Higo Mariano (Builder 360 enablement).</w:t>
      </w:r>
    </w:p>
    <w:p>
      <w:pPr>
        <w:spacing w:after="80"/>
      </w:pPr>
      <w:r>
        <w:rPr>
          <w:b/>
          <w:color w:val="1F3A5F"/>
        </w:rPr>
        <w:t xml:space="preserve">First blocker / unlock: </w:t>
      </w:r>
      <w:r>
        <w:t>Change the cadence/pace imposed by R&amp;D leadership. Unlock: redefine the decision cadence and align leadership’s long-term goals with decentralization and the development of technical leaders — an incentive mechanism, not an informal conversation. Risk to watch: clients used to human service — do not push self-service beyond cultural absorption.</w:t>
      </w:r>
    </w:p>
    <w:p>
      <w:pPr>
        <w:pStyle w:val="Heading1"/>
      </w:pPr>
      <w:r>
        <w:rPr>
          <w:color w:val="1F3A5F"/>
        </w:rPr>
        <w:t>Commitment 4 — 2× THE BUSINESS (credible path forward)</w:t>
      </w:r>
    </w:p>
    <w:p>
      <w:pPr>
        <w:spacing w:after="80"/>
      </w:pPr>
      <w:r>
        <w:rPr>
          <w:b/>
          <w:color w:val="1F3A5F"/>
        </w:rPr>
        <w:t xml:space="preserve">Grid movement: </w:t>
      </w:r>
      <w:r>
        <w:t>2× is Red today. 90-day move: not to double, but to prove the path to 2× in 3 years is real, de-risking the product-restructuring engine.</w:t>
      </w:r>
    </w:p>
    <w:p>
      <w:pPr>
        <w:spacing w:after="80"/>
      </w:pPr>
      <w:r>
        <w:rPr>
          <w:b/>
          <w:color w:val="1F3A5F"/>
        </w:rPr>
        <w:t xml:space="preserve">What’s changing: </w:t>
      </w:r>
      <w:r>
        <w:t>Treat COGS-rewrite + satellite creation as ONE product-restructuring program. The dev team invests in product improvement (cloud↓ and satellites↑) while PS covers emergency demand. Builder 360 becomes a shareable group capability (Equiplano uses it to generate revenue in the other company — not a sale).</w:t>
      </w:r>
    </w:p>
    <w:p>
      <w:r>
        <w:rPr>
          <w:b/>
          <w:i w:val="0"/>
          <w:sz w:val="21"/>
        </w:rPr>
        <w:t>The measurable:</w:t>
      </w:r>
    </w:p>
    <w:p>
      <w:pPr>
        <w:pStyle w:val="ListBullet"/>
      </w:pPr>
      <w:r>
        <w:t>5/64 modules with −30% cloud measured → extrapolated model showing the path to −60% and margin expansion</w:t>
      </w:r>
    </w:p>
    <w:p>
      <w:pPr>
        <w:pStyle w:val="ListBullet"/>
      </w:pPr>
      <w:r>
        <w:t>Proven stickiness = the ~6 above-index September readjustments (stitched to Commitment 2)</w:t>
      </w:r>
    </w:p>
    <w:p>
      <w:pPr>
        <w:pStyle w:val="ListBullet"/>
      </w:pPr>
      <w:r>
        <w:t>3-year business case with the two 90-day proof points validated — presented to the portfolio</w:t>
      </w:r>
    </w:p>
    <w:p>
      <w:pPr>
        <w:spacing w:after="80"/>
      </w:pPr>
      <w:r>
        <w:rPr>
          <w:b/>
          <w:color w:val="1F3A5F"/>
        </w:rPr>
        <w:t xml:space="preserve">Timeline and owner: </w:t>
      </w:r>
      <w:r>
        <w:t>90 days → 26/Sep. Owner: Henrique Barreto, with Ivan/Higo on product proof.</w:t>
      </w:r>
    </w:p>
    <w:p>
      <w:pPr>
        <w:spacing w:after="80"/>
      </w:pPr>
      <w:r>
        <w:rPr>
          <w:b/>
          <w:color w:val="1F3A5F"/>
        </w:rPr>
        <w:t xml:space="preserve">First blocker / unlock: </w:t>
      </w:r>
      <w:r>
        <w:t>Product risk — rewrite/satellites not ready in time. Unlock: architecture decision in week 3 + attack the 5 highest-cloud modules first + scope the readjustment only to the September renewals.</w:t>
      </w:r>
    </w:p>
    <w:p>
      <w:pPr>
        <w:pStyle w:val="Heading1"/>
      </w:pPr>
      <w:r>
        <w:rPr>
          <w:color w:val="1F3A5F"/>
        </w:rPr>
        <w:t>Three pre-named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Early signal I’m watching for</w:t>
            </w:r>
          </w:p>
        </w:tc>
      </w:tr>
      <w:tr>
        <w:tc>
          <w:tcPr>
            <w:tcW w:type="dxa" w:w="4320"/>
          </w:tcPr>
          <w:p>
            <w:r>
              <w:t>PS compression — services revenue at risk / field capacity overrun by the satellites</w:t>
            </w:r>
          </w:p>
        </w:tc>
        <w:tc>
          <w:tcPr>
            <w:tcW w:type="dxa" w:w="4320"/>
          </w:tcPr>
          <w:p>
            <w:r>
              <w:t>Spike in in-person training demand PS cannot meet; visit/ticket backlog rising after each satellite</w:t>
            </w:r>
          </w:p>
        </w:tc>
      </w:tr>
      <w:tr>
        <w:tc>
          <w:tcPr>
            <w:tcW w:type="dxa" w:w="4320"/>
          </w:tcPr>
          <w:p>
            <w:r>
              <w:t>Code audit gap — technical debt in the 35M lines stalls the rewrite</w:t>
            </w:r>
          </w:p>
        </w:tc>
        <w:tc>
          <w:tcPr>
            <w:tcW w:type="dxa" w:w="4320"/>
          </w:tcPr>
          <w:p>
            <w:r>
              <w:t>Rewrite velocity on the 5 modules below plan; cloud bill not dropping in the modeled proportion</w:t>
            </w:r>
          </w:p>
        </w:tc>
      </w:tr>
      <w:tr>
        <w:tc>
          <w:tcPr>
            <w:tcW w:type="dxa" w:w="4320"/>
          </w:tcPr>
          <w:p>
            <w:r>
              <w:t>Competitor wedge — “silver bullet for everyone” (signal: Kleber/Denardi/useall)</w:t>
            </w:r>
          </w:p>
        </w:tc>
        <w:tc>
          <w:tcPr>
            <w:tcW w:type="dxa" w:w="4320"/>
          </w:tcPr>
          <w:p>
            <w:r>
              <w:t>A competitor announcing an agentic/AI layer for municipalities before us</w:t>
            </w:r>
          </w:p>
        </w:tc>
      </w:tr>
    </w:tbl>
    <w:p>
      <w:pPr>
        <w:pStyle w:val="Heading1"/>
      </w:pPr>
      <w:r>
        <w:rPr>
          <w:color w:val="1F3A5F"/>
        </w:rPr>
        <w:t>Accountability</w:t>
      </w:r>
    </w:p>
    <w:p>
      <w:pPr>
        <w:pStyle w:val="ListBullet"/>
      </w:pPr>
      <w:r>
        <w:t>Portfolio/Group Leader (Volaris): ______________________</w:t>
      </w:r>
    </w:p>
    <w:p>
      <w:pPr>
        <w:pStyle w:val="ListBullet"/>
      </w:pPr>
      <w:r>
        <w:t>Review 30 days: 26/Jul/2026  •  60 days: 26/Aug/2026  •  90 days: 26/Sep/2026</w:t>
      </w:r>
    </w:p>
    <w:p>
      <w:pPr>
        <w:pStyle w:val="ListBullet"/>
      </w:pPr>
      <w:r>
        <w:t>Cohort peer in contact: ______________________</w:t>
      </w:r>
    </w:p>
    <w:p>
      <w:pPr>
        <w:pStyle w:val="ListBullet"/>
      </w:pPr>
      <w:r>
        <w:t>Weekly ritual (Friday, 30 min): KRs on the real dashboard, exceptions, trust-ladder promotion decisions, new risks.</w:t>
      </w:r>
    </w:p>
    <w:p>
      <w:pPr>
        <w:pStyle w:val="Heading1"/>
      </w:pPr>
      <w:r>
        <w:rPr>
          <w:color w:val="1F3A5F"/>
        </w:rPr>
        <w:t>Beyond 90 days</w:t>
      </w:r>
    </w:p>
    <w:p>
      <w:pPr>
        <w:spacing w:after="80"/>
      </w:pPr>
      <w:r>
        <w:rPr>
          <w:b/>
          <w:color w:val="1F3A5F"/>
        </w:rPr>
        <w:t xml:space="preserve">At 6 months (≈ Dec/2026): </w:t>
      </w:r>
      <w:r>
        <w:t>rewrite advancing toward −60% cloud; Mia deflection relieving N1; 2nd wave of satellites; first validation of the “compliance / 10%” thesis.</w:t>
      </w:r>
    </w:p>
    <w:p>
      <w:pPr>
        <w:spacing w:after="80"/>
      </w:pPr>
      <w:r>
        <w:rPr>
          <w:b/>
          <w:color w:val="1F3A5F"/>
        </w:rPr>
        <w:t xml:space="preserve">At 12 months: </w:t>
      </w:r>
      <w:r>
        <w:t>mature rewrite (low disruption desktop→new); addressable attrition 7.7% → 3.5%; above-index readjustment consolidated; Builder 360 with no single cadence bottleneck.</w:t>
      </w:r>
    </w:p>
    <w:p>
      <w:pPr>
        <w:spacing w:after="80"/>
      </w:pPr>
      <w:r>
        <w:rPr>
          <w:b/>
          <w:color w:val="1F3A5F"/>
        </w:rPr>
        <w:t xml:space="preserve">Path to 2× in 3 years: </w:t>
      </w:r>
      <w:r>
        <w:t>margin via COGS-cloud + recurring above-index revenue + new satellite/compliance line + long-cycle new sales (up to 3 years) seeded now + Builder 360 as a shared group capability.</w:t>
      </w:r>
    </w:p>
    <w:p>
      <w:pPr>
        <w:pStyle w:val="Heading1"/>
      </w:pPr>
      <w:r>
        <w:rPr>
          <w:color w:val="1F3A5F"/>
        </w:rPr>
        <w:t>The leader’s three lines</w:t>
      </w:r>
    </w:p>
    <w:p>
      <w:pPr>
        <w:pStyle w:val="ListBullet"/>
      </w:pPr>
      <w:r>
        <w:t>Most confident to deliver: BUILD — Builder 360 ready; architecture + 5 modules + 20 certified within reach.</w:t>
      </w:r>
    </w:p>
    <w:p>
      <w:pPr>
        <w:pStyle w:val="ListBullet"/>
      </w:pPr>
      <w:r>
        <w:t>Most likely to underdeliver: SELL (above-index readjustment) — hostage to product timing against an immovable renewal calendar.</w:t>
      </w:r>
    </w:p>
    <w:p>
      <w:pPr>
        <w:pStyle w:val="ListBullet"/>
      </w:pPr>
      <w:r>
        <w:t>Stop doing: letting the R&amp;D cadence be dictated by a single leadership — decentralizing the pace makes room for the whole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