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A5A56"/>
          <w:sz w:val="18"/>
        </w:rPr>
        <w:t>GOVERNANÇA BRASIL (GOVBR) — VBU</w:t>
      </w:r>
    </w:p>
    <w:p>
      <w:pPr>
        <w:spacing w:after="120"/>
      </w:pPr>
      <w:r>
        <w:rPr>
          <w:color w:val="5A5A56"/>
          <w:sz w:val="17"/>
        </w:rPr>
        <w:t>Documento compartilhável com a liderança  •  Vigência: 26/06/2026 → 26/09/2026</w:t>
      </w:r>
    </w:p>
    <w:p>
      <w:pPr>
        <w:pStyle w:val="Title"/>
      </w:pPr>
      <w:r>
        <w:rPr>
          <w:color w:val="1F3A5F"/>
        </w:rPr>
        <w:t>Plano de Transformação de 90 Dias</w:t>
      </w:r>
    </w:p>
    <w:p>
      <w:r>
        <w:rPr>
          <w:i/>
          <w:color w:val="5A5A56"/>
          <w:sz w:val="20"/>
        </w:rPr>
        <w:t>Quatro commitments. Blockers nomeados. Resultados mensuráveis.</w:t>
      </w:r>
    </w:p>
    <w:p>
      <w:pPr>
        <w:spacing w:after="80"/>
      </w:pPr>
      <w:r>
        <w:rPr>
          <w:b/>
          <w:color w:val="1F3A5F"/>
        </w:rPr>
        <w:t xml:space="preserve">VBU: </w:t>
      </w:r>
      <w:r>
        <w:t>Governança Brasil (GOVBR)</w:t>
      </w:r>
    </w:p>
    <w:p>
      <w:pPr>
        <w:spacing w:after="80"/>
      </w:pPr>
      <w:r>
        <w:rPr>
          <w:b/>
          <w:color w:val="1F3A5F"/>
        </w:rPr>
        <w:t xml:space="preserve">Líder: </w:t>
      </w:r>
      <w:r>
        <w:t>Henrique Barreto</w:t>
      </w:r>
    </w:p>
    <w:p>
      <w:pPr>
        <w:spacing w:after="80"/>
      </w:pPr>
      <w:r>
        <w:rPr>
          <w:b/>
          <w:color w:val="1F3A5F"/>
        </w:rPr>
        <w:t xml:space="preserve">Portfólio: </w:t>
      </w:r>
      <w:r>
        <w:t>Volaris</w:t>
      </w:r>
    </w:p>
    <w:p>
      <w:pPr>
        <w:spacing w:after="80"/>
      </w:pPr>
      <w:r>
        <w:rPr>
          <w:b/>
          <w:color w:val="1F3A5F"/>
        </w:rPr>
        <w:t xml:space="preserve">Criado: </w:t>
      </w:r>
      <w:r>
        <w:t>26/06/2026</w:t>
      </w:r>
    </w:p>
    <w:p>
      <w:pPr>
        <w:spacing w:after="80"/>
      </w:pPr>
      <w:r>
        <w:rPr>
          <w:b/>
          <w:color w:val="1F3A5F"/>
        </w:rPr>
        <w:t xml:space="preserve">Review de 90 dias: </w:t>
      </w:r>
      <w:r>
        <w:t>26/09/2026</w:t>
      </w:r>
    </w:p>
    <w:p>
      <w:pPr>
        <w:pStyle w:val="Heading1"/>
      </w:pPr>
      <w:r>
        <w:rPr>
          <w:color w:val="1F3A5F"/>
        </w:rPr>
        <w:t>Hipótese de transformação (North Star)</w:t>
      </w:r>
    </w:p>
    <w:p>
      <w:r>
        <w:rPr>
          <w:b w:val="0"/>
          <w:i w:val="0"/>
          <w:sz w:val="21"/>
        </w:rPr>
        <w:t>O “+R$1 por cliente/mês” da VBU mora em dois lugares ao mesmo tempo: (1) reajuste contratual acima do índice inflacionário, justificado pelo valor de novos satélites entregues à base estrela, e (2) redução de COGS de cloud via reescrita do produto legado, que expande a margem por cliente. Capturá-lo até o Dia 90 significa reestruturar o produto (reescrita-COGS + satélites, como um só programa) e redistribuir o ritmo de construção para além de uma única liderança de R&amp;D — provando, nas prefeituras estrela que renovam em setembro, que satélite adotado vira reajuste acima do IPCA.</w:t>
      </w:r>
    </w:p>
    <w:p>
      <w:pPr>
        <w:spacing w:after="80"/>
      </w:pPr>
      <w:r>
        <w:rPr>
          <w:b/>
          <w:color w:val="1F3A5F"/>
        </w:rPr>
        <w:t xml:space="preserve">Cluster A — 18 clientes estrela: </w:t>
      </w:r>
      <w:r>
        <w:t>Viamão · Santa Maria · Itabira · São Sebastião/SP · Montes Claros · Uruguaiana · Porto Feliz · São Roque · Ananindeua · Leme · Contagem · Olinda · Boituva · Rolândia · Eldorado do Sul · Saquarema · Pato Branco · Ubá</w:t>
      </w:r>
    </w:p>
    <w:p>
      <w:pPr>
        <w:pStyle w:val="Heading1"/>
      </w:pPr>
      <w:r>
        <w:rPr>
          <w:color w:val="1F3A5F"/>
        </w:rPr>
        <w:t>Commitment 1 — BUILD (entregar + como entregar)</w:t>
      </w:r>
    </w:p>
    <w:p>
      <w:pPr>
        <w:spacing w:after="80"/>
      </w:pPr>
      <w:r>
        <w:rPr>
          <w:b/>
          <w:color w:val="1F3A5F"/>
        </w:rPr>
        <w:t xml:space="preserve">Movimento no Grid: </w:t>
      </w:r>
      <w:r>
        <w:t>Build já é Verde em capacidade (Builder 360 forte; 1º agente em 2 dias). Movimento de 90 dias: de “Verde preso a um ritmo de liderança” → “Verde em produção, adotado e escalável”.</w:t>
      </w:r>
    </w:p>
    <w:p>
      <w:pPr>
        <w:spacing w:after="80"/>
      </w:pPr>
      <w:r>
        <w:rPr>
          <w:b/>
          <w:color w:val="1F3A5F"/>
        </w:rPr>
        <w:t xml:space="preserve">O que muda: </w:t>
      </w:r>
      <w:r>
        <w:t>Decidir a arquitetura agêntica (camada única vs. agentes por módulo, sobre 64 módulos / 35M linhas); mapear a expectativa da base via discovery no Cluster A e shipar a 1ª onda de satélites priorizada; iniciar a reescrita pelos módulos de maior custo de cloud — operando o Builder 360 muito além do ritmo de uma única liderança.</w:t>
      </w:r>
    </w:p>
    <w:p>
      <w:r>
        <w:rPr>
          <w:b/>
          <w:i w:val="0"/>
          <w:sz w:val="21"/>
        </w:rPr>
        <w:t>Mensurável:</w:t>
      </w:r>
    </w:p>
    <w:p>
      <w:pPr>
        <w:pStyle w:val="ListBullet"/>
      </w:pPr>
      <w:r>
        <w:t>Arquitetura agêntica aprovada por escrito — semana 3</w:t>
      </w:r>
    </w:p>
    <w:p>
      <w:pPr>
        <w:pStyle w:val="ListBullet"/>
      </w:pPr>
      <w:r>
        <w:t>Discovery do Cluster A priorizando o roadmap de satélites — semana 2–3</w:t>
      </w:r>
    </w:p>
    <w:p>
      <w:pPr>
        <w:pStyle w:val="ListBullet"/>
      </w:pPr>
      <w:r>
        <w:t>≥15 satélites no ar e adotados por 10–20 das 18 prefeituras estrela (uso ativo) — semana 10</w:t>
      </w:r>
    </w:p>
    <w:p>
      <w:pPr>
        <w:pStyle w:val="ListBullet"/>
      </w:pPr>
      <w:r>
        <w:t>≥5/64 módulos (maior custo de cloud) reescritos com −30% de cloud medido na fatura — semana 12</w:t>
      </w:r>
    </w:p>
    <w:p>
      <w:pPr>
        <w:pStyle w:val="ListBullet"/>
      </w:pPr>
      <w:r>
        <w:t>20 pessoas certificadas no Builder 360 (inclui os 10 técnicos de PS) — semana 6</w:t>
      </w:r>
    </w:p>
    <w:p>
      <w:pPr>
        <w:spacing w:after="80"/>
      </w:pPr>
      <w:r>
        <w:rPr>
          <w:b/>
          <w:color w:val="1F3A5F"/>
        </w:rPr>
        <w:t xml:space="preserve">Prazo e dono: </w:t>
      </w:r>
      <w:r>
        <w:t>90 dias → 26/09. Dono: Ivan Filagrana, com Higo Mariano.</w:t>
      </w:r>
    </w:p>
    <w:p>
      <w:pPr>
        <w:spacing w:after="80"/>
      </w:pPr>
      <w:r>
        <w:rPr>
          <w:b/>
          <w:color w:val="1F3A5F"/>
        </w:rPr>
        <w:t xml:space="preserve">Primeiro blocker / unlock: </w:t>
      </w:r>
      <w:r>
        <w:t>O gargalo não é capacidade — são 70+ devs. É o ritmo (pace) que a liderança de R&amp;D impõe. Unlock: decisão de arquitetura que paraleliza + 20 certificados no Builder 360 distribuindo a autoridade de construção, reduzindo a dependência do ritmo de uma só liderança.</w:t>
      </w:r>
    </w:p>
    <w:p>
      <w:pPr>
        <w:pStyle w:val="Heading1"/>
      </w:pPr>
      <w:r>
        <w:rPr>
          <w:color w:val="1F3A5F"/>
        </w:rPr>
        <w:t>Commitment 2 — SELL (encontrar, ganhar, reter)</w:t>
      </w:r>
    </w:p>
    <w:p>
      <w:pPr>
        <w:spacing w:after="80"/>
      </w:pPr>
      <w:r>
        <w:rPr>
          <w:b/>
          <w:color w:val="1F3A5F"/>
        </w:rPr>
        <w:t xml:space="preserve">Movimento no Grid: </w:t>
      </w:r>
      <w:r>
        <w:t>Sell hoje é Vermelho (linha mais fraca). Movimento de 90 dias: Vermelho → Sobrevivendo/Vencendo, provando reajuste acima do índice nas renovações de setembro + retenção das demais.</w:t>
      </w:r>
    </w:p>
    <w:p>
      <w:pPr>
        <w:spacing w:after="80"/>
      </w:pPr>
      <w:r>
        <w:rPr>
          <w:b/>
          <w:color w:val="1F3A5F"/>
        </w:rPr>
        <w:t xml:space="preserve">O que muda: </w:t>
      </w:r>
      <w:r>
        <w:t>Converter a adoção dos satélites em reajuste acima do IPCA nas prefeituras estrela que vencem na janela em que o produto já existe (setembro); defender a IPCA (retenção, sem upsell) as que vencem antes; usar a pasta de governança/auditoria dos agentes como justificativa formal de preço.</w:t>
      </w:r>
    </w:p>
    <w:p>
      <w:r>
        <w:rPr>
          <w:b/>
          <w:i w:val="0"/>
          <w:sz w:val="21"/>
        </w:rPr>
        <w:t>Mensurável:</w:t>
      </w:r>
    </w:p>
    <w:p>
      <w:pPr>
        <w:pStyle w:val="ListBullet"/>
      </w:pPr>
      <w:r>
        <w:t>Upsell (IPCA + 5–10%) nas ~6 renovações de setembro: Viamão (PM), Saquarema (CM), Boituva (PM), Porto Feliz (PM+CM), Rolândia (PM)</w:t>
      </w:r>
    </w:p>
    <w:p>
      <w:pPr>
        <w:pStyle w:val="ListBullet"/>
      </w:pPr>
      <w:r>
        <w:t>Defender a IPCA cheio (retenção) jul–ago e vencidas: Olinda, Itabira, Ananindeua (CM), Leme, Eldorado do Sul (PM), Saquarema (PM), São Roque (PM+CM)</w:t>
      </w:r>
    </w:p>
    <w:p>
      <w:pPr>
        <w:pStyle w:val="ListBullet"/>
      </w:pPr>
      <w:r>
        <w:t>Responsible AI que destrava preço: padrão de trilha de auditoria + “ato indelegável sempre humano” publicado como argumento de renovação — até semana 8</w:t>
      </w:r>
    </w:p>
    <w:p>
      <w:pPr>
        <w:spacing w:after="80"/>
      </w:pPr>
      <w:r>
        <w:rPr>
          <w:b/>
          <w:color w:val="1F3A5F"/>
        </w:rPr>
        <w:t xml:space="preserve">Prazo e dono: </w:t>
      </w:r>
      <w:r>
        <w:t>Casado ao calendário de vencimentos (renovações não antecipáveis). Dono: Miguel Júnior + diretores regionais: Rodrigo Braga (MG/RJ), Roberlei Fernandes (SP), Rodrigo (RS), João Macedo (PR), Tomás (Norte-Nordeste).</w:t>
      </w:r>
    </w:p>
    <w:p>
      <w:pPr>
        <w:spacing w:after="80"/>
      </w:pPr>
      <w:r>
        <w:rPr>
          <w:b/>
          <w:color w:val="1F3A5F"/>
        </w:rPr>
        <w:t xml:space="preserve">Primeiro blocker / unlock: </w:t>
      </w:r>
      <w:r>
        <w:t>Cliente público questiona reajuste acima do índice sem prova de valor → unlock = a adoção comprovada dos satélites (métrica do Build) vira a justificativa contratual. Restrição estrutural de mercado: prazos de contrato são imóveis e a venda nova chega a 3 anos — nos 90 dias o upside é só nas renovações de setembro; venda nova se planta, não se fecha.</w:t>
      </w:r>
    </w:p>
    <w:p>
      <w:r>
        <w:rPr>
          <w:b w:val="0"/>
          <w:i/>
          <w:sz w:val="21"/>
        </w:rPr>
        <w:t>Nota: Attrition (7,7% → 3,5%; ~3% político/integridade, ~4,7% endereçável) é métrica anual e parte já está “assada” — movida para Além dos 90 dias.</w:t>
      </w:r>
    </w:p>
    <w:p>
      <w:pPr>
        <w:pStyle w:val="Heading1"/>
      </w:pPr>
      <w:r>
        <w:rPr>
          <w:color w:val="1F3A5F"/>
        </w:rPr>
        <w:t>Commitment 3 — UPSIDES &gt; BLOCKERS (oportunidade &gt; fricção)</w:t>
      </w:r>
    </w:p>
    <w:p>
      <w:pPr>
        <w:spacing w:after="80"/>
      </w:pPr>
      <w:r>
        <w:rPr>
          <w:b/>
          <w:color w:val="1F3A5F"/>
        </w:rPr>
        <w:t xml:space="preserve">Movimento no Grid: </w:t>
      </w:r>
      <w:r>
        <w:t>Linha que mais oscila (“pessoas serão problemas”) → “produto que se ensina sozinho + PS construindo + ritmo de R&amp;D descentralizado”. Fricção convertida em throughput.</w:t>
      </w:r>
    </w:p>
    <w:p>
      <w:pPr>
        <w:spacing w:after="80"/>
      </w:pPr>
      <w:r>
        <w:rPr>
          <w:b/>
          <w:color w:val="1F3A5F"/>
        </w:rPr>
        <w:t xml:space="preserve">O que muda: </w:t>
      </w:r>
      <w:r>
        <w:t>O Builder 360 passa a gerar cada feature com kit de PS embedado (vídeo/manual) + documentação da Mia, de modo que escalar satélites não escale o suporte de forma linear; 10 técnicos de PS ganham autonomia para construir features no Builder 360, redistribuindo o ritmo para além de uma única liderança; a Mia é treinada nos satélites documentados.</w:t>
      </w:r>
    </w:p>
    <w:p>
      <w:r>
        <w:rPr>
          <w:b/>
          <w:i w:val="0"/>
          <w:sz w:val="21"/>
        </w:rPr>
        <w:t>Mensurável:</w:t>
      </w:r>
    </w:p>
    <w:p>
      <w:pPr>
        <w:pStyle w:val="ListBullet"/>
      </w:pPr>
      <w:r>
        <w:t>10 técnicos de PS construindo no Builder 360 (subconjunto dos 20 certificados, não soma) — semana 3</w:t>
      </w:r>
    </w:p>
    <w:p>
      <w:pPr>
        <w:pStyle w:val="ListBullet"/>
      </w:pPr>
      <w:r>
        <w:t>100% dos satélites entregues com kit de PS + documentação da Mia embedados</w:t>
      </w:r>
    </w:p>
    <w:p>
      <w:pPr>
        <w:pStyle w:val="ListBullet"/>
      </w:pPr>
      <w:r>
        <w:t>Mia treinada na documentação dos satélites; deflexão-% de tickets = outcome de 6 meses (depende do produto existir)</w:t>
      </w:r>
    </w:p>
    <w:p>
      <w:pPr>
        <w:spacing w:after="80"/>
      </w:pPr>
      <w:r>
        <w:rPr>
          <w:b/>
          <w:color w:val="1F3A5F"/>
        </w:rPr>
        <w:t xml:space="preserve">Prazo e dono: </w:t>
      </w:r>
      <w:r>
        <w:t>PS-builders semana 3. Donos: Tiago Nogueira (PS), Manuela Bolsonaro + Lívia Sá (Mia/Customer Care), Higo Mariano (enablement Builder 360).</w:t>
      </w:r>
    </w:p>
    <w:p>
      <w:pPr>
        <w:spacing w:after="80"/>
      </w:pPr>
      <w:r>
        <w:rPr>
          <w:b/>
          <w:color w:val="1F3A5F"/>
        </w:rPr>
        <w:t xml:space="preserve">Primeiro blocker / unlock: </w:t>
      </w:r>
      <w:r>
        <w:t>Mudar o ritmo/cadência imposto pela liderança de R&amp;D. Unlock: redefinir a cadência de decisão e alinhar as metas de longo prazo da liderança à descentralização e à formação de líderes técnicos — mecanismo de incentivo, não conversa informal. Risco a vigiar: cliente acostumado a atendimento humano — não empurrar self-service além da absorção cultural.</w:t>
      </w:r>
    </w:p>
    <w:p>
      <w:pPr>
        <w:pStyle w:val="Heading1"/>
      </w:pPr>
      <w:r>
        <w:rPr>
          <w:color w:val="1F3A5F"/>
        </w:rPr>
        <w:t>Commitment 4 — 2× THE BUSINESS (caminho crível)</w:t>
      </w:r>
    </w:p>
    <w:p>
      <w:pPr>
        <w:spacing w:after="80"/>
      </w:pPr>
      <w:r>
        <w:rPr>
          <w:b/>
          <w:color w:val="1F3A5F"/>
        </w:rPr>
        <w:t xml:space="preserve">Movimento no Grid: </w:t>
      </w:r>
      <w:r>
        <w:t>2× hoje é Vermelho. Movimento de 90 dias: não dobrar, mas provar que o caminho pro 2× em 3 anos é real, de-riscando o motor de reestruturação de produto.</w:t>
      </w:r>
    </w:p>
    <w:p>
      <w:pPr>
        <w:spacing w:after="80"/>
      </w:pPr>
      <w:r>
        <w:rPr>
          <w:b/>
          <w:color w:val="1F3A5F"/>
        </w:rPr>
        <w:t xml:space="preserve">O que muda: </w:t>
      </w:r>
      <w:r>
        <w:t>Tratar reescrita-COGS + criação de satélites como UM programa de reestruturação de produto. O time de dev investe na melhora do produto (cloud↓ e satélites↑) enquanto o PS supre demandas emergenciais. O Builder 360 vira capacidade compartilhável no grupo (a Equiplano o utiliza para gerar receita na outra empresa — não é uma venda).</w:t>
      </w:r>
    </w:p>
    <w:p>
      <w:r>
        <w:rPr>
          <w:b/>
          <w:i w:val="0"/>
          <w:sz w:val="21"/>
        </w:rPr>
        <w:t>Mensurável:</w:t>
      </w:r>
    </w:p>
    <w:p>
      <w:pPr>
        <w:pStyle w:val="ListBullet"/>
      </w:pPr>
      <w:r>
        <w:t>5/64 módulos com −30% de cloud medido → modelo extrapolado mostrando a trajetória pra −60% e a expansão de margem</w:t>
      </w:r>
    </w:p>
    <w:p>
      <w:pPr>
        <w:pStyle w:val="ListBullet"/>
      </w:pPr>
      <w:r>
        <w:t>Fidelização provada = os ~6 reajustes acima do índice de setembro (costura com a Commitment 2)</w:t>
      </w:r>
    </w:p>
    <w:p>
      <w:pPr>
        <w:pStyle w:val="ListBullet"/>
      </w:pPr>
      <w:r>
        <w:t>Business case de 3 anos com os dois pontos de 90 dias validados — apresentado ao portfólio</w:t>
      </w:r>
    </w:p>
    <w:p>
      <w:pPr>
        <w:spacing w:after="80"/>
      </w:pPr>
      <w:r>
        <w:rPr>
          <w:b/>
          <w:color w:val="1F3A5F"/>
        </w:rPr>
        <w:t xml:space="preserve">Prazo e dono: </w:t>
      </w:r>
      <w:r>
        <w:t>90 dias → 26/09. Dono: Henrique Barreto, com Ivan/Higo na prova de produto.</w:t>
      </w:r>
    </w:p>
    <w:p>
      <w:pPr>
        <w:spacing w:after="80"/>
      </w:pPr>
      <w:r>
        <w:rPr>
          <w:b/>
          <w:color w:val="1F3A5F"/>
        </w:rPr>
        <w:t xml:space="preserve">Primeiro blocker / unlock: </w:t>
      </w:r>
      <w:r>
        <w:t>Risco de produto — reescrita/satélites não ficarem prontos a tempo. Unlock: decisão de arquitetura na semana 3 + atacar os 5 módulos de maior cloud primeiro + escopar o reajuste só às renovações de setembro.</w:t>
      </w:r>
    </w:p>
    <w:p>
      <w:pPr>
        <w:pStyle w:val="Heading1"/>
      </w:pPr>
      <w:r>
        <w:rPr>
          <w:color w:val="1F3A5F"/>
        </w:rPr>
        <w:t>Três riscos pré-nomeados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Risco</w:t>
            </w:r>
          </w:p>
        </w:tc>
        <w:tc>
          <w:tcPr>
            <w:tcW w:type="dxa" w:w="4320"/>
          </w:tcPr>
          <w:p>
            <w:r>
              <w:t>Sinal antecipado que vou vigiar</w:t>
            </w:r>
          </w:p>
        </w:tc>
      </w:tr>
      <w:tr>
        <w:tc>
          <w:tcPr>
            <w:tcW w:type="dxa" w:w="4320"/>
          </w:tcPr>
          <w:p>
            <w:r>
              <w:t>PS compression — receita de serviços em risco / capacidade de campo estourada pelos satélites</w:t>
            </w:r>
          </w:p>
        </w:tc>
        <w:tc>
          <w:tcPr>
            <w:tcW w:type="dxa" w:w="4320"/>
          </w:tcPr>
          <w:p>
            <w:r>
              <w:t>Pico de demanda de treinamento presencial que o PS não atende; backlog de visitas/tickets subindo após cada satélite</w:t>
            </w:r>
          </w:p>
        </w:tc>
      </w:tr>
      <w:tr>
        <w:tc>
          <w:tcPr>
            <w:tcW w:type="dxa" w:w="4320"/>
          </w:tcPr>
          <w:p>
            <w:r>
              <w:t>Code audit gap — dívida técnica nos 35M de linhas trava a reescrita</w:t>
            </w:r>
          </w:p>
        </w:tc>
        <w:tc>
          <w:tcPr>
            <w:tcW w:type="dxa" w:w="4320"/>
          </w:tcPr>
          <w:p>
            <w:r>
              <w:t>Velocidade de reescrita dos 5 módulos abaixo do plano; fatura de cloud não caindo na proporção modelada</w:t>
            </w:r>
          </w:p>
        </w:tc>
      </w:tr>
      <w:tr>
        <w:tc>
          <w:tcPr>
            <w:tcW w:type="dxa" w:w="4320"/>
          </w:tcPr>
          <w:p>
            <w:r>
              <w:t>Competitor wedge — “bala de prata pra todos” (sinal: Kleber/Denardi/useall)</w:t>
            </w:r>
          </w:p>
        </w:tc>
        <w:tc>
          <w:tcPr>
            <w:tcW w:type="dxa" w:w="4320"/>
          </w:tcPr>
          <w:p>
            <w:r>
              <w:t>Concorrente anunciando camada agêntica/IA para municípios antes de nós</w:t>
            </w:r>
          </w:p>
        </w:tc>
      </w:tr>
    </w:tbl>
    <w:p>
      <w:pPr>
        <w:pStyle w:val="Heading1"/>
      </w:pPr>
      <w:r>
        <w:rPr>
          <w:color w:val="1F3A5F"/>
        </w:rPr>
        <w:t>Accountability</w:t>
      </w:r>
    </w:p>
    <w:p>
      <w:pPr>
        <w:pStyle w:val="ListBullet"/>
      </w:pPr>
      <w:r>
        <w:t>Portfólio/Group Leader (Volaris): ______________________</w:t>
      </w:r>
    </w:p>
    <w:p>
      <w:pPr>
        <w:pStyle w:val="ListBullet"/>
      </w:pPr>
      <w:r>
        <w:t>Review 30 dias: 26/07/2026  •  60 dias: 26/08/2026  •  90 dias: 26/09/2026</w:t>
      </w:r>
    </w:p>
    <w:p>
      <w:pPr>
        <w:pStyle w:val="ListBullet"/>
      </w:pPr>
      <w:r>
        <w:t>Peer da cohort em contato: ______________________</w:t>
      </w:r>
    </w:p>
    <w:p>
      <w:pPr>
        <w:pStyle w:val="ListBullet"/>
      </w:pPr>
      <w:r>
        <w:t>Ritual semanal (sexta, 30 min): KRs no painel real, exceções, decisões de promoção na escada de confiança, riscos novos.</w:t>
      </w:r>
    </w:p>
    <w:p>
      <w:pPr>
        <w:pStyle w:val="Heading1"/>
      </w:pPr>
      <w:r>
        <w:rPr>
          <w:color w:val="1F3A5F"/>
        </w:rPr>
        <w:t>Além dos 90 dias</w:t>
      </w:r>
    </w:p>
    <w:p>
      <w:pPr>
        <w:spacing w:after="80"/>
      </w:pPr>
      <w:r>
        <w:rPr>
          <w:b/>
          <w:color w:val="1F3A5F"/>
        </w:rPr>
        <w:t xml:space="preserve">Em 6 meses (≈ dez/2026): </w:t>
      </w:r>
      <w:r>
        <w:t>reescrita avançando rumo a −60% de cloud; deflexão da Mia desonerando o N1; 2ª onda de satélites; 1ª validação da tese “compliance / 10%”.</w:t>
      </w:r>
    </w:p>
    <w:p>
      <w:pPr>
        <w:spacing w:after="80"/>
      </w:pPr>
      <w:r>
        <w:rPr>
          <w:b/>
          <w:color w:val="1F3A5F"/>
        </w:rPr>
        <w:t xml:space="preserve">Em 12 meses: </w:t>
      </w:r>
      <w:r>
        <w:t>reescrita madura (baixa disrupção desktop→novo); attrition endereçável 7,7% → 3,5%; reajuste acima do índice consolidado; Builder 360 sem gargalo único de ritmo.</w:t>
      </w:r>
    </w:p>
    <w:p>
      <w:pPr>
        <w:spacing w:after="80"/>
      </w:pPr>
      <w:r>
        <w:rPr>
          <w:b/>
          <w:color w:val="1F3A5F"/>
        </w:rPr>
        <w:t xml:space="preserve">Trajetória pro 2× em 3 anos: </w:t>
      </w:r>
      <w:r>
        <w:t>margem via COGS-cloud + receita recorrente acima do índice + nova linha de satélites/compliance + venda nova de ciclo longo (até 3 anos) plantada agora + Builder 360 como capacidade compartilhada no grupo.</w:t>
      </w:r>
    </w:p>
    <w:p>
      <w:pPr>
        <w:pStyle w:val="Heading1"/>
      </w:pPr>
      <w:r>
        <w:rPr>
          <w:color w:val="1F3A5F"/>
        </w:rPr>
        <w:t>As três linhas do líder</w:t>
      </w:r>
    </w:p>
    <w:p>
      <w:pPr>
        <w:pStyle w:val="ListBullet"/>
      </w:pPr>
      <w:r>
        <w:t>Mais confiante em entregar: BUILD — Builder 360 pronto, arquitetura + 5 módulos + 20 certificados ao alcance.</w:t>
      </w:r>
    </w:p>
    <w:p>
      <w:pPr>
        <w:pStyle w:val="ListBullet"/>
      </w:pPr>
      <w:r>
        <w:t>Mais provável de subentregar: SELL (reajuste acima do índice) — refém do timing do produto contra um calendário de vencimentos imóvel.</w:t>
      </w:r>
    </w:p>
    <w:p>
      <w:pPr>
        <w:pStyle w:val="ListBullet"/>
      </w:pPr>
      <w:r>
        <w:t>Parar de fazer: deixar o ritmo de R&amp;D ser ditado por uma única liderança — descentralizar a cadência abre espaço pro plano inteiro.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