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E5047" w14:textId="77777777" w:rsidR="002177F9" w:rsidRDefault="00ED0D68">
      <w:pPr>
        <w:pStyle w:val="Titre"/>
      </w:pPr>
      <w:r>
        <w:t>Guide utilisateur SUFIX OptimiZer</w:t>
      </w:r>
    </w:p>
    <w:p w14:paraId="0A4A7E93" w14:textId="77777777" w:rsidR="002177F9" w:rsidRDefault="00ED0D68">
      <w:r>
        <w:t>Version du logiciel documentée : V1.1.3 adaptative avec corrections locales du 25 août 2026.</w:t>
      </w:r>
    </w:p>
    <w:p w14:paraId="66E68B84" w14:textId="77777777" w:rsidR="002177F9" w:rsidRDefault="00ED0D68">
      <w:r>
        <w:t>Édition documentaire : révision 1 du 27 septembre 2026. Ce guide remplace le guide utilisateur V1.0.9 du package complet.</w:t>
      </w:r>
    </w:p>
    <w:p w14:paraId="3583370C" w14:textId="77777777" w:rsidR="002177F9" w:rsidRDefault="00ED0D68">
      <w:r>
        <w:t>Ce guide explique comment transformer une étude SUFIX 3D PRO en nomenclatures, comparer les découpes possibles et produire les fichiers Excel et EQ. Il s’adresse aux utilisateurs chargés de préparer le chiffrage et les plans de découpe. Les libellés et les comportements décrits ont été vérifiés dans le code livré avec le package complet.</w:t>
      </w:r>
    </w:p>
    <w:p w14:paraId="05E39703" w14:textId="77777777" w:rsidR="002177F9" w:rsidRDefault="00ED0D68">
      <w:r>
        <w:t>Le point essentiel de cette version est la séparation entre le calcul et la production des fichiers : après « Étude terminée », il faut encore choisir les offres et cliquer sur le bouton de génération approprié.</w:t>
      </w:r>
    </w:p>
    <w:p w14:paraId="072504CB" w14:textId="77777777" w:rsidR="002177F9" w:rsidRDefault="00ED0D68">
      <w:pPr>
        <w:spacing w:before="240"/>
      </w:pPr>
      <w:r>
        <w:rPr>
          <w:b/>
        </w:rPr>
        <w:t>Sommaire</w:t>
      </w:r>
    </w:p>
    <w:p w14:paraId="1D531FB2" w14:textId="55594484" w:rsidR="00735BAB" w:rsidRDefault="00ED0D68">
      <w:pPr>
        <w:pStyle w:val="TM1"/>
        <w:tabs>
          <w:tab w:val="right" w:leader="dot" w:pos="9926"/>
        </w:tabs>
        <w:rPr>
          <w:rFonts w:asciiTheme="minorHAnsi" w:hAnsiTheme="minorHAnsi"/>
          <w:noProof/>
          <w:kern w:val="2"/>
          <w:sz w:val="24"/>
          <w:szCs w:val="24"/>
          <w:lang w:val="fr-FR" w:eastAsia="fr-FR"/>
          <w14:ligatures w14:val="standardContextual"/>
        </w:rPr>
      </w:pPr>
      <w:r>
        <w:fldChar w:fldCharType="begin"/>
      </w:r>
      <w:r>
        <w:instrText>TOC \o "1-1" \h \z \u</w:instrText>
      </w:r>
      <w:r>
        <w:fldChar w:fldCharType="separate"/>
      </w:r>
      <w:hyperlink w:anchor="_Toc241409724" w:history="1">
        <w:r w:rsidR="00735BAB" w:rsidRPr="003B3790">
          <w:rPr>
            <w:rStyle w:val="Lienhypertexte"/>
            <w:noProof/>
          </w:rPr>
          <w:t>1 À quoi sert l’outil</w:t>
        </w:r>
        <w:r w:rsidR="00735BAB">
          <w:rPr>
            <w:noProof/>
            <w:webHidden/>
          </w:rPr>
          <w:tab/>
        </w:r>
        <w:r w:rsidR="00735BAB">
          <w:rPr>
            <w:noProof/>
            <w:webHidden/>
          </w:rPr>
          <w:fldChar w:fldCharType="begin"/>
        </w:r>
        <w:r w:rsidR="00735BAB">
          <w:rPr>
            <w:noProof/>
            <w:webHidden/>
          </w:rPr>
          <w:instrText xml:space="preserve"> PAGEREF _Toc241409724 \h </w:instrText>
        </w:r>
        <w:r w:rsidR="00735BAB">
          <w:rPr>
            <w:noProof/>
            <w:webHidden/>
          </w:rPr>
        </w:r>
        <w:r w:rsidR="00735BAB">
          <w:rPr>
            <w:noProof/>
            <w:webHidden/>
          </w:rPr>
          <w:fldChar w:fldCharType="separate"/>
        </w:r>
        <w:r w:rsidR="00735BAB">
          <w:rPr>
            <w:noProof/>
            <w:webHidden/>
          </w:rPr>
          <w:t>2</w:t>
        </w:r>
        <w:r w:rsidR="00735BAB">
          <w:rPr>
            <w:noProof/>
            <w:webHidden/>
          </w:rPr>
          <w:fldChar w:fldCharType="end"/>
        </w:r>
      </w:hyperlink>
    </w:p>
    <w:p w14:paraId="18F3A5D7" w14:textId="7483BAEC" w:rsidR="00735BAB" w:rsidRDefault="00735BAB">
      <w:pPr>
        <w:pStyle w:val="TM1"/>
        <w:tabs>
          <w:tab w:val="right" w:leader="dot" w:pos="9926"/>
        </w:tabs>
        <w:rPr>
          <w:rFonts w:asciiTheme="minorHAnsi" w:hAnsiTheme="minorHAnsi"/>
          <w:noProof/>
          <w:kern w:val="2"/>
          <w:sz w:val="24"/>
          <w:szCs w:val="24"/>
          <w:lang w:val="fr-FR" w:eastAsia="fr-FR"/>
          <w14:ligatures w14:val="standardContextual"/>
        </w:rPr>
      </w:pPr>
      <w:hyperlink w:anchor="_Toc241409725" w:history="1">
        <w:r w:rsidRPr="003B3790">
          <w:rPr>
            <w:rStyle w:val="Lienhypertexte"/>
            <w:noProof/>
          </w:rPr>
          <w:t>2 Ce qu’il faut préparer</w:t>
        </w:r>
        <w:r>
          <w:rPr>
            <w:noProof/>
            <w:webHidden/>
          </w:rPr>
          <w:tab/>
        </w:r>
        <w:r>
          <w:rPr>
            <w:noProof/>
            <w:webHidden/>
          </w:rPr>
          <w:fldChar w:fldCharType="begin"/>
        </w:r>
        <w:r>
          <w:rPr>
            <w:noProof/>
            <w:webHidden/>
          </w:rPr>
          <w:instrText xml:space="preserve"> PAGEREF _Toc241409725 \h </w:instrText>
        </w:r>
        <w:r>
          <w:rPr>
            <w:noProof/>
            <w:webHidden/>
          </w:rPr>
        </w:r>
        <w:r>
          <w:rPr>
            <w:noProof/>
            <w:webHidden/>
          </w:rPr>
          <w:fldChar w:fldCharType="separate"/>
        </w:r>
        <w:r>
          <w:rPr>
            <w:noProof/>
            <w:webHidden/>
          </w:rPr>
          <w:t>2</w:t>
        </w:r>
        <w:r>
          <w:rPr>
            <w:noProof/>
            <w:webHidden/>
          </w:rPr>
          <w:fldChar w:fldCharType="end"/>
        </w:r>
      </w:hyperlink>
    </w:p>
    <w:p w14:paraId="562DE918" w14:textId="2BD0F60B" w:rsidR="00735BAB" w:rsidRDefault="00735BAB">
      <w:pPr>
        <w:pStyle w:val="TM1"/>
        <w:tabs>
          <w:tab w:val="right" w:leader="dot" w:pos="9926"/>
        </w:tabs>
        <w:rPr>
          <w:rFonts w:asciiTheme="minorHAnsi" w:hAnsiTheme="minorHAnsi"/>
          <w:noProof/>
          <w:kern w:val="2"/>
          <w:sz w:val="24"/>
          <w:szCs w:val="24"/>
          <w:lang w:val="fr-FR" w:eastAsia="fr-FR"/>
          <w14:ligatures w14:val="standardContextual"/>
        </w:rPr>
      </w:pPr>
      <w:hyperlink w:anchor="_Toc241409726" w:history="1">
        <w:r w:rsidRPr="003B3790">
          <w:rPr>
            <w:rStyle w:val="Lienhypertexte"/>
            <w:noProof/>
          </w:rPr>
          <w:t>3 Parcours utilisateur</w:t>
        </w:r>
        <w:r>
          <w:rPr>
            <w:noProof/>
            <w:webHidden/>
          </w:rPr>
          <w:tab/>
        </w:r>
        <w:r>
          <w:rPr>
            <w:noProof/>
            <w:webHidden/>
          </w:rPr>
          <w:fldChar w:fldCharType="begin"/>
        </w:r>
        <w:r>
          <w:rPr>
            <w:noProof/>
            <w:webHidden/>
          </w:rPr>
          <w:instrText xml:space="preserve"> PAGEREF _Toc241409726 \h </w:instrText>
        </w:r>
        <w:r>
          <w:rPr>
            <w:noProof/>
            <w:webHidden/>
          </w:rPr>
        </w:r>
        <w:r>
          <w:rPr>
            <w:noProof/>
            <w:webHidden/>
          </w:rPr>
          <w:fldChar w:fldCharType="separate"/>
        </w:r>
        <w:r>
          <w:rPr>
            <w:noProof/>
            <w:webHidden/>
          </w:rPr>
          <w:t>2</w:t>
        </w:r>
        <w:r>
          <w:rPr>
            <w:noProof/>
            <w:webHidden/>
          </w:rPr>
          <w:fldChar w:fldCharType="end"/>
        </w:r>
      </w:hyperlink>
    </w:p>
    <w:p w14:paraId="3A541C34" w14:textId="48206448" w:rsidR="00735BAB" w:rsidRDefault="00735BAB">
      <w:pPr>
        <w:pStyle w:val="TM1"/>
        <w:tabs>
          <w:tab w:val="right" w:leader="dot" w:pos="9926"/>
        </w:tabs>
        <w:rPr>
          <w:rFonts w:asciiTheme="minorHAnsi" w:hAnsiTheme="minorHAnsi"/>
          <w:noProof/>
          <w:kern w:val="2"/>
          <w:sz w:val="24"/>
          <w:szCs w:val="24"/>
          <w:lang w:val="fr-FR" w:eastAsia="fr-FR"/>
          <w14:ligatures w14:val="standardContextual"/>
        </w:rPr>
      </w:pPr>
      <w:hyperlink w:anchor="_Toc241409727" w:history="1">
        <w:r w:rsidRPr="003B3790">
          <w:rPr>
            <w:rStyle w:val="Lienhypertexte"/>
            <w:noProof/>
          </w:rPr>
          <w:t>4 Comprendre les fichiers produits</w:t>
        </w:r>
        <w:r>
          <w:rPr>
            <w:noProof/>
            <w:webHidden/>
          </w:rPr>
          <w:tab/>
        </w:r>
        <w:r>
          <w:rPr>
            <w:noProof/>
            <w:webHidden/>
          </w:rPr>
          <w:fldChar w:fldCharType="begin"/>
        </w:r>
        <w:r>
          <w:rPr>
            <w:noProof/>
            <w:webHidden/>
          </w:rPr>
          <w:instrText xml:space="preserve"> PAGEREF _Toc241409727 \h </w:instrText>
        </w:r>
        <w:r>
          <w:rPr>
            <w:noProof/>
            <w:webHidden/>
          </w:rPr>
        </w:r>
        <w:r>
          <w:rPr>
            <w:noProof/>
            <w:webHidden/>
          </w:rPr>
          <w:fldChar w:fldCharType="separate"/>
        </w:r>
        <w:r>
          <w:rPr>
            <w:noProof/>
            <w:webHidden/>
          </w:rPr>
          <w:t>4</w:t>
        </w:r>
        <w:r>
          <w:rPr>
            <w:noProof/>
            <w:webHidden/>
          </w:rPr>
          <w:fldChar w:fldCharType="end"/>
        </w:r>
      </w:hyperlink>
    </w:p>
    <w:p w14:paraId="47CAD29A" w14:textId="1E826930" w:rsidR="00735BAB" w:rsidRDefault="00735BAB">
      <w:pPr>
        <w:pStyle w:val="TM1"/>
        <w:tabs>
          <w:tab w:val="right" w:leader="dot" w:pos="9926"/>
        </w:tabs>
        <w:rPr>
          <w:rFonts w:asciiTheme="minorHAnsi" w:hAnsiTheme="minorHAnsi"/>
          <w:noProof/>
          <w:kern w:val="2"/>
          <w:sz w:val="24"/>
          <w:szCs w:val="24"/>
          <w:lang w:val="fr-FR" w:eastAsia="fr-FR"/>
          <w14:ligatures w14:val="standardContextual"/>
        </w:rPr>
      </w:pPr>
      <w:hyperlink w:anchor="_Toc241409728" w:history="1">
        <w:r w:rsidRPr="003B3790">
          <w:rPr>
            <w:rStyle w:val="Lienhypertexte"/>
            <w:noProof/>
          </w:rPr>
          <w:t>5 Options importantes</w:t>
        </w:r>
        <w:r>
          <w:rPr>
            <w:noProof/>
            <w:webHidden/>
          </w:rPr>
          <w:tab/>
        </w:r>
        <w:r>
          <w:rPr>
            <w:noProof/>
            <w:webHidden/>
          </w:rPr>
          <w:fldChar w:fldCharType="begin"/>
        </w:r>
        <w:r>
          <w:rPr>
            <w:noProof/>
            <w:webHidden/>
          </w:rPr>
          <w:instrText xml:space="preserve"> PAGEREF _Toc241409728 \h </w:instrText>
        </w:r>
        <w:r>
          <w:rPr>
            <w:noProof/>
            <w:webHidden/>
          </w:rPr>
        </w:r>
        <w:r>
          <w:rPr>
            <w:noProof/>
            <w:webHidden/>
          </w:rPr>
          <w:fldChar w:fldCharType="separate"/>
        </w:r>
        <w:r>
          <w:rPr>
            <w:noProof/>
            <w:webHidden/>
          </w:rPr>
          <w:t>5</w:t>
        </w:r>
        <w:r>
          <w:rPr>
            <w:noProof/>
            <w:webHidden/>
          </w:rPr>
          <w:fldChar w:fldCharType="end"/>
        </w:r>
      </w:hyperlink>
    </w:p>
    <w:p w14:paraId="4AFE445F" w14:textId="79D49489" w:rsidR="00735BAB" w:rsidRDefault="00735BAB">
      <w:pPr>
        <w:pStyle w:val="TM1"/>
        <w:tabs>
          <w:tab w:val="right" w:leader="dot" w:pos="9926"/>
        </w:tabs>
        <w:rPr>
          <w:rFonts w:asciiTheme="minorHAnsi" w:hAnsiTheme="minorHAnsi"/>
          <w:noProof/>
          <w:kern w:val="2"/>
          <w:sz w:val="24"/>
          <w:szCs w:val="24"/>
          <w:lang w:val="fr-FR" w:eastAsia="fr-FR"/>
          <w14:ligatures w14:val="standardContextual"/>
        </w:rPr>
      </w:pPr>
      <w:hyperlink w:anchor="_Toc241409729" w:history="1">
        <w:r w:rsidRPr="003B3790">
          <w:rPr>
            <w:rStyle w:val="Lienhypertexte"/>
            <w:noProof/>
          </w:rPr>
          <w:t>6 Contrôles à effectuer</w:t>
        </w:r>
        <w:r>
          <w:rPr>
            <w:noProof/>
            <w:webHidden/>
          </w:rPr>
          <w:tab/>
        </w:r>
        <w:r>
          <w:rPr>
            <w:noProof/>
            <w:webHidden/>
          </w:rPr>
          <w:fldChar w:fldCharType="begin"/>
        </w:r>
        <w:r>
          <w:rPr>
            <w:noProof/>
            <w:webHidden/>
          </w:rPr>
          <w:instrText xml:space="preserve"> PAGEREF _Toc241409729 \h </w:instrText>
        </w:r>
        <w:r>
          <w:rPr>
            <w:noProof/>
            <w:webHidden/>
          </w:rPr>
        </w:r>
        <w:r>
          <w:rPr>
            <w:noProof/>
            <w:webHidden/>
          </w:rPr>
          <w:fldChar w:fldCharType="separate"/>
        </w:r>
        <w:r>
          <w:rPr>
            <w:noProof/>
            <w:webHidden/>
          </w:rPr>
          <w:t>6</w:t>
        </w:r>
        <w:r>
          <w:rPr>
            <w:noProof/>
            <w:webHidden/>
          </w:rPr>
          <w:fldChar w:fldCharType="end"/>
        </w:r>
      </w:hyperlink>
    </w:p>
    <w:p w14:paraId="1791D5F8" w14:textId="761A9B40" w:rsidR="00735BAB" w:rsidRDefault="00735BAB">
      <w:pPr>
        <w:pStyle w:val="TM1"/>
        <w:tabs>
          <w:tab w:val="right" w:leader="dot" w:pos="9926"/>
        </w:tabs>
        <w:rPr>
          <w:rFonts w:asciiTheme="minorHAnsi" w:hAnsiTheme="minorHAnsi"/>
          <w:noProof/>
          <w:kern w:val="2"/>
          <w:sz w:val="24"/>
          <w:szCs w:val="24"/>
          <w:lang w:val="fr-FR" w:eastAsia="fr-FR"/>
          <w14:ligatures w14:val="standardContextual"/>
        </w:rPr>
      </w:pPr>
      <w:hyperlink w:anchor="_Toc241409730" w:history="1">
        <w:r w:rsidRPr="003B3790">
          <w:rPr>
            <w:rStyle w:val="Lienhypertexte"/>
            <w:noProof/>
          </w:rPr>
          <w:t>7 Problèmes courants et bonnes pratiques</w:t>
        </w:r>
        <w:r>
          <w:rPr>
            <w:noProof/>
            <w:webHidden/>
          </w:rPr>
          <w:tab/>
        </w:r>
        <w:r>
          <w:rPr>
            <w:noProof/>
            <w:webHidden/>
          </w:rPr>
          <w:fldChar w:fldCharType="begin"/>
        </w:r>
        <w:r>
          <w:rPr>
            <w:noProof/>
            <w:webHidden/>
          </w:rPr>
          <w:instrText xml:space="preserve"> PAGEREF _Toc241409730 \h </w:instrText>
        </w:r>
        <w:r>
          <w:rPr>
            <w:noProof/>
            <w:webHidden/>
          </w:rPr>
        </w:r>
        <w:r>
          <w:rPr>
            <w:noProof/>
            <w:webHidden/>
          </w:rPr>
          <w:fldChar w:fldCharType="separate"/>
        </w:r>
        <w:r>
          <w:rPr>
            <w:noProof/>
            <w:webHidden/>
          </w:rPr>
          <w:t>6</w:t>
        </w:r>
        <w:r>
          <w:rPr>
            <w:noProof/>
            <w:webHidden/>
          </w:rPr>
          <w:fldChar w:fldCharType="end"/>
        </w:r>
      </w:hyperlink>
    </w:p>
    <w:p w14:paraId="323583CA" w14:textId="50CA3C52" w:rsidR="002177F9" w:rsidRDefault="00ED0D68">
      <w:r>
        <w:fldChar w:fldCharType="end"/>
      </w:r>
    </w:p>
    <w:p w14:paraId="4A0D9E05" w14:textId="77777777" w:rsidR="002177F9" w:rsidRDefault="00ED0D68">
      <w:r>
        <w:br w:type="page"/>
      </w:r>
    </w:p>
    <w:p w14:paraId="07740428" w14:textId="77777777" w:rsidR="002177F9" w:rsidRDefault="00ED0D68">
      <w:pPr>
        <w:pStyle w:val="Titre1"/>
      </w:pPr>
      <w:bookmarkStart w:id="0" w:name="_Toc241409724"/>
      <w:r>
        <w:lastRenderedPageBreak/>
        <w:t>1 À quoi sert l’outil</w:t>
      </w:r>
      <w:bookmarkEnd w:id="0"/>
    </w:p>
    <w:p w14:paraId="08D019F2" w14:textId="77777777" w:rsidR="002177F9" w:rsidRDefault="00ED0D68">
      <w:r>
        <w:t>SUFIX OptimiZer reprend les quantités d’un export SUFIX 3D PRO, actualise les références connues, regroupe les besoins et optimise la répartition des découpes de rails et de tiges dans des barres commerciales. Il prépare une nomenclature par support, une offre initiale et jusqu’à trois offres optimisées.</w:t>
      </w:r>
    </w:p>
    <w:p w14:paraId="32802139" w14:textId="77777777" w:rsidR="002177F9" w:rsidRDefault="00ED0D68">
      <w:r>
        <w:t>Les pièces et consoles sont traitées selon leurs quantités et leurs conditionnements. Les chemins de câbles et leurs couvercles suivent un calcul de métrés fondé sur le nombre de supports et leur espacement.</w:t>
      </w:r>
    </w:p>
    <w:p w14:paraId="7887460B" w14:textId="77777777" w:rsidR="002177F9" w:rsidRDefault="00ED0D68">
      <w:r>
        <w:t>L’outil ne refait pas le dimensionnement mécanique de SUFIX 3D PRO. Il ne calcule pas de prix ni de gain financier. Un meilleur rendement matière décrit l’utilisation des longueurs achetées ; il ne suffit pas, seul, à déterminer le choix commercial ou la méthode de fabrication.</w:t>
      </w:r>
    </w:p>
    <w:p w14:paraId="789718FE" w14:textId="77777777" w:rsidR="002177F9" w:rsidRDefault="00ED0D68">
      <w:pPr>
        <w:pStyle w:val="Titre1"/>
      </w:pPr>
      <w:bookmarkStart w:id="1" w:name="_Toc241409725"/>
      <w:r>
        <w:t>2 Ce qu’il faut préparer</w:t>
      </w:r>
      <w:bookmarkEnd w:id="1"/>
    </w:p>
    <w:p w14:paraId="57A6B1FF" w14:textId="77777777" w:rsidR="002177F9" w:rsidRDefault="00ED0D68">
      <w:pPr>
        <w:pStyle w:val="Listepuces"/>
      </w:pPr>
      <w:r>
        <w:t>Le CSV original de la bonne étude SUFIX 3D PRO.</w:t>
      </w:r>
    </w:p>
    <w:p w14:paraId="310768DE" w14:textId="77777777" w:rsidR="002177F9" w:rsidRDefault="00ED0D68">
      <w:pPr>
        <w:pStyle w:val="Listepuces"/>
      </w:pPr>
      <w:r>
        <w:t>Le PDF correspondant, notamment si le CSV ne donne pas les nombres de supports ou les espacements nécessaires.</w:t>
      </w:r>
    </w:p>
    <w:p w14:paraId="044ECF57" w14:textId="77777777" w:rsidR="002177F9" w:rsidRDefault="00ED0D68">
      <w:pPr>
        <w:pStyle w:val="Listepuces"/>
      </w:pPr>
      <w:r>
        <w:t>Un dossier local accessible en écriture, contenant les fichiers de l’étude.</w:t>
      </w:r>
    </w:p>
    <w:p w14:paraId="5E74E30B" w14:textId="77777777" w:rsidR="002177F9" w:rsidRDefault="00ED0D68">
      <w:pPr>
        <w:pStyle w:val="Listepuces"/>
      </w:pPr>
      <w:r>
        <w:t>Les longueurs commerciales réellement disponibles pour les rails et les tiges.</w:t>
      </w:r>
    </w:p>
    <w:p w14:paraId="4536FDCE" w14:textId="77777777" w:rsidR="002177F9" w:rsidRDefault="00ED0D68">
      <w:r>
        <w:t xml:space="preserve">L’exécutable Windows se trouve dans le sous-dossier </w:t>
      </w:r>
      <w:r>
        <w:rPr>
          <w:rFonts w:ascii="Consolas" w:hAnsi="Consolas"/>
          <w:sz w:val="19"/>
        </w:rPr>
        <w:t>dist</w:t>
      </w:r>
      <w:r>
        <w:t xml:space="preserve"> du package complet. L’utilisateur final n’a pas besoin d’installer Python. Les bases produits et profils sont déjà embarquées ; copier un nouveau référentiel à côté de l’exécutable ne le met pas à jour.</w:t>
      </w:r>
    </w:p>
    <w:p w14:paraId="69B39562" w14:textId="77777777" w:rsidR="002177F9" w:rsidRDefault="00ED0D68">
      <w:r>
        <w:t>Avant de commencer, conserver une copie des résultats d’une précédente étude. Le fichier Excel reprend le nom du CSV et les exports EQ reprennent le nom de l’étude et la date : une nouvelle génération vers le même nom remplace le fichier existant sans demande de confirmation. Fermer le classeur dans Excel avant de le régénérer.</w:t>
      </w:r>
    </w:p>
    <w:p w14:paraId="2976D0BB" w14:textId="77777777" w:rsidR="002177F9" w:rsidRDefault="00ED0D68">
      <w:r>
        <w:t>Le PDF peut être facultatif si le CSV suffit. En l’absence d’information exploitable, le logiciel peut proposer un nombre de supports égal à 1 ; cette proposition doit être vérifiée. Il n’existe pas de reconnaissance OCR des rapports scannés dans cette version.</w:t>
      </w:r>
    </w:p>
    <w:p w14:paraId="4E3260A3" w14:textId="77777777" w:rsidR="002177F9" w:rsidRDefault="00ED0D68">
      <w:pPr>
        <w:pStyle w:val="Titre1"/>
      </w:pPr>
      <w:bookmarkStart w:id="2" w:name="_Toc241409726"/>
      <w:r>
        <w:t>3 Parcours utilisateur</w:t>
      </w:r>
      <w:bookmarkEnd w:id="2"/>
    </w:p>
    <w:p w14:paraId="7DB22AB9" w14:textId="77777777" w:rsidR="002177F9" w:rsidRDefault="00ED0D68">
      <w:pPr>
        <w:pStyle w:val="Titre2"/>
      </w:pPr>
      <w:r>
        <w:t>Démarrer et sélectionner l’étude</w:t>
      </w:r>
    </w:p>
    <w:p w14:paraId="371DEF6C" w14:textId="77777777" w:rsidR="002177F9" w:rsidRDefault="00ED0D68">
      <w:r>
        <w:t xml:space="preserve">Ouvrir </w:t>
      </w:r>
      <w:r>
        <w:rPr>
          <w:rFonts w:ascii="Consolas" w:hAnsi="Consolas"/>
          <w:sz w:val="19"/>
        </w:rPr>
        <w:t>Sufix OptimiZer V1.1.3.exe</w:t>
      </w:r>
      <w:r>
        <w:t>, attendre l’écran d’accueil puis cliquer sur « Démarrer ». L’accueil adapte son image et ses boutons à la taille disponible. Sur un petit écran, utiliser les zones défilantes pour parcourir les listes.</w:t>
      </w:r>
    </w:p>
    <w:p w14:paraId="1276D196" w14:textId="77777777" w:rsidR="002177F9" w:rsidRDefault="00ED0D68">
      <w:r>
        <w:t>À l’étape « 1. Sélection de l’étude », déposer le CSV et le PDF dans la zone prévue ou utiliser « Choisir le CSV » et « Choisir le PDF ». Le CSV est obligatoire. Le logiciel recherche le fichier associé dans le même dossier, d’abord avec le même nom, puis par ressemblance des noms.</w:t>
      </w:r>
    </w:p>
    <w:p w14:paraId="735328AD" w14:textId="77777777" w:rsidR="002177F9" w:rsidRDefault="00ED0D68">
      <w:r>
        <w:t>Vérifier les deux chemins affichés avant de continuer. Une association automatique par nom n’est pas une vérification du contenu de l’étude. En cas de doute, sélectionner manuellement le bon PDF.</w:t>
      </w:r>
    </w:p>
    <w:p w14:paraId="584C7619" w14:textId="77777777" w:rsidR="002177F9" w:rsidRDefault="00ED0D68">
      <w:pPr>
        <w:pStyle w:val="Titre2"/>
      </w:pPr>
      <w:r>
        <w:lastRenderedPageBreak/>
        <w:t>Vérifier les supports</w:t>
      </w:r>
    </w:p>
    <w:p w14:paraId="085B83AA" w14:textId="77777777" w:rsidR="002177F9" w:rsidRDefault="00ED0D68">
      <w:r>
        <w:t>L’étape « 2. Vérification des supports » affiche le support, le niveau, la page PDF disponible, la source du nombre proposé, le nombre de supports et l’espacement en mètres.</w:t>
      </w:r>
    </w:p>
    <w:p w14:paraId="39D6B76C" w14:textId="77777777" w:rsidR="002177F9" w:rsidRDefault="00ED0D68">
      <w:r>
        <w:t>Les informations cohérentes du CSV sont prioritaires. Le logiciel peut aussi déduire le nombre de supports à partir de la quantité totale divisée par la quantité pour un support. Il utilise ensuite le PDF lorsqu’il est disponible, puis une valeur proposée si nécessaire.</w:t>
      </w:r>
    </w:p>
    <w:p w14:paraId="7D477994" w14:textId="77777777" w:rsidR="002177F9" w:rsidRDefault="00ED0D68">
      <w:r>
        <w:t>Saisir un nombre entier strictement positif pour chaque support. Pour un espacement, saisir une valeur positive en mètres ; le point et la virgule sont acceptés. Un champ vide signifie que l’espacement n’est pas renseigné.</w:t>
      </w:r>
    </w:p>
    <w:p w14:paraId="3A1030AE" w14:textId="77777777" w:rsidR="002177F9" w:rsidRDefault="00ED0D68">
      <w:r>
        <w:rPr>
          <w:b/>
        </w:rPr>
        <w:t>Attention au sens des quantités.</w:t>
      </w:r>
      <w:r>
        <w:t xml:space="preserve"> La colonne « Quantité » du CSV est utilisée comme quantité totale. Le nombre de supports sert à calculer « Quantité pour 1 support » par division. Le logiciel ne multiplie pas à nouveau toutes les quantités par le nombre de supports.</w:t>
      </w:r>
    </w:p>
    <w:p w14:paraId="1A285E40" w14:textId="77777777" w:rsidR="002177F9" w:rsidRDefault="00ED0D68">
      <w:r>
        <w:t>Les lignes identifiées comme « Châssis » apparaissent en gris et leur espacement est verrouillé. Le nombre reste modifiable. Cette identification peut aussi résulter d’une page PDF non retrouvée ou d’informations non détectées : vérifier le rapport si un support répétitif apparaît comme châssis. Pour un chemin de câbles nécessitant un espacement, faire corriger les données d’entrée ou demander assistance plutôt que valider une valeur manquante.</w:t>
      </w:r>
    </w:p>
    <w:p w14:paraId="19B48B54" w14:textId="77777777" w:rsidR="002177F9" w:rsidRDefault="00ED0D68">
      <w:pPr>
        <w:pStyle w:val="Titre2"/>
      </w:pPr>
      <w:r>
        <w:t>Choisir les paramètres et les longueurs</w:t>
      </w:r>
    </w:p>
    <w:p w14:paraId="3E51D355" w14:textId="77777777" w:rsidR="002177F9" w:rsidRDefault="00ED0D68">
      <w:r>
        <w:t>À l’étape « 3. Paramètres d’optimisation », les trois modes sont cochés au départ. Il est possible d’en calculer un seul, deux ou trois. Au moins un mode doit rester sélectionné.</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83"/>
        <w:gridCol w:w="3776"/>
        <w:gridCol w:w="3478"/>
      </w:tblGrid>
      <w:tr w:rsidR="002177F9" w14:paraId="6A6BB0FD" w14:textId="77777777">
        <w:trPr>
          <w:cantSplit/>
          <w:tblHeader/>
          <w:jc w:val="center"/>
        </w:trPr>
        <w:tc>
          <w:tcPr>
            <w:tcW w:w="2683" w:type="dxa"/>
            <w:shd w:val="clear" w:color="auto" w:fill="DCE6F1"/>
            <w:tcMar>
              <w:top w:w="60" w:type="dxa"/>
              <w:left w:w="95" w:type="dxa"/>
              <w:bottom w:w="60" w:type="dxa"/>
              <w:right w:w="95" w:type="dxa"/>
            </w:tcMar>
            <w:vAlign w:val="center"/>
          </w:tcPr>
          <w:p w14:paraId="64253819" w14:textId="77777777" w:rsidR="002177F9" w:rsidRDefault="00ED0D68">
            <w:pPr>
              <w:spacing w:before="80" w:after="80" w:line="247" w:lineRule="auto"/>
            </w:pPr>
            <w:r>
              <w:rPr>
                <w:b/>
                <w:color w:val="000000"/>
                <w:sz w:val="20"/>
              </w:rPr>
              <w:t>Mode affiché</w:t>
            </w:r>
          </w:p>
        </w:tc>
        <w:tc>
          <w:tcPr>
            <w:tcW w:w="3776" w:type="dxa"/>
            <w:shd w:val="clear" w:color="auto" w:fill="DCE6F1"/>
            <w:tcMar>
              <w:top w:w="60" w:type="dxa"/>
              <w:left w:w="95" w:type="dxa"/>
              <w:bottom w:w="60" w:type="dxa"/>
              <w:right w:w="95" w:type="dxa"/>
            </w:tcMar>
            <w:vAlign w:val="center"/>
          </w:tcPr>
          <w:p w14:paraId="02E5F738" w14:textId="77777777" w:rsidR="002177F9" w:rsidRDefault="00ED0D68">
            <w:pPr>
              <w:spacing w:before="80" w:after="80" w:line="247" w:lineRule="auto"/>
            </w:pPr>
            <w:r>
              <w:rPr>
                <w:b/>
                <w:color w:val="000000"/>
                <w:sz w:val="20"/>
              </w:rPr>
              <w:t>Priorité du calcul</w:t>
            </w:r>
          </w:p>
        </w:tc>
        <w:tc>
          <w:tcPr>
            <w:tcW w:w="3478" w:type="dxa"/>
            <w:shd w:val="clear" w:color="auto" w:fill="DCE6F1"/>
            <w:tcMar>
              <w:top w:w="60" w:type="dxa"/>
              <w:left w:w="95" w:type="dxa"/>
              <w:bottom w:w="60" w:type="dxa"/>
              <w:right w:w="95" w:type="dxa"/>
            </w:tcMar>
            <w:vAlign w:val="center"/>
          </w:tcPr>
          <w:p w14:paraId="4B49D48B" w14:textId="77777777" w:rsidR="002177F9" w:rsidRDefault="00ED0D68">
            <w:pPr>
              <w:spacing w:before="80" w:after="80" w:line="247" w:lineRule="auto"/>
            </w:pPr>
            <w:r>
              <w:rPr>
                <w:b/>
                <w:color w:val="000000"/>
                <w:sz w:val="20"/>
              </w:rPr>
              <w:t>Lecture du résultat</w:t>
            </w:r>
          </w:p>
        </w:tc>
      </w:tr>
      <w:tr w:rsidR="002177F9" w14:paraId="59F68A84" w14:textId="77777777">
        <w:trPr>
          <w:cantSplit/>
          <w:jc w:val="center"/>
        </w:trPr>
        <w:tc>
          <w:tcPr>
            <w:tcW w:w="2683" w:type="dxa"/>
            <w:shd w:val="clear" w:color="auto" w:fill="FFFFFF"/>
            <w:tcMar>
              <w:top w:w="60" w:type="dxa"/>
              <w:left w:w="95" w:type="dxa"/>
              <w:bottom w:w="60" w:type="dxa"/>
              <w:right w:w="95" w:type="dxa"/>
            </w:tcMar>
            <w:vAlign w:val="center"/>
          </w:tcPr>
          <w:p w14:paraId="4071B83F" w14:textId="77777777" w:rsidR="002177F9" w:rsidRDefault="00ED0D68">
            <w:pPr>
              <w:spacing w:before="80" w:after="80" w:line="247" w:lineRule="auto"/>
            </w:pPr>
            <w:r>
              <w:rPr>
                <w:color w:val="000000"/>
                <w:sz w:val="20"/>
              </w:rPr>
              <w:t>Économie matière</w:t>
            </w:r>
          </w:p>
        </w:tc>
        <w:tc>
          <w:tcPr>
            <w:tcW w:w="3776" w:type="dxa"/>
            <w:shd w:val="clear" w:color="auto" w:fill="FFFFFF"/>
            <w:tcMar>
              <w:top w:w="60" w:type="dxa"/>
              <w:left w:w="95" w:type="dxa"/>
              <w:bottom w:w="60" w:type="dxa"/>
              <w:right w:w="95" w:type="dxa"/>
            </w:tcMar>
            <w:vAlign w:val="center"/>
          </w:tcPr>
          <w:p w14:paraId="65B616A9" w14:textId="77777777" w:rsidR="002177F9" w:rsidRDefault="00ED0D68">
            <w:pPr>
              <w:spacing w:before="80" w:after="80" w:line="247" w:lineRule="auto"/>
            </w:pPr>
            <w:r>
              <w:rPr>
                <w:color w:val="000000"/>
                <w:sz w:val="20"/>
              </w:rPr>
              <w:t>Réduire la longueur achetée et la chute</w:t>
            </w:r>
          </w:p>
        </w:tc>
        <w:tc>
          <w:tcPr>
            <w:tcW w:w="3478" w:type="dxa"/>
            <w:shd w:val="clear" w:color="auto" w:fill="FFFFFF"/>
            <w:tcMar>
              <w:top w:w="60" w:type="dxa"/>
              <w:left w:w="95" w:type="dxa"/>
              <w:bottom w:w="60" w:type="dxa"/>
              <w:right w:w="95" w:type="dxa"/>
            </w:tcMar>
            <w:vAlign w:val="center"/>
          </w:tcPr>
          <w:p w14:paraId="15904011" w14:textId="77777777" w:rsidR="002177F9" w:rsidRDefault="00ED0D68">
            <w:pPr>
              <w:spacing w:before="80" w:after="80" w:line="247" w:lineRule="auto"/>
            </w:pPr>
            <w:r>
              <w:rPr>
                <w:color w:val="000000"/>
                <w:sz w:val="20"/>
              </w:rPr>
              <w:t>Comparer la longueur achetée et le rendement</w:t>
            </w:r>
          </w:p>
        </w:tc>
      </w:tr>
      <w:tr w:rsidR="002177F9" w14:paraId="7168B39D" w14:textId="77777777">
        <w:trPr>
          <w:cantSplit/>
          <w:jc w:val="center"/>
        </w:trPr>
        <w:tc>
          <w:tcPr>
            <w:tcW w:w="2683" w:type="dxa"/>
            <w:shd w:val="clear" w:color="auto" w:fill="F5F7F9"/>
            <w:tcMar>
              <w:top w:w="60" w:type="dxa"/>
              <w:left w:w="95" w:type="dxa"/>
              <w:bottom w:w="60" w:type="dxa"/>
              <w:right w:w="95" w:type="dxa"/>
            </w:tcMar>
            <w:vAlign w:val="center"/>
          </w:tcPr>
          <w:p w14:paraId="622CC896" w14:textId="77777777" w:rsidR="002177F9" w:rsidRDefault="00ED0D68">
            <w:pPr>
              <w:spacing w:before="80" w:after="80" w:line="247" w:lineRule="auto"/>
            </w:pPr>
            <w:r>
              <w:rPr>
                <w:color w:val="000000"/>
                <w:sz w:val="20"/>
              </w:rPr>
              <w:t>Équilibré</w:t>
            </w:r>
          </w:p>
        </w:tc>
        <w:tc>
          <w:tcPr>
            <w:tcW w:w="3776" w:type="dxa"/>
            <w:shd w:val="clear" w:color="auto" w:fill="F5F7F9"/>
            <w:tcMar>
              <w:top w:w="60" w:type="dxa"/>
              <w:left w:w="95" w:type="dxa"/>
              <w:bottom w:w="60" w:type="dxa"/>
              <w:right w:w="95" w:type="dxa"/>
            </w:tcMar>
            <w:vAlign w:val="center"/>
          </w:tcPr>
          <w:p w14:paraId="6B180C24" w14:textId="77777777" w:rsidR="002177F9" w:rsidRDefault="00ED0D68">
            <w:pPr>
              <w:spacing w:before="80" w:after="80" w:line="247" w:lineRule="auto"/>
            </w:pPr>
            <w:r>
              <w:rPr>
                <w:color w:val="000000"/>
                <w:sz w:val="20"/>
              </w:rPr>
              <w:t>Réduire la longueur achetée, puis le nombre de barres</w:t>
            </w:r>
          </w:p>
        </w:tc>
        <w:tc>
          <w:tcPr>
            <w:tcW w:w="3478" w:type="dxa"/>
            <w:shd w:val="clear" w:color="auto" w:fill="F5F7F9"/>
            <w:tcMar>
              <w:top w:w="60" w:type="dxa"/>
              <w:left w:w="95" w:type="dxa"/>
              <w:bottom w:w="60" w:type="dxa"/>
              <w:right w:w="95" w:type="dxa"/>
            </w:tcMar>
            <w:vAlign w:val="center"/>
          </w:tcPr>
          <w:p w14:paraId="14969F44" w14:textId="77777777" w:rsidR="002177F9" w:rsidRDefault="00ED0D68">
            <w:pPr>
              <w:spacing w:before="80" w:after="80" w:line="247" w:lineRule="auto"/>
            </w:pPr>
            <w:r>
              <w:rPr>
                <w:color w:val="000000"/>
                <w:sz w:val="20"/>
              </w:rPr>
              <w:t>Examiner aussi la diversité des plans</w:t>
            </w:r>
          </w:p>
        </w:tc>
      </w:tr>
      <w:tr w:rsidR="002177F9" w14:paraId="6B13F481" w14:textId="77777777">
        <w:trPr>
          <w:cantSplit/>
          <w:jc w:val="center"/>
        </w:trPr>
        <w:tc>
          <w:tcPr>
            <w:tcW w:w="2683" w:type="dxa"/>
            <w:shd w:val="clear" w:color="auto" w:fill="FFFFFF"/>
            <w:tcMar>
              <w:top w:w="60" w:type="dxa"/>
              <w:left w:w="95" w:type="dxa"/>
              <w:bottom w:w="60" w:type="dxa"/>
              <w:right w:w="95" w:type="dxa"/>
            </w:tcMar>
            <w:vAlign w:val="center"/>
          </w:tcPr>
          <w:p w14:paraId="58BF8BEA" w14:textId="77777777" w:rsidR="002177F9" w:rsidRDefault="00ED0D68">
            <w:pPr>
              <w:spacing w:before="80" w:after="80" w:line="247" w:lineRule="auto"/>
            </w:pPr>
            <w:r>
              <w:rPr>
                <w:color w:val="000000"/>
                <w:sz w:val="20"/>
              </w:rPr>
              <w:t>Simplicité de fabrication</w:t>
            </w:r>
          </w:p>
        </w:tc>
        <w:tc>
          <w:tcPr>
            <w:tcW w:w="3776" w:type="dxa"/>
            <w:shd w:val="clear" w:color="auto" w:fill="FFFFFF"/>
            <w:tcMar>
              <w:top w:w="60" w:type="dxa"/>
              <w:left w:w="95" w:type="dxa"/>
              <w:bottom w:w="60" w:type="dxa"/>
              <w:right w:w="95" w:type="dxa"/>
            </w:tcMar>
            <w:vAlign w:val="center"/>
          </w:tcPr>
          <w:p w14:paraId="47676FD7" w14:textId="77777777" w:rsidR="002177F9" w:rsidRDefault="00ED0D68">
            <w:pPr>
              <w:spacing w:before="80" w:after="80" w:line="247" w:lineRule="auto"/>
            </w:pPr>
            <w:r>
              <w:rPr>
                <w:color w:val="000000"/>
                <w:sz w:val="20"/>
              </w:rPr>
              <w:t>Réduire les schémas de découpe distincts</w:t>
            </w:r>
          </w:p>
        </w:tc>
        <w:tc>
          <w:tcPr>
            <w:tcW w:w="3478" w:type="dxa"/>
            <w:shd w:val="clear" w:color="auto" w:fill="FFFFFF"/>
            <w:tcMar>
              <w:top w:w="60" w:type="dxa"/>
              <w:left w:w="95" w:type="dxa"/>
              <w:bottom w:w="60" w:type="dxa"/>
              <w:right w:w="95" w:type="dxa"/>
            </w:tcMar>
            <w:vAlign w:val="center"/>
          </w:tcPr>
          <w:p w14:paraId="663A7128" w14:textId="77777777" w:rsidR="002177F9" w:rsidRDefault="00ED0D68">
            <w:pPr>
              <w:spacing w:before="80" w:after="80" w:line="247" w:lineRule="auto"/>
            </w:pPr>
            <w:r>
              <w:rPr>
                <w:color w:val="000000"/>
                <w:sz w:val="20"/>
              </w:rPr>
              <w:t>Accepter éventuellement davantage de matière si cela convient au chantier</w:t>
            </w:r>
          </w:p>
        </w:tc>
      </w:tr>
    </w:tbl>
    <w:p w14:paraId="7797E50F" w14:textId="77777777" w:rsidR="002177F9" w:rsidRDefault="002177F9">
      <w:pPr>
        <w:spacing w:after="20"/>
      </w:pPr>
    </w:p>
    <w:p w14:paraId="193B5561" w14:textId="77777777" w:rsidR="002177F9" w:rsidRDefault="00ED0D68">
      <w:r>
        <w:t>Les modes peuvent donner exactement le même résultat. Ils comparent des stratégies internes ; aucun mode ne garantit un optimum mathématique global ni un coût minimal.</w:t>
      </w:r>
    </w:p>
    <w:p w14:paraId="1447377E" w14:textId="77777777" w:rsidR="002177F9" w:rsidRDefault="00ED0D68">
      <w:r>
        <w:t>Pour chaque profil, cocher les longueurs utilisables. Les longueurs plus courtes que la plus petite découpe ne sont pas proposées. Vérifier qu’au moins une longueur peut accueillir la plus grande découpe. Dans cette version, une sélection insuffisante peut être remplacée automatiquement au calcul par les longueurs compatibles du référentiel : contrôler les longueurs effectivement retenues dans le résultat si le stock disponible constitue une contrainte stricte.</w:t>
      </w:r>
    </w:p>
    <w:p w14:paraId="0B289AAB" w14:textId="77777777" w:rsidR="002177F9" w:rsidRDefault="00ED0D68">
      <w:r>
        <w:t>Les chemins de câbles ne figurent pas dans ce choix de longueurs. Leur longueur commerciale provient du conditionnement de la base article, habituellement 3 m dans les références concernées.</w:t>
      </w:r>
    </w:p>
    <w:p w14:paraId="2FC246F2" w14:textId="77777777" w:rsidR="002177F9" w:rsidRDefault="00ED0D68">
      <w:pPr>
        <w:pStyle w:val="Titre2"/>
      </w:pPr>
      <w:r>
        <w:lastRenderedPageBreak/>
        <w:t>Calculer puis comparer</w:t>
      </w:r>
    </w:p>
    <w:p w14:paraId="4B288DED" w14:textId="77777777" w:rsidR="002177F9" w:rsidRDefault="00ED0D68">
      <w:r>
        <w:t>Cliquer sur « Calculer les modes sélectionnés → ». Le logiciel prépare les résultats et les contrôles. À ce stade, le classeur est encore en mémoire : aucun Excel n’est enregistré par le seul fait d’arriver à « Étude terminée ».</w:t>
      </w:r>
    </w:p>
    <w:p w14:paraId="6DD99908" w14:textId="77777777" w:rsidR="002177F9" w:rsidRDefault="00ED0D68">
      <w:r>
        <w:t>Le tableau final compare le rendement, le gain de longueur, le nombre de barres, la chute et le nombre de plans. Les « Points forts » signalent les meilleurs résultats parmi les modes calculés ; plusieurs modes peuvent partager les mêmes mentions. Le rendement est affiché avec deux décimales.</w:t>
      </w:r>
    </w:p>
    <w:p w14:paraId="4FD0C33D" w14:textId="77777777" w:rsidR="002177F9" w:rsidRDefault="00ED0D68">
      <w:r>
        <w:t>Si le bandeau indique « Contrôles : points à vérifier », générer l’Excel pour examiner la feuille masquée « Contrôles ». Le logiciel n’interdit pas systématiquement l’export lorsque des alertes sont présentes : leur résolution reste nécessaire avant l’utilisation métier des offres.</w:t>
      </w:r>
    </w:p>
    <w:p w14:paraId="16DED467" w14:textId="77777777" w:rsidR="002177F9" w:rsidRDefault="00ED0D68">
      <w:pPr>
        <w:pStyle w:val="Titre2"/>
      </w:pPr>
      <w:r>
        <w:t>Sélectionner les offres et produire les fichiers</w:t>
      </w:r>
    </w:p>
    <w:p w14:paraId="7D8733B4" w14:textId="77777777" w:rsidR="002177F9" w:rsidRDefault="00ED0D68">
      <w:r>
        <w:t>L’écran final propose « Offre Initiale » et les offres correspondant aux modes calculés : « Offre Equilibrée », « Offre Fabrication Simplifiée » et « Offre Economie Matière ». Ces cases sont cochées au départ.</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2177F9" w14:paraId="5EEF589D" w14:textId="77777777">
        <w:trPr>
          <w:cantSplit/>
          <w:tblHeader/>
          <w:jc w:val="center"/>
        </w:trPr>
        <w:tc>
          <w:tcPr>
            <w:tcW w:w="3875" w:type="dxa"/>
            <w:shd w:val="clear" w:color="auto" w:fill="DCE6F1"/>
            <w:tcMar>
              <w:top w:w="60" w:type="dxa"/>
              <w:left w:w="95" w:type="dxa"/>
              <w:bottom w:w="60" w:type="dxa"/>
              <w:right w:w="95" w:type="dxa"/>
            </w:tcMar>
            <w:vAlign w:val="center"/>
          </w:tcPr>
          <w:p w14:paraId="46D77AC0" w14:textId="77777777" w:rsidR="002177F9" w:rsidRDefault="00ED0D68">
            <w:pPr>
              <w:spacing w:before="80" w:after="80" w:line="247" w:lineRule="auto"/>
            </w:pPr>
            <w:r>
              <w:rPr>
                <w:b/>
                <w:color w:val="000000"/>
                <w:sz w:val="20"/>
              </w:rPr>
              <w:t>Action</w:t>
            </w:r>
          </w:p>
        </w:tc>
        <w:tc>
          <w:tcPr>
            <w:tcW w:w="6061" w:type="dxa"/>
            <w:shd w:val="clear" w:color="auto" w:fill="DCE6F1"/>
            <w:tcMar>
              <w:top w:w="60" w:type="dxa"/>
              <w:left w:w="95" w:type="dxa"/>
              <w:bottom w:w="60" w:type="dxa"/>
              <w:right w:w="95" w:type="dxa"/>
            </w:tcMar>
            <w:vAlign w:val="center"/>
          </w:tcPr>
          <w:p w14:paraId="538CE30D" w14:textId="77777777" w:rsidR="002177F9" w:rsidRDefault="00ED0D68">
            <w:pPr>
              <w:spacing w:before="80" w:after="80" w:line="247" w:lineRule="auto"/>
            </w:pPr>
            <w:r>
              <w:rPr>
                <w:b/>
                <w:color w:val="000000"/>
                <w:sz w:val="20"/>
              </w:rPr>
              <w:t>Effet réel</w:t>
            </w:r>
          </w:p>
        </w:tc>
      </w:tr>
      <w:tr w:rsidR="002177F9" w14:paraId="2C161664" w14:textId="77777777">
        <w:trPr>
          <w:cantSplit/>
          <w:jc w:val="center"/>
        </w:trPr>
        <w:tc>
          <w:tcPr>
            <w:tcW w:w="3875" w:type="dxa"/>
            <w:shd w:val="clear" w:color="auto" w:fill="FFFFFF"/>
            <w:tcMar>
              <w:top w:w="60" w:type="dxa"/>
              <w:left w:w="95" w:type="dxa"/>
              <w:bottom w:w="60" w:type="dxa"/>
              <w:right w:w="95" w:type="dxa"/>
            </w:tcMar>
            <w:vAlign w:val="center"/>
          </w:tcPr>
          <w:p w14:paraId="1F2778A5" w14:textId="77777777" w:rsidR="002177F9" w:rsidRDefault="00ED0D68">
            <w:pPr>
              <w:spacing w:before="80" w:after="80" w:line="247" w:lineRule="auto"/>
            </w:pPr>
            <w:r>
              <w:rPr>
                <w:color w:val="000000"/>
                <w:sz w:val="20"/>
              </w:rPr>
              <w:t>Générer tous les exports sélectionnés</w:t>
            </w:r>
          </w:p>
        </w:tc>
        <w:tc>
          <w:tcPr>
            <w:tcW w:w="6061" w:type="dxa"/>
            <w:shd w:val="clear" w:color="auto" w:fill="FFFFFF"/>
            <w:tcMar>
              <w:top w:w="60" w:type="dxa"/>
              <w:left w:w="95" w:type="dxa"/>
              <w:bottom w:w="60" w:type="dxa"/>
              <w:right w:w="95" w:type="dxa"/>
            </w:tcMar>
            <w:vAlign w:val="center"/>
          </w:tcPr>
          <w:p w14:paraId="484C2436" w14:textId="77777777" w:rsidR="002177F9" w:rsidRDefault="00ED0D68">
            <w:pPr>
              <w:spacing w:before="80" w:after="80" w:line="247" w:lineRule="auto"/>
            </w:pPr>
            <w:r>
              <w:rPr>
                <w:color w:val="000000"/>
                <w:sz w:val="20"/>
              </w:rPr>
              <w:t>Écrit un CSV EQ pour chaque offre cochée</w:t>
            </w:r>
          </w:p>
        </w:tc>
      </w:tr>
      <w:tr w:rsidR="002177F9" w14:paraId="4BAC8CB6" w14:textId="77777777">
        <w:trPr>
          <w:cantSplit/>
          <w:jc w:val="center"/>
        </w:trPr>
        <w:tc>
          <w:tcPr>
            <w:tcW w:w="3875" w:type="dxa"/>
            <w:shd w:val="clear" w:color="auto" w:fill="F5F7F9"/>
            <w:tcMar>
              <w:top w:w="60" w:type="dxa"/>
              <w:left w:w="95" w:type="dxa"/>
              <w:bottom w:w="60" w:type="dxa"/>
              <w:right w:w="95" w:type="dxa"/>
            </w:tcMar>
            <w:vAlign w:val="center"/>
          </w:tcPr>
          <w:p w14:paraId="6665CDF2" w14:textId="77777777" w:rsidR="002177F9" w:rsidRDefault="00ED0D68">
            <w:pPr>
              <w:spacing w:before="80" w:after="80" w:line="247" w:lineRule="auto"/>
            </w:pPr>
            <w:r>
              <w:rPr>
                <w:color w:val="000000"/>
                <w:sz w:val="20"/>
              </w:rPr>
              <w:t>Générer l’étude excel</w:t>
            </w:r>
          </w:p>
        </w:tc>
        <w:tc>
          <w:tcPr>
            <w:tcW w:w="6061" w:type="dxa"/>
            <w:shd w:val="clear" w:color="auto" w:fill="F5F7F9"/>
            <w:tcMar>
              <w:top w:w="60" w:type="dxa"/>
              <w:left w:w="95" w:type="dxa"/>
              <w:bottom w:w="60" w:type="dxa"/>
              <w:right w:w="95" w:type="dxa"/>
            </w:tcMar>
            <w:vAlign w:val="center"/>
          </w:tcPr>
          <w:p w14:paraId="6A9AB206" w14:textId="77777777" w:rsidR="002177F9" w:rsidRDefault="00ED0D68">
            <w:pPr>
              <w:spacing w:before="80" w:after="80" w:line="247" w:lineRule="auto"/>
            </w:pPr>
            <w:r>
              <w:rPr>
                <w:color w:val="000000"/>
                <w:sz w:val="20"/>
              </w:rPr>
              <w:t>Enregistre le classeur avec les feuilles des modes optimisés cochés</w:t>
            </w:r>
          </w:p>
        </w:tc>
      </w:tr>
      <w:tr w:rsidR="002177F9" w14:paraId="18834395" w14:textId="77777777">
        <w:trPr>
          <w:cantSplit/>
          <w:jc w:val="center"/>
        </w:trPr>
        <w:tc>
          <w:tcPr>
            <w:tcW w:w="3875" w:type="dxa"/>
            <w:shd w:val="clear" w:color="auto" w:fill="FFFFFF"/>
            <w:tcMar>
              <w:top w:w="60" w:type="dxa"/>
              <w:left w:w="95" w:type="dxa"/>
              <w:bottom w:w="60" w:type="dxa"/>
              <w:right w:w="95" w:type="dxa"/>
            </w:tcMar>
            <w:vAlign w:val="center"/>
          </w:tcPr>
          <w:p w14:paraId="359EF79D" w14:textId="77777777" w:rsidR="002177F9" w:rsidRDefault="00ED0D68">
            <w:pPr>
              <w:spacing w:before="80" w:after="80" w:line="247" w:lineRule="auto"/>
            </w:pPr>
            <w:r>
              <w:rPr>
                <w:color w:val="000000"/>
                <w:sz w:val="20"/>
              </w:rPr>
              <w:t>Ouvrir le dossier</w:t>
            </w:r>
          </w:p>
        </w:tc>
        <w:tc>
          <w:tcPr>
            <w:tcW w:w="6061" w:type="dxa"/>
            <w:shd w:val="clear" w:color="auto" w:fill="FFFFFF"/>
            <w:tcMar>
              <w:top w:w="60" w:type="dxa"/>
              <w:left w:w="95" w:type="dxa"/>
              <w:bottom w:w="60" w:type="dxa"/>
              <w:right w:w="95" w:type="dxa"/>
            </w:tcMar>
            <w:vAlign w:val="center"/>
          </w:tcPr>
          <w:p w14:paraId="2E8DFF2E" w14:textId="77777777" w:rsidR="002177F9" w:rsidRDefault="00ED0D68">
            <w:pPr>
              <w:spacing w:before="80" w:after="80" w:line="247" w:lineRule="auto"/>
            </w:pPr>
            <w:r>
              <w:rPr>
                <w:color w:val="000000"/>
                <w:sz w:val="20"/>
              </w:rPr>
              <w:t>Ouvre le dossier contenant le CSV source et les résultats</w:t>
            </w:r>
          </w:p>
        </w:tc>
      </w:tr>
      <w:tr w:rsidR="002177F9" w14:paraId="50EDFA52" w14:textId="77777777">
        <w:trPr>
          <w:cantSplit/>
          <w:jc w:val="center"/>
        </w:trPr>
        <w:tc>
          <w:tcPr>
            <w:tcW w:w="3875" w:type="dxa"/>
            <w:shd w:val="clear" w:color="auto" w:fill="F5F7F9"/>
            <w:tcMar>
              <w:top w:w="60" w:type="dxa"/>
              <w:left w:w="95" w:type="dxa"/>
              <w:bottom w:w="60" w:type="dxa"/>
              <w:right w:w="95" w:type="dxa"/>
            </w:tcMar>
            <w:vAlign w:val="center"/>
          </w:tcPr>
          <w:p w14:paraId="7EC4639F" w14:textId="77777777" w:rsidR="002177F9" w:rsidRDefault="00ED0D68">
            <w:pPr>
              <w:spacing w:before="80" w:after="80" w:line="247" w:lineRule="auto"/>
            </w:pPr>
            <w:r>
              <w:rPr>
                <w:color w:val="000000"/>
                <w:sz w:val="20"/>
              </w:rPr>
              <w:t>Traiter un autre dossier</w:t>
            </w:r>
          </w:p>
        </w:tc>
        <w:tc>
          <w:tcPr>
            <w:tcW w:w="6061" w:type="dxa"/>
            <w:shd w:val="clear" w:color="auto" w:fill="F5F7F9"/>
            <w:tcMar>
              <w:top w:w="60" w:type="dxa"/>
              <w:left w:w="95" w:type="dxa"/>
              <w:bottom w:w="60" w:type="dxa"/>
              <w:right w:w="95" w:type="dxa"/>
            </w:tcMar>
            <w:vAlign w:val="center"/>
          </w:tcPr>
          <w:p w14:paraId="4F2EC951" w14:textId="77777777" w:rsidR="002177F9" w:rsidRDefault="00ED0D68">
            <w:pPr>
              <w:spacing w:before="80" w:after="80" w:line="247" w:lineRule="auto"/>
            </w:pPr>
            <w:r>
              <w:rPr>
                <w:color w:val="000000"/>
                <w:sz w:val="20"/>
              </w:rPr>
              <w:t>Revient à la sélection de fichiers pour une nouvelle étude</w:t>
            </w:r>
          </w:p>
        </w:tc>
      </w:tr>
      <w:tr w:rsidR="002177F9" w14:paraId="0D0B3170" w14:textId="77777777">
        <w:trPr>
          <w:cantSplit/>
          <w:jc w:val="center"/>
        </w:trPr>
        <w:tc>
          <w:tcPr>
            <w:tcW w:w="3875" w:type="dxa"/>
            <w:shd w:val="clear" w:color="auto" w:fill="FFFFFF"/>
            <w:tcMar>
              <w:top w:w="60" w:type="dxa"/>
              <w:left w:w="95" w:type="dxa"/>
              <w:bottom w:w="60" w:type="dxa"/>
              <w:right w:w="95" w:type="dxa"/>
            </w:tcMar>
            <w:vAlign w:val="center"/>
          </w:tcPr>
          <w:p w14:paraId="54A90A15" w14:textId="77777777" w:rsidR="002177F9" w:rsidRDefault="00ED0D68">
            <w:pPr>
              <w:spacing w:before="80" w:after="80" w:line="247" w:lineRule="auto"/>
            </w:pPr>
            <w:r>
              <w:rPr>
                <w:color w:val="000000"/>
                <w:sz w:val="20"/>
              </w:rPr>
              <w:t>Fermer l’application</w:t>
            </w:r>
          </w:p>
        </w:tc>
        <w:tc>
          <w:tcPr>
            <w:tcW w:w="6061" w:type="dxa"/>
            <w:shd w:val="clear" w:color="auto" w:fill="FFFFFF"/>
            <w:tcMar>
              <w:top w:w="60" w:type="dxa"/>
              <w:left w:w="95" w:type="dxa"/>
              <w:bottom w:w="60" w:type="dxa"/>
              <w:right w:w="95" w:type="dxa"/>
            </w:tcMar>
            <w:vAlign w:val="center"/>
          </w:tcPr>
          <w:p w14:paraId="73F4AFDA" w14:textId="77777777" w:rsidR="002177F9" w:rsidRDefault="00ED0D68">
            <w:pPr>
              <w:spacing w:before="80" w:after="80" w:line="247" w:lineRule="auto"/>
            </w:pPr>
            <w:r>
              <w:rPr>
                <w:color w:val="000000"/>
                <w:sz w:val="20"/>
              </w:rPr>
              <w:t>Ferme le logiciel ; les résultats non générés ne sont pas enregistrés</w:t>
            </w:r>
          </w:p>
        </w:tc>
      </w:tr>
    </w:tbl>
    <w:p w14:paraId="01745741" w14:textId="77777777" w:rsidR="002177F9" w:rsidRDefault="002177F9">
      <w:pPr>
        <w:spacing w:after="20"/>
      </w:pPr>
    </w:p>
    <w:p w14:paraId="6744099D" w14:textId="77777777" w:rsidR="002177F9" w:rsidRDefault="00ED0D68">
      <w:r>
        <w:t>Les deux boutons de génération sont indépendants : produire les CSV EQ ne produit pas automatiquement l’Excel, et inversement. Attendre le message confirmant la création des fichiers dans la zone de statut.</w:t>
      </w:r>
    </w:p>
    <w:p w14:paraId="3831C44C" w14:textId="77777777" w:rsidR="002177F9" w:rsidRDefault="00ED0D68">
      <w:r>
        <w:t>La case « Offre Initiale » commande son export EQ. La feuille « Offre initiale » reste présente dans l’Excel même si cette case est décochée. Pour les modes optimisés, décocher une offre retire ses feuilles de l’Excel généré. La synthèse masque les lignes des modes non retenus.</w:t>
      </w:r>
    </w:p>
    <w:p w14:paraId="68446B01" w14:textId="77777777" w:rsidR="002177F9" w:rsidRDefault="00ED0D68">
      <w:r>
        <w:t>Vous pouvez changer les cases et générer à nouveau l’Excel sans recalculer l’étude. Le même fichier est remplacé. Pour conserver plusieurs variantes, copier ou renommer le résultat entre deux générations.</w:t>
      </w:r>
    </w:p>
    <w:p w14:paraId="23C9E593" w14:textId="77777777" w:rsidR="002177F9" w:rsidRDefault="00ED0D68">
      <w:pPr>
        <w:pStyle w:val="Titre1"/>
      </w:pPr>
      <w:bookmarkStart w:id="3" w:name="_Toc241409727"/>
      <w:r>
        <w:t>4 Comprendre les fichiers produits</w:t>
      </w:r>
      <w:bookmarkEnd w:id="3"/>
    </w:p>
    <w:p w14:paraId="1378F493" w14:textId="77777777" w:rsidR="002177F9" w:rsidRDefault="00ED0D68">
      <w:pPr>
        <w:pStyle w:val="Titre2"/>
      </w:pPr>
      <w:r>
        <w:t>Le classeur Excel</w:t>
      </w:r>
    </w:p>
    <w:p w14:paraId="224B5969" w14:textId="77777777" w:rsidR="002177F9" w:rsidRDefault="00ED0D68">
      <w:r>
        <w:t xml:space="preserve">Un CSV </w:t>
      </w:r>
      <w:r>
        <w:rPr>
          <w:rFonts w:ascii="Consolas" w:hAnsi="Consolas"/>
          <w:sz w:val="19"/>
        </w:rPr>
        <w:t>Chantier.csv</w:t>
      </w:r>
      <w:r>
        <w:t xml:space="preserve"> produit </w:t>
      </w:r>
      <w:r>
        <w:rPr>
          <w:rFonts w:ascii="Consolas" w:hAnsi="Consolas"/>
          <w:sz w:val="19"/>
        </w:rPr>
        <w:t>Chantier.xlsx</w:t>
      </w:r>
      <w:r>
        <w:t xml:space="preserve"> dans le même dossier. Le CSV d’origine est conservé. Les feuilles visibles sont les suivantes.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875"/>
        <w:gridCol w:w="6061"/>
      </w:tblGrid>
      <w:tr w:rsidR="002177F9" w14:paraId="3275FF32" w14:textId="77777777">
        <w:trPr>
          <w:cantSplit/>
          <w:tblHeader/>
          <w:jc w:val="center"/>
        </w:trPr>
        <w:tc>
          <w:tcPr>
            <w:tcW w:w="3875" w:type="dxa"/>
            <w:shd w:val="clear" w:color="auto" w:fill="DCE6F1"/>
            <w:tcMar>
              <w:top w:w="60" w:type="dxa"/>
              <w:left w:w="95" w:type="dxa"/>
              <w:bottom w:w="60" w:type="dxa"/>
              <w:right w:w="95" w:type="dxa"/>
            </w:tcMar>
            <w:vAlign w:val="center"/>
          </w:tcPr>
          <w:p w14:paraId="3FB1D8DA" w14:textId="77777777" w:rsidR="002177F9" w:rsidRDefault="00ED0D68">
            <w:pPr>
              <w:spacing w:before="80" w:after="80" w:line="247" w:lineRule="auto"/>
            </w:pPr>
            <w:r>
              <w:rPr>
                <w:b/>
                <w:color w:val="000000"/>
                <w:sz w:val="20"/>
              </w:rPr>
              <w:t>Feuille</w:t>
            </w:r>
          </w:p>
        </w:tc>
        <w:tc>
          <w:tcPr>
            <w:tcW w:w="6061" w:type="dxa"/>
            <w:shd w:val="clear" w:color="auto" w:fill="DCE6F1"/>
            <w:tcMar>
              <w:top w:w="60" w:type="dxa"/>
              <w:left w:w="95" w:type="dxa"/>
              <w:bottom w:w="60" w:type="dxa"/>
              <w:right w:w="95" w:type="dxa"/>
            </w:tcMar>
            <w:vAlign w:val="center"/>
          </w:tcPr>
          <w:p w14:paraId="24D8F684" w14:textId="77777777" w:rsidR="002177F9" w:rsidRDefault="00ED0D68">
            <w:pPr>
              <w:spacing w:before="80" w:after="80" w:line="247" w:lineRule="auto"/>
            </w:pPr>
            <w:r>
              <w:rPr>
                <w:b/>
                <w:color w:val="000000"/>
                <w:sz w:val="20"/>
              </w:rPr>
              <w:t>Utilisation</w:t>
            </w:r>
          </w:p>
        </w:tc>
      </w:tr>
      <w:tr w:rsidR="002177F9" w14:paraId="40405105" w14:textId="77777777">
        <w:trPr>
          <w:cantSplit/>
          <w:jc w:val="center"/>
        </w:trPr>
        <w:tc>
          <w:tcPr>
            <w:tcW w:w="3875" w:type="dxa"/>
            <w:shd w:val="clear" w:color="auto" w:fill="FFFFFF"/>
            <w:tcMar>
              <w:top w:w="60" w:type="dxa"/>
              <w:left w:w="95" w:type="dxa"/>
              <w:bottom w:w="60" w:type="dxa"/>
              <w:right w:w="95" w:type="dxa"/>
            </w:tcMar>
            <w:vAlign w:val="center"/>
          </w:tcPr>
          <w:p w14:paraId="73CBE173" w14:textId="77777777" w:rsidR="002177F9" w:rsidRDefault="00ED0D68">
            <w:pPr>
              <w:spacing w:before="80" w:after="80" w:line="247" w:lineRule="auto"/>
            </w:pPr>
            <w:r>
              <w:rPr>
                <w:color w:val="000000"/>
                <w:sz w:val="20"/>
              </w:rPr>
              <w:t>Nomenclature par support</w:t>
            </w:r>
          </w:p>
        </w:tc>
        <w:tc>
          <w:tcPr>
            <w:tcW w:w="6061" w:type="dxa"/>
            <w:shd w:val="clear" w:color="auto" w:fill="FFFFFF"/>
            <w:tcMar>
              <w:top w:w="60" w:type="dxa"/>
              <w:left w:w="95" w:type="dxa"/>
              <w:bottom w:w="60" w:type="dxa"/>
              <w:right w:w="95" w:type="dxa"/>
            </w:tcMar>
            <w:vAlign w:val="center"/>
          </w:tcPr>
          <w:p w14:paraId="6F94F322" w14:textId="77777777" w:rsidR="002177F9" w:rsidRDefault="00ED0D68">
            <w:pPr>
              <w:spacing w:before="80" w:after="80" w:line="247" w:lineRule="auto"/>
            </w:pPr>
            <w:r>
              <w:rPr>
                <w:color w:val="000000"/>
                <w:sz w:val="20"/>
              </w:rPr>
              <w:t>Lire les quantités pour un support, son nombre et son espacement</w:t>
            </w:r>
          </w:p>
        </w:tc>
      </w:tr>
      <w:tr w:rsidR="002177F9" w14:paraId="3A91ABEE" w14:textId="77777777">
        <w:trPr>
          <w:cantSplit/>
          <w:jc w:val="center"/>
        </w:trPr>
        <w:tc>
          <w:tcPr>
            <w:tcW w:w="3875" w:type="dxa"/>
            <w:shd w:val="clear" w:color="auto" w:fill="F5F7F9"/>
            <w:tcMar>
              <w:top w:w="60" w:type="dxa"/>
              <w:left w:w="95" w:type="dxa"/>
              <w:bottom w:w="60" w:type="dxa"/>
              <w:right w:w="95" w:type="dxa"/>
            </w:tcMar>
            <w:vAlign w:val="center"/>
          </w:tcPr>
          <w:p w14:paraId="7E70F56B" w14:textId="77777777" w:rsidR="002177F9" w:rsidRDefault="00ED0D68">
            <w:pPr>
              <w:spacing w:before="80" w:after="80" w:line="247" w:lineRule="auto"/>
            </w:pPr>
            <w:r>
              <w:rPr>
                <w:color w:val="000000"/>
                <w:sz w:val="20"/>
              </w:rPr>
              <w:lastRenderedPageBreak/>
              <w:t>Offre initiale</w:t>
            </w:r>
          </w:p>
        </w:tc>
        <w:tc>
          <w:tcPr>
            <w:tcW w:w="6061" w:type="dxa"/>
            <w:shd w:val="clear" w:color="auto" w:fill="F5F7F9"/>
            <w:tcMar>
              <w:top w:w="60" w:type="dxa"/>
              <w:left w:w="95" w:type="dxa"/>
              <w:bottom w:w="60" w:type="dxa"/>
              <w:right w:w="95" w:type="dxa"/>
            </w:tcMar>
            <w:vAlign w:val="center"/>
          </w:tcPr>
          <w:p w14:paraId="4E840A73" w14:textId="77777777" w:rsidR="002177F9" w:rsidRDefault="00ED0D68">
            <w:pPr>
              <w:spacing w:before="80" w:after="80" w:line="247" w:lineRule="auto"/>
            </w:pPr>
            <w:r>
              <w:rPr>
                <w:color w:val="000000"/>
                <w:sz w:val="20"/>
              </w:rPr>
              <w:t>Consulter l’offre avant optimisation des découpes, déjà enrichie par les référentiels</w:t>
            </w:r>
          </w:p>
        </w:tc>
      </w:tr>
      <w:tr w:rsidR="002177F9" w14:paraId="0F32620F" w14:textId="77777777">
        <w:trPr>
          <w:cantSplit/>
          <w:jc w:val="center"/>
        </w:trPr>
        <w:tc>
          <w:tcPr>
            <w:tcW w:w="3875" w:type="dxa"/>
            <w:shd w:val="clear" w:color="auto" w:fill="FFFFFF"/>
            <w:tcMar>
              <w:top w:w="60" w:type="dxa"/>
              <w:left w:w="95" w:type="dxa"/>
              <w:bottom w:w="60" w:type="dxa"/>
              <w:right w:w="95" w:type="dxa"/>
            </w:tcMar>
            <w:vAlign w:val="center"/>
          </w:tcPr>
          <w:p w14:paraId="017D8E40" w14:textId="77777777" w:rsidR="002177F9" w:rsidRDefault="00ED0D68">
            <w:pPr>
              <w:spacing w:before="80" w:after="80" w:line="247" w:lineRule="auto"/>
            </w:pPr>
            <w:r>
              <w:rPr>
                <w:color w:val="000000"/>
                <w:sz w:val="20"/>
              </w:rPr>
              <w:t>Synthèse optimisation</w:t>
            </w:r>
          </w:p>
        </w:tc>
        <w:tc>
          <w:tcPr>
            <w:tcW w:w="6061" w:type="dxa"/>
            <w:shd w:val="clear" w:color="auto" w:fill="FFFFFF"/>
            <w:tcMar>
              <w:top w:w="60" w:type="dxa"/>
              <w:left w:w="95" w:type="dxa"/>
              <w:bottom w:w="60" w:type="dxa"/>
              <w:right w:w="95" w:type="dxa"/>
            </w:tcMar>
            <w:vAlign w:val="center"/>
          </w:tcPr>
          <w:p w14:paraId="48C6D6FC" w14:textId="77777777" w:rsidR="002177F9" w:rsidRDefault="00ED0D68">
            <w:pPr>
              <w:spacing w:before="80" w:after="80" w:line="247" w:lineRule="auto"/>
            </w:pPr>
            <w:r>
              <w:rPr>
                <w:color w:val="000000"/>
                <w:sz w:val="20"/>
              </w:rPr>
              <w:t>Comparer les indicateurs des modes retenus à la génération</w:t>
            </w:r>
          </w:p>
        </w:tc>
      </w:tr>
      <w:tr w:rsidR="002177F9" w14:paraId="7DC487D9" w14:textId="77777777">
        <w:trPr>
          <w:cantSplit/>
          <w:jc w:val="center"/>
        </w:trPr>
        <w:tc>
          <w:tcPr>
            <w:tcW w:w="3875" w:type="dxa"/>
            <w:shd w:val="clear" w:color="auto" w:fill="F5F7F9"/>
            <w:tcMar>
              <w:top w:w="60" w:type="dxa"/>
              <w:left w:w="95" w:type="dxa"/>
              <w:bottom w:w="60" w:type="dxa"/>
              <w:right w:w="95" w:type="dxa"/>
            </w:tcMar>
            <w:vAlign w:val="center"/>
          </w:tcPr>
          <w:p w14:paraId="1AE89698" w14:textId="77777777" w:rsidR="002177F9" w:rsidRDefault="00ED0D68">
            <w:pPr>
              <w:spacing w:before="80" w:after="80" w:line="247" w:lineRule="auto"/>
            </w:pPr>
            <w:r>
              <w:rPr>
                <w:color w:val="000000"/>
                <w:sz w:val="20"/>
              </w:rPr>
              <w:t>Opti globale - Équilibré, Matière ou Fabrication</w:t>
            </w:r>
          </w:p>
        </w:tc>
        <w:tc>
          <w:tcPr>
            <w:tcW w:w="6061" w:type="dxa"/>
            <w:shd w:val="clear" w:color="auto" w:fill="F5F7F9"/>
            <w:tcMar>
              <w:top w:w="60" w:type="dxa"/>
              <w:left w:w="95" w:type="dxa"/>
              <w:bottom w:w="60" w:type="dxa"/>
              <w:right w:w="95" w:type="dxa"/>
            </w:tcMar>
            <w:vAlign w:val="center"/>
          </w:tcPr>
          <w:p w14:paraId="67E60116" w14:textId="77777777" w:rsidR="002177F9" w:rsidRDefault="00ED0D68">
            <w:pPr>
              <w:spacing w:before="80" w:after="80" w:line="247" w:lineRule="auto"/>
            </w:pPr>
            <w:r>
              <w:rPr>
                <w:color w:val="000000"/>
                <w:sz w:val="20"/>
              </w:rPr>
              <w:t>Consulter les articles et quantités à chiffrer pour ce mode</w:t>
            </w:r>
          </w:p>
        </w:tc>
      </w:tr>
      <w:tr w:rsidR="002177F9" w14:paraId="7FC50F4A" w14:textId="77777777">
        <w:trPr>
          <w:cantSplit/>
          <w:jc w:val="center"/>
        </w:trPr>
        <w:tc>
          <w:tcPr>
            <w:tcW w:w="3875" w:type="dxa"/>
            <w:shd w:val="clear" w:color="auto" w:fill="FFFFFF"/>
            <w:tcMar>
              <w:top w:w="60" w:type="dxa"/>
              <w:left w:w="95" w:type="dxa"/>
              <w:bottom w:w="60" w:type="dxa"/>
              <w:right w:w="95" w:type="dxa"/>
            </w:tcMar>
            <w:vAlign w:val="center"/>
          </w:tcPr>
          <w:p w14:paraId="779C8E62" w14:textId="77777777" w:rsidR="002177F9" w:rsidRDefault="00ED0D68">
            <w:pPr>
              <w:spacing w:before="80" w:after="80" w:line="247" w:lineRule="auto"/>
            </w:pPr>
            <w:r>
              <w:rPr>
                <w:color w:val="000000"/>
                <w:sz w:val="20"/>
              </w:rPr>
              <w:t>Plan découpe - Équilibré, Matière ou Fabrication</w:t>
            </w:r>
          </w:p>
        </w:tc>
        <w:tc>
          <w:tcPr>
            <w:tcW w:w="6061" w:type="dxa"/>
            <w:shd w:val="clear" w:color="auto" w:fill="FFFFFF"/>
            <w:tcMar>
              <w:top w:w="60" w:type="dxa"/>
              <w:left w:w="95" w:type="dxa"/>
              <w:bottom w:w="60" w:type="dxa"/>
              <w:right w:w="95" w:type="dxa"/>
            </w:tcMar>
            <w:vAlign w:val="center"/>
          </w:tcPr>
          <w:p w14:paraId="4C0F3DDC" w14:textId="77777777" w:rsidR="002177F9" w:rsidRDefault="00ED0D68">
            <w:pPr>
              <w:spacing w:before="80" w:after="80" w:line="247" w:lineRule="auto"/>
            </w:pPr>
            <w:r>
              <w:rPr>
                <w:color w:val="000000"/>
                <w:sz w:val="20"/>
              </w:rPr>
              <w:t>Lire les schémas de découpe et les indicateurs de chaque mode</w:t>
            </w:r>
          </w:p>
        </w:tc>
      </w:tr>
    </w:tbl>
    <w:p w14:paraId="45E87914" w14:textId="77777777" w:rsidR="002177F9" w:rsidRDefault="002177F9">
      <w:pPr>
        <w:spacing w:after="20"/>
      </w:pPr>
    </w:p>
    <w:p w14:paraId="0279BD06" w14:textId="77777777" w:rsidR="002177F9" w:rsidRDefault="00ED0D68">
      <w:r>
        <w:t>Les feuilles « Contrôles », « Etude Globale », « Nomenclature totale pour opti », « Opti pcs », « Opti Chemin de câbles », « Opti longueurs - … » et « _Paramètres » sont masquées. Pour consulter l’une d’elles dans Excel, faire un clic droit sur un onglet de feuille, choisir « Afficher », puis sélectionner la feuille voulue.</w:t>
      </w:r>
    </w:p>
    <w:p w14:paraId="135550F8" w14:textId="77777777" w:rsidR="002177F9" w:rsidRDefault="00ED0D68">
      <w:r>
        <w:t>Ces feuilles masquées restent contenues dans le fichier. Le masquage facilite la lecture ; il ne protège pas les données. « _Paramètres » conserve notamment les chemins des fichiers source, les modes calculés, les options et les longueurs effectives. Elle décrit le calcul initial, même si certains modes ont été retirés lors de la génération finale.</w:t>
      </w:r>
    </w:p>
    <w:p w14:paraId="4B100001" w14:textId="77777777" w:rsidR="002177F9" w:rsidRDefault="00ED0D68">
      <w:r>
        <w:t>La mise en page des feuilles visibles est préparée au format A4, sur une page en largeur et autant de pages que nécessaire en hauteur. Vérifier l’aperçu avant impression, surtout pour une nomenclature importante.</w:t>
      </w:r>
    </w:p>
    <w:p w14:paraId="3FDD02E6" w14:textId="77777777" w:rsidR="002177F9" w:rsidRDefault="00ED0D68">
      <w:pPr>
        <w:pStyle w:val="Titre2"/>
      </w:pPr>
      <w:r>
        <w:t>Les exports EQ</w:t>
      </w:r>
    </w:p>
    <w:p w14:paraId="1CC517E9" w14:textId="77777777" w:rsidR="002177F9" w:rsidRDefault="00ED0D68">
      <w:r>
        <w:t>Les fichiers sont créés dans le dossier du CSV. Voici les suffixes ajoutés au nom de l’étude, avec une date au format année-mois-jour.</w:t>
      </w:r>
    </w:p>
    <w:p w14:paraId="5032FDC4" w14:textId="77777777" w:rsidR="002177F9" w:rsidRDefault="00ED0D68">
      <w:pPr>
        <w:pStyle w:val="Listepuces"/>
      </w:pPr>
      <w:r>
        <w:t xml:space="preserve">Offre initiale : </w:t>
      </w:r>
      <w:r>
        <w:rPr>
          <w:rFonts w:ascii="Consolas" w:hAnsi="Consolas"/>
          <w:sz w:val="19"/>
        </w:rPr>
        <w:t>EQ_IMPORT_OFFRE_YYYY-MM-DD.csv</w:t>
      </w:r>
      <w:r>
        <w:t>.</w:t>
      </w:r>
    </w:p>
    <w:p w14:paraId="4F3E23EA" w14:textId="77777777" w:rsidR="002177F9" w:rsidRDefault="00ED0D68">
      <w:pPr>
        <w:pStyle w:val="Listepuces"/>
      </w:pPr>
      <w:r>
        <w:t xml:space="preserve">Offre équilibrée : </w:t>
      </w:r>
      <w:r>
        <w:rPr>
          <w:rFonts w:ascii="Consolas" w:hAnsi="Consolas"/>
          <w:sz w:val="19"/>
        </w:rPr>
        <w:t>EQ_IMPORT_OPTI_EQUILIBRE_OFFRE_YYYY-MM-DD.csv</w:t>
      </w:r>
      <w:r>
        <w:t>.</w:t>
      </w:r>
    </w:p>
    <w:p w14:paraId="1DF4AE70" w14:textId="77777777" w:rsidR="002177F9" w:rsidRDefault="00ED0D68">
      <w:pPr>
        <w:pStyle w:val="Listepuces"/>
      </w:pPr>
      <w:r>
        <w:t xml:space="preserve">Offre fabrication simplifiée : </w:t>
      </w:r>
      <w:r>
        <w:rPr>
          <w:rFonts w:ascii="Consolas" w:hAnsi="Consolas"/>
          <w:sz w:val="19"/>
        </w:rPr>
        <w:t>EQ_IMPORT_OPTI_FABRICATION_OFFRE_YYYY-MM-DD.csv</w:t>
      </w:r>
      <w:r>
        <w:t>.</w:t>
      </w:r>
    </w:p>
    <w:p w14:paraId="4ED4BDC7" w14:textId="77777777" w:rsidR="002177F9" w:rsidRDefault="00ED0D68">
      <w:pPr>
        <w:pStyle w:val="Listepuces"/>
      </w:pPr>
      <w:r>
        <w:t xml:space="preserve">Offre économie matière : </w:t>
      </w:r>
      <w:r>
        <w:rPr>
          <w:rFonts w:ascii="Consolas" w:hAnsi="Consolas"/>
          <w:sz w:val="19"/>
        </w:rPr>
        <w:t>EQ_IMPORT_OPTI_MATIERE_OFFRE_YYYY-MM-DD.csv</w:t>
      </w:r>
      <w:r>
        <w:t>.</w:t>
      </w:r>
    </w:p>
    <w:p w14:paraId="528152E2" w14:textId="77777777" w:rsidR="002177F9" w:rsidRDefault="00ED0D68">
      <w:r>
        <w:t>Le CSV EQ contient 47 colonnes, séparées par des virgules, en UTF-8 sans BOM. Il regroupe les articles par catégorie avec des lignes de commentaire. Éviter de le réenregistrer dans Excel avant l’import, car le séparateur, l’encodage ou les codes pourraient changer. L’import dans EQ reste une opération distincte à réaliser selon la procédure de l’entreprise.</w:t>
      </w:r>
    </w:p>
    <w:p w14:paraId="46558EE7" w14:textId="77777777" w:rsidR="002177F9" w:rsidRDefault="00ED0D68">
      <w:pPr>
        <w:pStyle w:val="Titre1"/>
      </w:pPr>
      <w:bookmarkStart w:id="4" w:name="_Toc241409728"/>
      <w:r>
        <w:t>5 Options importantes</w:t>
      </w:r>
      <w:bookmarkEnd w:id="4"/>
    </w:p>
    <w:p w14:paraId="5B5815D9" w14:textId="77777777" w:rsidR="002177F9" w:rsidRDefault="00ED0D68">
      <w:pPr>
        <w:pStyle w:val="Titre2"/>
      </w:pPr>
      <w:r>
        <w:t>Prioriser les longueurs exactes</w:t>
      </w:r>
    </w:p>
    <w:p w14:paraId="5D4B0F2E" w14:textId="77777777" w:rsidR="002177F9" w:rsidRDefault="00ED0D68">
      <w:r>
        <w:t>L’option « Prioriser les longueurs exactes / prédécoupées » est activée au démarrage. Une découpe qui correspond exactement à une longueur commerciale sélectionnée reçoit d’abord une barre de cette longueur. Les autres découpes sont ensuite réparties dans les barres autorisées.</w:t>
      </w:r>
    </w:p>
    <w:p w14:paraId="23924063" w14:textId="77777777" w:rsidR="002177F9" w:rsidRDefault="00ED0D68">
      <w:r>
        <w:lastRenderedPageBreak/>
        <w:t>Cette réservation intervient avant le choix du meilleur plan pour chaque mode. Elle favorise l’utilisation des références prédécoupées ; elle peut conduire à davantage de barres qu’un regroupement sur de grandes longueurs. Comparer les résultats avec et sans cette option lorsque ce choix compte pour la fabrication.</w:t>
      </w:r>
    </w:p>
    <w:p w14:paraId="3CBCE64A" w14:textId="77777777" w:rsidR="002177F9" w:rsidRDefault="00ED0D68">
      <w:pPr>
        <w:pStyle w:val="Titre2"/>
      </w:pPr>
      <w:r>
        <w:t>Remplacer le rail Magnelis par du rail EZ</w:t>
      </w:r>
    </w:p>
    <w:p w14:paraId="35DB73EF" w14:textId="77777777" w:rsidR="002177F9" w:rsidRDefault="00ED0D68">
      <w:r>
        <w:t>Cette option est désactivée au démarrage. Lorsqu’elle est cochée et qu’une correspondance est disponible, elle substitue au rail Magnelis un rail électrozingué de géométrie rapprochée dans le référentiel. La longueur commerciale est conservée si elle existe ; sinon, une longueur compatible est choisie. Les quantités et les longueurs utiles sont conservées.</w:t>
      </w:r>
    </w:p>
    <w:p w14:paraId="3EFB6381" w14:textId="77777777" w:rsidR="002177F9" w:rsidRDefault="00ED0D68">
      <w:r>
        <w:t>Le logiciel ne vérifie pas l’adéquation du changement de matériau à l’environnement du chantier. Cette décision relève de la validation technique métier. Elle affecte les données servant aussi à l’« Offre initiale » : celle-ci n’est donc pas une copie brute de l’offre SUFIX d’origine.</w:t>
      </w:r>
    </w:p>
    <w:p w14:paraId="4D2510DF" w14:textId="77777777" w:rsidR="002177F9" w:rsidRDefault="00ED0D68">
      <w:r>
        <w:t>Quand vous utilisez « Traiter un autre dossier », vérifier à nouveau ces deux options. Les trois modes sont recochés, mais les options de longueurs exactes et de remplacement Magnelis peuvent conserver la valeur de la précédente étude.</w:t>
      </w:r>
    </w:p>
    <w:p w14:paraId="22052004" w14:textId="77777777" w:rsidR="002177F9" w:rsidRDefault="00ED0D68">
      <w:pPr>
        <w:pStyle w:val="Titre1"/>
      </w:pPr>
      <w:bookmarkStart w:id="5" w:name="_Toc241409729"/>
      <w:r>
        <w:t>6 Contrôles à effectuer</w:t>
      </w:r>
      <w:bookmarkEnd w:id="5"/>
    </w:p>
    <w:p w14:paraId="39AA0D99" w14:textId="77777777" w:rsidR="002177F9" w:rsidRDefault="00ED0D68">
      <w:r>
        <w:t>Avant de transmettre une offre ou un plan, vérifier les points suivants.</w:t>
      </w:r>
    </w:p>
    <w:p w14:paraId="4BD87FBF" w14:textId="77777777" w:rsidR="002177F9" w:rsidRDefault="00ED0D68">
      <w:pPr>
        <w:ind w:left="259" w:hanging="259"/>
      </w:pPr>
      <w:r>
        <w:t>1. Le CSV et le PDF concernent bien la même étude ; les nombres de supports sont confirmés.</w:t>
      </w:r>
    </w:p>
    <w:p w14:paraId="4BA9A212" w14:textId="77777777" w:rsidR="002177F9" w:rsidRDefault="00ED0D68">
      <w:pPr>
        <w:ind w:left="259" w:hanging="259"/>
      </w:pPr>
      <w:r>
        <w:t>2. Les espacements nécessaires aux chemins de câbles sont renseignés et exprimés en mètres.</w:t>
      </w:r>
    </w:p>
    <w:p w14:paraId="45BB64A8" w14:textId="77777777" w:rsidR="002177F9" w:rsidRDefault="00ED0D68">
      <w:pPr>
        <w:ind w:left="259" w:hanging="259"/>
      </w:pPr>
      <w:r>
        <w:t>3. La feuille « Contrôles » ne contient aucun point non expliqué, en particulier un profil non reconnu ou un espacement manquant.</w:t>
      </w:r>
    </w:p>
    <w:p w14:paraId="41114BE3" w14:textId="77777777" w:rsidR="002177F9" w:rsidRDefault="00ED0D68">
      <w:pPr>
        <w:ind w:left="259" w:hanging="259"/>
      </w:pPr>
      <w:r>
        <w:t>4. Les longueurs réellement utilisées correspondent aux possibilités d’approvisionnement et de fabrication.</w:t>
      </w:r>
    </w:p>
    <w:p w14:paraId="4F99088C" w14:textId="77777777" w:rsidR="002177F9" w:rsidRDefault="00ED0D68">
      <w:pPr>
        <w:ind w:left="259" w:hanging="259"/>
      </w:pPr>
      <w:r>
        <w:t>5. Le plan de découpe et l’offre optimisée concernent le même mode.</w:t>
      </w:r>
    </w:p>
    <w:p w14:paraId="3CE9CED5" w14:textId="77777777" w:rsidR="002177F9" w:rsidRDefault="00ED0D68">
      <w:pPr>
        <w:ind w:left="259" w:hanging="259"/>
      </w:pPr>
      <w:r>
        <w:t>6. Les quantités physiques, les mètres à chiffrer et les nombres de conditionnements ne sont pas confondus.</w:t>
      </w:r>
    </w:p>
    <w:p w14:paraId="70B09166" w14:textId="77777777" w:rsidR="002177F9" w:rsidRDefault="00ED0D68">
      <w:pPr>
        <w:ind w:left="259" w:hanging="259"/>
      </w:pPr>
      <w:r>
        <w:t>7. Les CSV EQ et l’Excel ont été effectivement générés et conservés dans la variante voulue.</w:t>
      </w:r>
    </w:p>
    <w:p w14:paraId="40C6F5F5" w14:textId="77777777" w:rsidR="002177F9" w:rsidRDefault="00ED0D68">
      <w:r>
        <w:t>Exemple pédagogique de conditionnement : pour 145 pièces vendues par boîte de 100, l’offre indique 145 pièces nécessaires et 2 codes commerciaux à chiffrer. Pour un article vendu au mètre linéaire, EQ reçoit le métrage à chiffrer, et non ce nombre de conditionnements.</w:t>
      </w:r>
    </w:p>
    <w:p w14:paraId="2BD6943E" w14:textId="77777777" w:rsidR="002177F9" w:rsidRDefault="00ED0D68">
      <w:r>
        <w:t>Le calcul des plans ne réserve pas de longueur pour le trait de scie, les pertes de dressage ou les tolérances d’atelier. Faire valider les plans avant exécution lorsqu’une somme de découpes atteint exactement la longueur d’une barre.</w:t>
      </w:r>
    </w:p>
    <w:p w14:paraId="6201D900" w14:textId="77777777" w:rsidR="002177F9" w:rsidRDefault="00ED0D68">
      <w:pPr>
        <w:pStyle w:val="Titre1"/>
      </w:pPr>
      <w:bookmarkStart w:id="6" w:name="_Toc241409730"/>
      <w:r>
        <w:t>7 Problèmes courants et bonnes pratiques</w:t>
      </w:r>
      <w:bookmarkEnd w:id="6"/>
    </w:p>
    <w:p w14:paraId="7BEEC3F7" w14:textId="77777777" w:rsidR="002177F9" w:rsidRDefault="00ED0D68">
      <w:pPr>
        <w:pStyle w:val="Titre2"/>
      </w:pPr>
      <w:r>
        <w:t>Le logiciel ne reconnaît pas les colonnes</w:t>
      </w:r>
    </w:p>
    <w:p w14:paraId="11E0DB50" w14:textId="77777777" w:rsidR="002177F9" w:rsidRDefault="00ED0D68">
      <w:r>
        <w:t>Repartir du CSV exporté par SUFIX 3D PRO et vérifier la présence des huit colonnes : Niveau, Support, Code article, Libellé, Quantité, Longueur utile, Longueur proposée et Chute calculée. Leur ordre peut varier et certains alias sont acceptés. Une exportation différente ou une modification manuelle des en-têtes peut empêcher la lecture.</w:t>
      </w:r>
    </w:p>
    <w:p w14:paraId="7A4A33D9" w14:textId="77777777" w:rsidR="002177F9" w:rsidRDefault="00ED0D68">
      <w:pPr>
        <w:pStyle w:val="Titre2"/>
      </w:pPr>
      <w:r>
        <w:lastRenderedPageBreak/>
        <w:t>Un support apparaît avec une valeur proposée ou comme châssis</w:t>
      </w:r>
    </w:p>
    <w:p w14:paraId="0BB3F6FC" w14:textId="77777777" w:rsidR="002177F9" w:rsidRDefault="00ED0D68">
      <w:r>
        <w:t>Vérifier le PDF associé et la page du support. Un nom mal rapproché ou un PDF scanné peut empêcher l’extraction. Corriger les valeurs modifiables dans l’écran de vérification ; si l’espacement est verrouillé à tort, faire corriger les données ou solliciter le référent de l’outil.</w:t>
      </w:r>
    </w:p>
    <w:p w14:paraId="1216CB6F" w14:textId="77777777" w:rsidR="002177F9" w:rsidRDefault="00ED0D68">
      <w:pPr>
        <w:pStyle w:val="Titre2"/>
      </w:pPr>
      <w:r>
        <w:t>Un profil ou un article n’est pas reconnu</w:t>
      </w:r>
    </w:p>
    <w:p w14:paraId="0F872969" w14:textId="77777777" w:rsidR="002177F9" w:rsidRDefault="00ED0D68">
      <w:r>
        <w:t>Consulter « Contrôles » et transmettre le code, le libellé et le fichier d’entrée au référent des données. Un élément linéaire sans profil reconnu peut rester dans les nomenclatures techniques mais manquer dans l’offre optimisée. Ne pas considérer l’alerte comme un simple problème d’affichage.</w:t>
      </w:r>
    </w:p>
    <w:p w14:paraId="4F4C4A94" w14:textId="77777777" w:rsidR="002177F9" w:rsidRDefault="00ED0D68">
      <w:pPr>
        <w:pStyle w:val="Titre2"/>
      </w:pPr>
      <w:r>
        <w:t>Le fichier Excel est introuvable ou ne se met pas à jour</w:t>
      </w:r>
    </w:p>
    <w:p w14:paraId="3CD5FAC4" w14:textId="77777777" w:rsidR="002177F9" w:rsidRDefault="00ED0D68">
      <w:r>
        <w:t>Cliquer explicitement sur « Générer l’étude excel », lire le statut et utiliser « Ouvrir le dossier ». Si l’enregistrement échoue, fermer le classeur ouvert et vérifier les droits d’écriture du dossier. Le logiciel ne propose pas de fenêtre « Enregistrer sous ».</w:t>
      </w:r>
    </w:p>
    <w:p w14:paraId="7801F35D" w14:textId="77777777" w:rsidR="002177F9" w:rsidRDefault="00ED0D68">
      <w:pPr>
        <w:pStyle w:val="Titre2"/>
      </w:pPr>
      <w:r>
        <w:t>Les résultats des modes sont identiques</w:t>
      </w:r>
    </w:p>
    <w:p w14:paraId="7DE21F88" w14:textId="77777777" w:rsidR="002177F9" w:rsidRDefault="00ED0D68">
      <w:r>
        <w:t>Ce résultat est possible : les modes examinent les mêmes besoins et un nombre limité de plans candidats. Choisir selon les longueurs disponibles et la facilité de préparation. Les étiquettes de mode n’impliquent pas des résultats obligatoirement différents.</w:t>
      </w:r>
    </w:p>
    <w:p w14:paraId="66E0A235" w14:textId="77777777" w:rsidR="002177F9" w:rsidRDefault="00ED0D68">
      <w:pPr>
        <w:pStyle w:val="Titre2"/>
      </w:pPr>
      <w:r>
        <w:t>Préparer une demande d’assistance</w:t>
      </w:r>
    </w:p>
    <w:p w14:paraId="52BBCA8E" w14:textId="77777777" w:rsidR="002177F9" w:rsidRDefault="00ED0D68">
      <w:r>
        <w:t xml:space="preserve">Indiquer V1.1.3 adaptative, l’étape concernée, le message affiché et les options sélectionnées. Joindre les fichiers d’étude autorisés, le classeur généré et, s’il existe, </w:t>
      </w:r>
      <w:r>
        <w:rPr>
          <w:rFonts w:ascii="Consolas" w:hAnsi="Consolas"/>
          <w:sz w:val="19"/>
        </w:rPr>
        <w:t>SUFIX_Optimiseur_erreur.txt</w:t>
      </w:r>
      <w:r>
        <w:t>. Ce journal est écrit pour certaines erreurs de calcul sur le Bureau Windows, ou dans le dossier utilisateur si le Bureau attendu n’existe pas. Toutes les erreurs ne produisent pas ce journal.</w:t>
      </w:r>
    </w:p>
    <w:p w14:paraId="09569ABB" w14:textId="77777777" w:rsidR="002177F9" w:rsidRDefault="00ED0D68">
      <w:r>
        <w:t>Ce guide décrit les sources V1.1.3 du package complet contrôlées le 27 septembre 2026. Les 20 tests automatisés livrés ont réussi à cette date ; cela ne remplace pas la validation d’une étude réelle ni la recette de l’import EQ.</w:t>
      </w:r>
    </w:p>
    <w:sectPr w:rsidR="002177F9" w:rsidSect="00034616">
      <w:headerReference w:type="default" r:id="rId8"/>
      <w:footerReference w:type="default" r:id="rId9"/>
      <w:pgSz w:w="12240" w:h="15840"/>
      <w:pgMar w:top="1008" w:right="1152" w:bottom="1008"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201AD" w14:textId="77777777" w:rsidR="004F16EF" w:rsidRDefault="004F16EF">
      <w:pPr>
        <w:spacing w:after="0" w:line="240" w:lineRule="auto"/>
      </w:pPr>
      <w:r>
        <w:separator/>
      </w:r>
    </w:p>
  </w:endnote>
  <w:endnote w:type="continuationSeparator" w:id="0">
    <w:p w14:paraId="72A3B1C6" w14:textId="77777777" w:rsidR="004F16EF" w:rsidRDefault="004F16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5AA2" w14:textId="77777777" w:rsidR="002177F9" w:rsidRDefault="00ED0D68">
    <w:pPr>
      <w:pStyle w:val="Pieddepage"/>
      <w:jc w:val="right"/>
    </w:pPr>
    <w:r>
      <w:t xml:space="preserve">V1.1.3 adaptative  •  Révision 1  •  27 septembre 2026     |     </w:t>
    </w:r>
    <w:r>
      <w:fldChar w:fldCharType="begin"/>
    </w:r>
    <w:r>
      <w:instrText>PAGE</w:instrText>
    </w:r>
    <w:r>
      <w:fldChar w:fldCharType="separate"/>
    </w:r>
    <w:r w:rsidR="00A23C2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2CDED" w14:textId="77777777" w:rsidR="004F16EF" w:rsidRDefault="004F16EF">
      <w:pPr>
        <w:spacing w:after="0" w:line="240" w:lineRule="auto"/>
      </w:pPr>
      <w:r>
        <w:separator/>
      </w:r>
    </w:p>
  </w:footnote>
  <w:footnote w:type="continuationSeparator" w:id="0">
    <w:p w14:paraId="4E14234F" w14:textId="77777777" w:rsidR="004F16EF" w:rsidRDefault="004F16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09B9E" w14:textId="77777777" w:rsidR="002177F9" w:rsidRDefault="00ED0D68">
    <w:pPr>
      <w:pStyle w:val="En-tte"/>
    </w:pPr>
    <w:r>
      <w:t>SUFIX OptimiZer  |  Guide utilisateur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950090718">
    <w:abstractNumId w:val="8"/>
  </w:num>
  <w:num w:numId="2" w16cid:durableId="1762332735">
    <w:abstractNumId w:val="6"/>
  </w:num>
  <w:num w:numId="3" w16cid:durableId="1621914750">
    <w:abstractNumId w:val="5"/>
  </w:num>
  <w:num w:numId="4" w16cid:durableId="1666935437">
    <w:abstractNumId w:val="4"/>
  </w:num>
  <w:num w:numId="5" w16cid:durableId="1534148262">
    <w:abstractNumId w:val="7"/>
  </w:num>
  <w:num w:numId="6" w16cid:durableId="906451338">
    <w:abstractNumId w:val="3"/>
  </w:num>
  <w:num w:numId="7" w16cid:durableId="2044938839">
    <w:abstractNumId w:val="2"/>
  </w:num>
  <w:num w:numId="8" w16cid:durableId="1411342121">
    <w:abstractNumId w:val="1"/>
  </w:num>
  <w:num w:numId="9" w16cid:durableId="900484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1CB5"/>
    <w:rsid w:val="0015074B"/>
    <w:rsid w:val="002177F9"/>
    <w:rsid w:val="0029639D"/>
    <w:rsid w:val="00326F90"/>
    <w:rsid w:val="004F16EF"/>
    <w:rsid w:val="00735BAB"/>
    <w:rsid w:val="00A23C21"/>
    <w:rsid w:val="00AA1D8D"/>
    <w:rsid w:val="00B47730"/>
    <w:rsid w:val="00CB0664"/>
    <w:rsid w:val="00ED0D68"/>
    <w:rsid w:val="00F00D6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A8F52E"/>
  <w14:defaultImageDpi w14:val="300"/>
  <w15:docId w15:val="{BA8FCAB0-ADD4-48CB-BC43-3224BB58F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Calibri" w:hAnsi="Calibri"/>
    </w:rPr>
  </w:style>
  <w:style w:type="paragraph" w:styleId="Titre1">
    <w:name w:val="heading 1"/>
    <w:basedOn w:val="Normal"/>
    <w:next w:val="Normal"/>
    <w:link w:val="Titre1Car"/>
    <w:uiPriority w:val="9"/>
    <w:qFormat/>
    <w:rsid w:val="00FC693F"/>
    <w:pPr>
      <w:keepNext/>
      <w:keepLines/>
      <w:spacing w:before="260"/>
      <w:outlineLvl w:val="0"/>
    </w:pPr>
    <w:rPr>
      <w:rFonts w:asciiTheme="majorHAnsi" w:eastAsiaTheme="majorEastAsia" w:hAnsiTheme="majorHAnsi" w:cstheme="majorBidi"/>
      <w:b/>
      <w:bCs/>
      <w:color w:val="000000"/>
      <w:sz w:val="30"/>
      <w:szCs w:val="28"/>
    </w:rPr>
  </w:style>
  <w:style w:type="paragraph" w:styleId="Titre2">
    <w:name w:val="heading 2"/>
    <w:basedOn w:val="Normal"/>
    <w:next w:val="Normal"/>
    <w:link w:val="Titre2Car"/>
    <w:uiPriority w:val="9"/>
    <w:unhideWhenUsed/>
    <w:qFormat/>
    <w:rsid w:val="00FC693F"/>
    <w:pPr>
      <w:keepNext/>
      <w:keepLines/>
      <w:spacing w:before="260"/>
      <w:outlineLvl w:val="1"/>
    </w:pPr>
    <w:rPr>
      <w:rFonts w:asciiTheme="majorHAnsi" w:eastAsiaTheme="majorEastAsia" w:hAnsiTheme="majorHAnsi" w:cstheme="majorBidi"/>
      <w:b/>
      <w:bCs/>
      <w:color w:val="000000"/>
      <w:sz w:val="24"/>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rPr>
      <w:color w:val="000000"/>
      <w:sz w:val="16"/>
    </w:r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rPr>
      <w:color w:val="000000"/>
      <w:sz w:val="16"/>
    </w:r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spacing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keepNext/>
      <w:numPr>
        <w:ilvl w:val="1"/>
      </w:numPr>
    </w:pPr>
    <w:rPr>
      <w:rFonts w:asciiTheme="majorHAnsi" w:eastAsiaTheme="majorEastAsia" w:hAnsiTheme="majorHAnsi" w:cstheme="majorBidi"/>
      <w:i/>
      <w:iCs/>
      <w:color w:val="000000"/>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A23C21"/>
    <w:pPr>
      <w:spacing w:after="100"/>
    </w:pPr>
  </w:style>
  <w:style w:type="character" w:styleId="Lienhypertexte">
    <w:name w:val="Hyperlink"/>
    <w:basedOn w:val="Policepardfaut"/>
    <w:uiPriority w:val="99"/>
    <w:unhideWhenUsed/>
    <w:rsid w:val="00A23C2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2609</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 utilisateur SUFIX OptimiZer V1.1.3 adaptative</dc:title>
  <dc:subject>Documentation actualisée à partir du package complet</dc:subject>
  <dc:creator>SUFIX OptimiZer</dc:creator>
  <cp:keywords/>
  <dc:description>generated by python-docx</dc:description>
  <cp:lastModifiedBy>Laetitia GROSMOUGIN</cp:lastModifiedBy>
  <cp:revision>3</cp:revision>
  <dcterms:created xsi:type="dcterms:W3CDTF">2013-12-23T23:15:00Z</dcterms:created>
  <dcterms:modified xsi:type="dcterms:W3CDTF">2026-09-27T11:55:00Z</dcterms:modified>
  <cp:category/>
</cp:coreProperties>
</file>