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2CE31" w14:textId="77777777" w:rsidR="00F15245" w:rsidRDefault="00A60C4A">
      <w:pPr>
        <w:pStyle w:val="Titre"/>
      </w:pPr>
      <w:r>
        <w:t>Guide expert métier SUFIX OptimiZer</w:t>
      </w:r>
    </w:p>
    <w:p w14:paraId="01ECEBEC" w14:textId="77777777" w:rsidR="00F15245" w:rsidRDefault="00A60C4A">
      <w:r>
        <w:t>Version du logiciel documentée : V1.1.3 adaptative avec corrections locales du 25 août 2026.</w:t>
      </w:r>
    </w:p>
    <w:p w14:paraId="79236019" w14:textId="77777777" w:rsidR="00F15245" w:rsidRDefault="00A60C4A">
      <w:r>
        <w:t>Édition documentaire : révision 1 du 27 septembre 2026. Ce guide remplace les spécifications métier V1.0.9 du package complet.</w:t>
      </w:r>
    </w:p>
    <w:p w14:paraId="5D2A9518" w14:textId="77777777" w:rsidR="00F15245" w:rsidRDefault="00A60C4A">
      <w:r>
        <w:t>Ce document décrit les règles effectivement implémentées pour contrôler une étude et interpréter ses résultats. Il s’adresse au référent supportage, au responsable des données produits et aux personnes qui valident les offres. Les exemples sont pédagogiques ; ils ne constituent pas des économies mesurées sur un chantier.</w:t>
      </w:r>
    </w:p>
    <w:p w14:paraId="45A6ADC8" w14:textId="77777777" w:rsidR="00F15245" w:rsidRDefault="00A60C4A">
      <w:r>
        <w:t>La comparaison des modes porte sur les rails et tiges reconnus. Les pièces, les consoles et les chemins de câbles ont leurs propres traitements. La validation métier doit donc couvrir l’ensemble de l’offre, au-delà du rendement affiché.</w:t>
      </w:r>
    </w:p>
    <w:p w14:paraId="2665B95C" w14:textId="77777777" w:rsidR="00F15245" w:rsidRDefault="00A60C4A">
      <w:pPr>
        <w:spacing w:before="240"/>
      </w:pPr>
      <w:r>
        <w:rPr>
          <w:b/>
        </w:rPr>
        <w:t>Sommaire</w:t>
      </w:r>
    </w:p>
    <w:p w14:paraId="16DAC07E" w14:textId="1F47E65E" w:rsidR="00375F8A" w:rsidRDefault="00A60C4A">
      <w:pPr>
        <w:pStyle w:val="TM1"/>
        <w:tabs>
          <w:tab w:val="right" w:leader="dot" w:pos="9926"/>
        </w:tabs>
        <w:rPr>
          <w:rFonts w:asciiTheme="minorHAnsi" w:hAnsiTheme="minorHAnsi"/>
          <w:noProof/>
          <w:kern w:val="2"/>
          <w:sz w:val="24"/>
          <w:szCs w:val="24"/>
          <w:lang w:val="fr-FR" w:eastAsia="fr-FR"/>
          <w14:ligatures w14:val="standardContextual"/>
        </w:rPr>
      </w:pPr>
      <w:r>
        <w:fldChar w:fldCharType="begin"/>
      </w:r>
      <w:r>
        <w:instrText>TOC \o "1-1" \h \z \u</w:instrText>
      </w:r>
      <w:r>
        <w:fldChar w:fldCharType="separate"/>
      </w:r>
      <w:hyperlink w:anchor="_Toc241409731" w:history="1">
        <w:r w:rsidR="00375F8A" w:rsidRPr="00373B39">
          <w:rPr>
            <w:rStyle w:val="Lienhypertexte"/>
            <w:noProof/>
          </w:rPr>
          <w:t>1 Périmètre fonctionnel</w:t>
        </w:r>
        <w:r w:rsidR="00375F8A">
          <w:rPr>
            <w:noProof/>
            <w:webHidden/>
          </w:rPr>
          <w:tab/>
        </w:r>
        <w:r w:rsidR="00375F8A">
          <w:rPr>
            <w:noProof/>
            <w:webHidden/>
          </w:rPr>
          <w:fldChar w:fldCharType="begin"/>
        </w:r>
        <w:r w:rsidR="00375F8A">
          <w:rPr>
            <w:noProof/>
            <w:webHidden/>
          </w:rPr>
          <w:instrText xml:space="preserve"> PAGEREF _Toc241409731 \h </w:instrText>
        </w:r>
        <w:r w:rsidR="00375F8A">
          <w:rPr>
            <w:noProof/>
            <w:webHidden/>
          </w:rPr>
        </w:r>
        <w:r w:rsidR="00375F8A">
          <w:rPr>
            <w:noProof/>
            <w:webHidden/>
          </w:rPr>
          <w:fldChar w:fldCharType="separate"/>
        </w:r>
        <w:r w:rsidR="00375F8A">
          <w:rPr>
            <w:noProof/>
            <w:webHidden/>
          </w:rPr>
          <w:t>2</w:t>
        </w:r>
        <w:r w:rsidR="00375F8A">
          <w:rPr>
            <w:noProof/>
            <w:webHidden/>
          </w:rPr>
          <w:fldChar w:fldCharType="end"/>
        </w:r>
      </w:hyperlink>
    </w:p>
    <w:p w14:paraId="61175BB1" w14:textId="30FC4CFD" w:rsidR="00375F8A" w:rsidRDefault="00375F8A">
      <w:pPr>
        <w:pStyle w:val="TM1"/>
        <w:tabs>
          <w:tab w:val="right" w:leader="dot" w:pos="9926"/>
        </w:tabs>
        <w:rPr>
          <w:rFonts w:asciiTheme="minorHAnsi" w:hAnsiTheme="minorHAnsi"/>
          <w:noProof/>
          <w:kern w:val="2"/>
          <w:sz w:val="24"/>
          <w:szCs w:val="24"/>
          <w:lang w:val="fr-FR" w:eastAsia="fr-FR"/>
          <w14:ligatures w14:val="standardContextual"/>
        </w:rPr>
      </w:pPr>
      <w:hyperlink w:anchor="_Toc241409732" w:history="1">
        <w:r w:rsidRPr="00373B39">
          <w:rPr>
            <w:rStyle w:val="Lienhypertexte"/>
            <w:noProof/>
          </w:rPr>
          <w:t>2 Chaîne de traitement</w:t>
        </w:r>
        <w:r>
          <w:rPr>
            <w:noProof/>
            <w:webHidden/>
          </w:rPr>
          <w:tab/>
        </w:r>
        <w:r>
          <w:rPr>
            <w:noProof/>
            <w:webHidden/>
          </w:rPr>
          <w:fldChar w:fldCharType="begin"/>
        </w:r>
        <w:r>
          <w:rPr>
            <w:noProof/>
            <w:webHidden/>
          </w:rPr>
          <w:instrText xml:space="preserve"> PAGEREF _Toc241409732 \h </w:instrText>
        </w:r>
        <w:r>
          <w:rPr>
            <w:noProof/>
            <w:webHidden/>
          </w:rPr>
        </w:r>
        <w:r>
          <w:rPr>
            <w:noProof/>
            <w:webHidden/>
          </w:rPr>
          <w:fldChar w:fldCharType="separate"/>
        </w:r>
        <w:r>
          <w:rPr>
            <w:noProof/>
            <w:webHidden/>
          </w:rPr>
          <w:t>2</w:t>
        </w:r>
        <w:r>
          <w:rPr>
            <w:noProof/>
            <w:webHidden/>
          </w:rPr>
          <w:fldChar w:fldCharType="end"/>
        </w:r>
      </w:hyperlink>
    </w:p>
    <w:p w14:paraId="58257ECC" w14:textId="7394FC5C" w:rsidR="00375F8A" w:rsidRDefault="00375F8A">
      <w:pPr>
        <w:pStyle w:val="TM1"/>
        <w:tabs>
          <w:tab w:val="right" w:leader="dot" w:pos="9926"/>
        </w:tabs>
        <w:rPr>
          <w:rFonts w:asciiTheme="minorHAnsi" w:hAnsiTheme="minorHAnsi"/>
          <w:noProof/>
          <w:kern w:val="2"/>
          <w:sz w:val="24"/>
          <w:szCs w:val="24"/>
          <w:lang w:val="fr-FR" w:eastAsia="fr-FR"/>
          <w14:ligatures w14:val="standardContextual"/>
        </w:rPr>
      </w:pPr>
      <w:hyperlink w:anchor="_Toc241409733" w:history="1">
        <w:r w:rsidRPr="00373B39">
          <w:rPr>
            <w:rStyle w:val="Lienhypertexte"/>
            <w:noProof/>
          </w:rPr>
          <w:t>3 Lecture et fiabilisation des entrées</w:t>
        </w:r>
        <w:r>
          <w:rPr>
            <w:noProof/>
            <w:webHidden/>
          </w:rPr>
          <w:tab/>
        </w:r>
        <w:r>
          <w:rPr>
            <w:noProof/>
            <w:webHidden/>
          </w:rPr>
          <w:fldChar w:fldCharType="begin"/>
        </w:r>
        <w:r>
          <w:rPr>
            <w:noProof/>
            <w:webHidden/>
          </w:rPr>
          <w:instrText xml:space="preserve"> PAGEREF _Toc241409733 \h </w:instrText>
        </w:r>
        <w:r>
          <w:rPr>
            <w:noProof/>
            <w:webHidden/>
          </w:rPr>
        </w:r>
        <w:r>
          <w:rPr>
            <w:noProof/>
            <w:webHidden/>
          </w:rPr>
          <w:fldChar w:fldCharType="separate"/>
        </w:r>
        <w:r>
          <w:rPr>
            <w:noProof/>
            <w:webHidden/>
          </w:rPr>
          <w:t>2</w:t>
        </w:r>
        <w:r>
          <w:rPr>
            <w:noProof/>
            <w:webHidden/>
          </w:rPr>
          <w:fldChar w:fldCharType="end"/>
        </w:r>
      </w:hyperlink>
    </w:p>
    <w:p w14:paraId="317E4EB9" w14:textId="2D6E6776" w:rsidR="00375F8A" w:rsidRDefault="00375F8A">
      <w:pPr>
        <w:pStyle w:val="TM1"/>
        <w:tabs>
          <w:tab w:val="right" w:leader="dot" w:pos="9926"/>
        </w:tabs>
        <w:rPr>
          <w:rFonts w:asciiTheme="minorHAnsi" w:hAnsiTheme="minorHAnsi"/>
          <w:noProof/>
          <w:kern w:val="2"/>
          <w:sz w:val="24"/>
          <w:szCs w:val="24"/>
          <w:lang w:val="fr-FR" w:eastAsia="fr-FR"/>
          <w14:ligatures w14:val="standardContextual"/>
        </w:rPr>
      </w:pPr>
      <w:hyperlink w:anchor="_Toc241409734" w:history="1">
        <w:r w:rsidRPr="00373B39">
          <w:rPr>
            <w:rStyle w:val="Lienhypertexte"/>
            <w:noProof/>
          </w:rPr>
          <w:t>4 Référentiel article</w:t>
        </w:r>
        <w:r>
          <w:rPr>
            <w:noProof/>
            <w:webHidden/>
          </w:rPr>
          <w:tab/>
        </w:r>
        <w:r>
          <w:rPr>
            <w:noProof/>
            <w:webHidden/>
          </w:rPr>
          <w:fldChar w:fldCharType="begin"/>
        </w:r>
        <w:r>
          <w:rPr>
            <w:noProof/>
            <w:webHidden/>
          </w:rPr>
          <w:instrText xml:space="preserve"> PAGEREF _Toc241409734 \h </w:instrText>
        </w:r>
        <w:r>
          <w:rPr>
            <w:noProof/>
            <w:webHidden/>
          </w:rPr>
        </w:r>
        <w:r>
          <w:rPr>
            <w:noProof/>
            <w:webHidden/>
          </w:rPr>
          <w:fldChar w:fldCharType="separate"/>
        </w:r>
        <w:r>
          <w:rPr>
            <w:noProof/>
            <w:webHidden/>
          </w:rPr>
          <w:t>3</w:t>
        </w:r>
        <w:r>
          <w:rPr>
            <w:noProof/>
            <w:webHidden/>
          </w:rPr>
          <w:fldChar w:fldCharType="end"/>
        </w:r>
      </w:hyperlink>
    </w:p>
    <w:p w14:paraId="559ED749" w14:textId="008E81F2" w:rsidR="00375F8A" w:rsidRDefault="00375F8A">
      <w:pPr>
        <w:pStyle w:val="TM1"/>
        <w:tabs>
          <w:tab w:val="right" w:leader="dot" w:pos="9926"/>
        </w:tabs>
        <w:rPr>
          <w:rFonts w:asciiTheme="minorHAnsi" w:hAnsiTheme="minorHAnsi"/>
          <w:noProof/>
          <w:kern w:val="2"/>
          <w:sz w:val="24"/>
          <w:szCs w:val="24"/>
          <w:lang w:val="fr-FR" w:eastAsia="fr-FR"/>
          <w14:ligatures w14:val="standardContextual"/>
        </w:rPr>
      </w:pPr>
      <w:hyperlink w:anchor="_Toc241409735" w:history="1">
        <w:r w:rsidRPr="00373B39">
          <w:rPr>
            <w:rStyle w:val="Lienhypertexte"/>
            <w:noProof/>
          </w:rPr>
          <w:t>5 Règles de rationalisation</w:t>
        </w:r>
        <w:r>
          <w:rPr>
            <w:noProof/>
            <w:webHidden/>
          </w:rPr>
          <w:tab/>
        </w:r>
        <w:r>
          <w:rPr>
            <w:noProof/>
            <w:webHidden/>
          </w:rPr>
          <w:fldChar w:fldCharType="begin"/>
        </w:r>
        <w:r>
          <w:rPr>
            <w:noProof/>
            <w:webHidden/>
          </w:rPr>
          <w:instrText xml:space="preserve"> PAGEREF _Toc241409735 \h </w:instrText>
        </w:r>
        <w:r>
          <w:rPr>
            <w:noProof/>
            <w:webHidden/>
          </w:rPr>
        </w:r>
        <w:r>
          <w:rPr>
            <w:noProof/>
            <w:webHidden/>
          </w:rPr>
          <w:fldChar w:fldCharType="separate"/>
        </w:r>
        <w:r>
          <w:rPr>
            <w:noProof/>
            <w:webHidden/>
          </w:rPr>
          <w:t>4</w:t>
        </w:r>
        <w:r>
          <w:rPr>
            <w:noProof/>
            <w:webHidden/>
          </w:rPr>
          <w:fldChar w:fldCharType="end"/>
        </w:r>
      </w:hyperlink>
    </w:p>
    <w:p w14:paraId="49B601AE" w14:textId="21A7B4EC" w:rsidR="00375F8A" w:rsidRDefault="00375F8A">
      <w:pPr>
        <w:pStyle w:val="TM1"/>
        <w:tabs>
          <w:tab w:val="right" w:leader="dot" w:pos="9926"/>
        </w:tabs>
        <w:rPr>
          <w:rFonts w:asciiTheme="minorHAnsi" w:hAnsiTheme="minorHAnsi"/>
          <w:noProof/>
          <w:kern w:val="2"/>
          <w:sz w:val="24"/>
          <w:szCs w:val="24"/>
          <w:lang w:val="fr-FR" w:eastAsia="fr-FR"/>
          <w14:ligatures w14:val="standardContextual"/>
        </w:rPr>
      </w:pPr>
      <w:hyperlink w:anchor="_Toc241409736" w:history="1">
        <w:r w:rsidRPr="00373B39">
          <w:rPr>
            <w:rStyle w:val="Lienhypertexte"/>
            <w:noProof/>
          </w:rPr>
          <w:t>6 Gestion des profils et des longueurs</w:t>
        </w:r>
        <w:r>
          <w:rPr>
            <w:noProof/>
            <w:webHidden/>
          </w:rPr>
          <w:tab/>
        </w:r>
        <w:r>
          <w:rPr>
            <w:noProof/>
            <w:webHidden/>
          </w:rPr>
          <w:fldChar w:fldCharType="begin"/>
        </w:r>
        <w:r>
          <w:rPr>
            <w:noProof/>
            <w:webHidden/>
          </w:rPr>
          <w:instrText xml:space="preserve"> PAGEREF _Toc241409736 \h </w:instrText>
        </w:r>
        <w:r>
          <w:rPr>
            <w:noProof/>
            <w:webHidden/>
          </w:rPr>
        </w:r>
        <w:r>
          <w:rPr>
            <w:noProof/>
            <w:webHidden/>
          </w:rPr>
          <w:fldChar w:fldCharType="separate"/>
        </w:r>
        <w:r>
          <w:rPr>
            <w:noProof/>
            <w:webHidden/>
          </w:rPr>
          <w:t>5</w:t>
        </w:r>
        <w:r>
          <w:rPr>
            <w:noProof/>
            <w:webHidden/>
          </w:rPr>
          <w:fldChar w:fldCharType="end"/>
        </w:r>
      </w:hyperlink>
    </w:p>
    <w:p w14:paraId="666B5B35" w14:textId="285096E4" w:rsidR="00375F8A" w:rsidRDefault="00375F8A">
      <w:pPr>
        <w:pStyle w:val="TM1"/>
        <w:tabs>
          <w:tab w:val="right" w:leader="dot" w:pos="9926"/>
        </w:tabs>
        <w:rPr>
          <w:rFonts w:asciiTheme="minorHAnsi" w:hAnsiTheme="minorHAnsi"/>
          <w:noProof/>
          <w:kern w:val="2"/>
          <w:sz w:val="24"/>
          <w:szCs w:val="24"/>
          <w:lang w:val="fr-FR" w:eastAsia="fr-FR"/>
          <w14:ligatures w14:val="standardContextual"/>
        </w:rPr>
      </w:pPr>
      <w:hyperlink w:anchor="_Toc241409737" w:history="1">
        <w:r w:rsidRPr="00373B39">
          <w:rPr>
            <w:rStyle w:val="Lienhypertexte"/>
            <w:noProof/>
          </w:rPr>
          <w:t>7 Optimisation des découpes</w:t>
        </w:r>
        <w:r>
          <w:rPr>
            <w:noProof/>
            <w:webHidden/>
          </w:rPr>
          <w:tab/>
        </w:r>
        <w:r>
          <w:rPr>
            <w:noProof/>
            <w:webHidden/>
          </w:rPr>
          <w:fldChar w:fldCharType="begin"/>
        </w:r>
        <w:r>
          <w:rPr>
            <w:noProof/>
            <w:webHidden/>
          </w:rPr>
          <w:instrText xml:space="preserve"> PAGEREF _Toc241409737 \h </w:instrText>
        </w:r>
        <w:r>
          <w:rPr>
            <w:noProof/>
            <w:webHidden/>
          </w:rPr>
        </w:r>
        <w:r>
          <w:rPr>
            <w:noProof/>
            <w:webHidden/>
          </w:rPr>
          <w:fldChar w:fldCharType="separate"/>
        </w:r>
        <w:r>
          <w:rPr>
            <w:noProof/>
            <w:webHidden/>
          </w:rPr>
          <w:t>6</w:t>
        </w:r>
        <w:r>
          <w:rPr>
            <w:noProof/>
            <w:webHidden/>
          </w:rPr>
          <w:fldChar w:fldCharType="end"/>
        </w:r>
      </w:hyperlink>
    </w:p>
    <w:p w14:paraId="3F96E8C7" w14:textId="051EB413" w:rsidR="00375F8A" w:rsidRDefault="00375F8A">
      <w:pPr>
        <w:pStyle w:val="TM1"/>
        <w:tabs>
          <w:tab w:val="right" w:leader="dot" w:pos="9926"/>
        </w:tabs>
        <w:rPr>
          <w:rFonts w:asciiTheme="minorHAnsi" w:hAnsiTheme="minorHAnsi"/>
          <w:noProof/>
          <w:kern w:val="2"/>
          <w:sz w:val="24"/>
          <w:szCs w:val="24"/>
          <w:lang w:val="fr-FR" w:eastAsia="fr-FR"/>
          <w14:ligatures w14:val="standardContextual"/>
        </w:rPr>
      </w:pPr>
      <w:hyperlink w:anchor="_Toc241409738" w:history="1">
        <w:r w:rsidRPr="00373B39">
          <w:rPr>
            <w:rStyle w:val="Lienhypertexte"/>
            <w:noProof/>
          </w:rPr>
          <w:t>8 Offre initiale et offres optimisées</w:t>
        </w:r>
        <w:r>
          <w:rPr>
            <w:noProof/>
            <w:webHidden/>
          </w:rPr>
          <w:tab/>
        </w:r>
        <w:r>
          <w:rPr>
            <w:noProof/>
            <w:webHidden/>
          </w:rPr>
          <w:fldChar w:fldCharType="begin"/>
        </w:r>
        <w:r>
          <w:rPr>
            <w:noProof/>
            <w:webHidden/>
          </w:rPr>
          <w:instrText xml:space="preserve"> PAGEREF _Toc241409738 \h </w:instrText>
        </w:r>
        <w:r>
          <w:rPr>
            <w:noProof/>
            <w:webHidden/>
          </w:rPr>
        </w:r>
        <w:r>
          <w:rPr>
            <w:noProof/>
            <w:webHidden/>
          </w:rPr>
          <w:fldChar w:fldCharType="separate"/>
        </w:r>
        <w:r>
          <w:rPr>
            <w:noProof/>
            <w:webHidden/>
          </w:rPr>
          <w:t>7</w:t>
        </w:r>
        <w:r>
          <w:rPr>
            <w:noProof/>
            <w:webHidden/>
          </w:rPr>
          <w:fldChar w:fldCharType="end"/>
        </w:r>
      </w:hyperlink>
    </w:p>
    <w:p w14:paraId="1B6D030C" w14:textId="39BF53F7" w:rsidR="00375F8A" w:rsidRDefault="00375F8A">
      <w:pPr>
        <w:pStyle w:val="TM1"/>
        <w:tabs>
          <w:tab w:val="right" w:leader="dot" w:pos="9926"/>
        </w:tabs>
        <w:rPr>
          <w:rFonts w:asciiTheme="minorHAnsi" w:hAnsiTheme="minorHAnsi"/>
          <w:noProof/>
          <w:kern w:val="2"/>
          <w:sz w:val="24"/>
          <w:szCs w:val="24"/>
          <w:lang w:val="fr-FR" w:eastAsia="fr-FR"/>
          <w14:ligatures w14:val="standardContextual"/>
        </w:rPr>
      </w:pPr>
      <w:hyperlink w:anchor="_Toc241409739" w:history="1">
        <w:r w:rsidRPr="00373B39">
          <w:rPr>
            <w:rStyle w:val="Lienhypertexte"/>
            <w:noProof/>
          </w:rPr>
          <w:t>9 Export EQ</w:t>
        </w:r>
        <w:r>
          <w:rPr>
            <w:noProof/>
            <w:webHidden/>
          </w:rPr>
          <w:tab/>
        </w:r>
        <w:r>
          <w:rPr>
            <w:noProof/>
            <w:webHidden/>
          </w:rPr>
          <w:fldChar w:fldCharType="begin"/>
        </w:r>
        <w:r>
          <w:rPr>
            <w:noProof/>
            <w:webHidden/>
          </w:rPr>
          <w:instrText xml:space="preserve"> PAGEREF _Toc241409739 \h </w:instrText>
        </w:r>
        <w:r>
          <w:rPr>
            <w:noProof/>
            <w:webHidden/>
          </w:rPr>
        </w:r>
        <w:r>
          <w:rPr>
            <w:noProof/>
            <w:webHidden/>
          </w:rPr>
          <w:fldChar w:fldCharType="separate"/>
        </w:r>
        <w:r>
          <w:rPr>
            <w:noProof/>
            <w:webHidden/>
          </w:rPr>
          <w:t>7</w:t>
        </w:r>
        <w:r>
          <w:rPr>
            <w:noProof/>
            <w:webHidden/>
          </w:rPr>
          <w:fldChar w:fldCharType="end"/>
        </w:r>
      </w:hyperlink>
    </w:p>
    <w:p w14:paraId="401A944A" w14:textId="64B8C74D" w:rsidR="00375F8A" w:rsidRDefault="00375F8A">
      <w:pPr>
        <w:pStyle w:val="TM1"/>
        <w:tabs>
          <w:tab w:val="right" w:leader="dot" w:pos="9926"/>
        </w:tabs>
        <w:rPr>
          <w:rFonts w:asciiTheme="minorHAnsi" w:hAnsiTheme="minorHAnsi"/>
          <w:noProof/>
          <w:kern w:val="2"/>
          <w:sz w:val="24"/>
          <w:szCs w:val="24"/>
          <w:lang w:val="fr-FR" w:eastAsia="fr-FR"/>
          <w14:ligatures w14:val="standardContextual"/>
        </w:rPr>
      </w:pPr>
      <w:hyperlink w:anchor="_Toc241409740" w:history="1">
        <w:r w:rsidRPr="00373B39">
          <w:rPr>
            <w:rStyle w:val="Lienhypertexte"/>
            <w:noProof/>
          </w:rPr>
          <w:t>10 Contrôles métier et limites</w:t>
        </w:r>
        <w:r>
          <w:rPr>
            <w:noProof/>
            <w:webHidden/>
          </w:rPr>
          <w:tab/>
        </w:r>
        <w:r>
          <w:rPr>
            <w:noProof/>
            <w:webHidden/>
          </w:rPr>
          <w:fldChar w:fldCharType="begin"/>
        </w:r>
        <w:r>
          <w:rPr>
            <w:noProof/>
            <w:webHidden/>
          </w:rPr>
          <w:instrText xml:space="preserve"> PAGEREF _Toc241409740 \h </w:instrText>
        </w:r>
        <w:r>
          <w:rPr>
            <w:noProof/>
            <w:webHidden/>
          </w:rPr>
        </w:r>
        <w:r>
          <w:rPr>
            <w:noProof/>
            <w:webHidden/>
          </w:rPr>
          <w:fldChar w:fldCharType="separate"/>
        </w:r>
        <w:r>
          <w:rPr>
            <w:noProof/>
            <w:webHidden/>
          </w:rPr>
          <w:t>8</w:t>
        </w:r>
        <w:r>
          <w:rPr>
            <w:noProof/>
            <w:webHidden/>
          </w:rPr>
          <w:fldChar w:fldCharType="end"/>
        </w:r>
      </w:hyperlink>
    </w:p>
    <w:p w14:paraId="319DFD59" w14:textId="56B7A5CF" w:rsidR="00F15245" w:rsidRDefault="00A60C4A">
      <w:r>
        <w:fldChar w:fldCharType="end"/>
      </w:r>
    </w:p>
    <w:p w14:paraId="150D0CD0" w14:textId="77777777" w:rsidR="00F15245" w:rsidRDefault="00A60C4A">
      <w:r>
        <w:br w:type="page"/>
      </w:r>
    </w:p>
    <w:p w14:paraId="30B133FF" w14:textId="77777777" w:rsidR="00F15245" w:rsidRDefault="00A60C4A">
      <w:pPr>
        <w:pStyle w:val="Titre1"/>
      </w:pPr>
      <w:bookmarkStart w:id="0" w:name="_Toc241409731"/>
      <w:r>
        <w:lastRenderedPageBreak/>
        <w:t>1 Périmètre fonctionnel</w:t>
      </w:r>
      <w:bookmarkEnd w:id="0"/>
    </w:p>
    <w:p w14:paraId="19248C77" w14:textId="77777777" w:rsidR="00F15245" w:rsidRDefault="00A60C4A">
      <w:r>
        <w:t>SUFIX OptimiZer post-traite les exports de SUFIX 3D PRO. Il normalise les entrées, remplace les références connues, prépare une nomenclature pour un support, agrège les besoins de l’étude et produit une offre initiale ainsi que des offres optimisées selon les modes demandés.</w:t>
      </w:r>
    </w:p>
    <w:p w14:paraId="2A2D6801" w14:textId="77777777" w:rsidR="00F15245" w:rsidRDefault="00A60C4A">
      <w:r>
        <w:t>Le logiciel ne vérifie ni les charges ni les contraintes mécaniques. Il ne calcule pas de résistance, de corrosion, de conformité d’un matériau de remplacement, de prix d’achat ou de temps de fabrication. Le terme « optimisation » désigne une comparaison de solutions de découpe construites par des heuristiques déterministes.</w:t>
      </w:r>
    </w:p>
    <w:p w14:paraId="2AFBBFBD" w14:textId="77777777" w:rsidR="00F15245" w:rsidRDefault="00A60C4A">
      <w:r>
        <w:t>La version couverte est celle des sources du package complet précédemment livré. Ces sources correspondent, octet pour octet, aux fichiers locaux de référence vérifiés le 27 septembre 2026. La présente édition actualise la documentation ; elle ne modifie pas le logiciel.</w:t>
      </w:r>
    </w:p>
    <w:p w14:paraId="16F7732E" w14:textId="77777777" w:rsidR="00F15245" w:rsidRDefault="00A60C4A">
      <w:pPr>
        <w:pStyle w:val="Titre1"/>
      </w:pPr>
      <w:bookmarkStart w:id="1" w:name="_Toc241409732"/>
      <w:r>
        <w:t>2 Chaîne de traitement</w:t>
      </w:r>
      <w:bookmarkEnd w:id="1"/>
    </w:p>
    <w:p w14:paraId="2E0A640F" w14:textId="77777777" w:rsidR="00F15245" w:rsidRDefault="00A60C4A">
      <w:r>
        <w:t>Le CSV est d’abord décodé et ses en-têtes sont normalisés. La base article est appliquée immédiatement : les anciens codes et les libellés peuvent être remplacés avant les regroupements. Les nombres et espacements de supports sont ensuite proposés à partir du CSV et du PDF, puis soumis à la validation de l’utilisateur.</w:t>
      </w:r>
    </w:p>
    <w:p w14:paraId="5FAD5DB4" w14:textId="77777777" w:rsidR="00F15245" w:rsidRDefault="00A60C4A">
      <w:r>
        <w:t>Après cette validation, le programme conserve la quantité totale et calcule la quantité pour un support. Il applique éventuellement le remplacement Magnelis vers EZ, puis construit les besoins regroupés. Il distingue alors les rails et tiges à découper, les pièces et consoles à conditionner, et les chemins de câbles à convertir en mètres commerciaux.</w:t>
      </w:r>
    </w:p>
    <w:p w14:paraId="18F09C75" w14:textId="77777777" w:rsidR="00F15245" w:rsidRDefault="00A60C4A">
      <w:r>
        <w:t>Chaque mode sélectionné reçoit les mêmes besoins et les mêmes longueurs commerciales effectives. Ses plans, ses quantités optimisées et ses indicateurs sont calculés séparément. Les résultats sont comparés dans un classeur préparé en mémoire. La génération de l’Excel et celle des CSV EQ sont déclenchées explicitement par l’utilisateur.</w:t>
      </w:r>
    </w:p>
    <w:p w14:paraId="61AEF4B7" w14:textId="77777777" w:rsidR="00F15245" w:rsidRDefault="00A60C4A">
      <w:r>
        <w:t>Un contrôle doit respecter cet ordre. Comparer un code brut du CSV à un code actuel de l’offre ne suffit pas à conclure à une erreur : rechercher sa correspondance dans le référentiel. De même, l’« Offre initiale » désigne le scénario avant optimisation des découpes, après les enrichissements et substitutions éventuellement appliqués.</w:t>
      </w:r>
    </w:p>
    <w:p w14:paraId="0FEF03E0" w14:textId="77777777" w:rsidR="00F15245" w:rsidRDefault="00A60C4A">
      <w:pPr>
        <w:pStyle w:val="Titre1"/>
      </w:pPr>
      <w:bookmarkStart w:id="2" w:name="_Toc241409733"/>
      <w:r>
        <w:t>3 Lecture et fiabilisation des entrées</w:t>
      </w:r>
      <w:bookmarkEnd w:id="2"/>
    </w:p>
    <w:p w14:paraId="5F74515C" w14:textId="77777777" w:rsidR="00F15245" w:rsidRDefault="00A60C4A">
      <w:pPr>
        <w:pStyle w:val="Titre2"/>
      </w:pPr>
      <w:r>
        <w:t>Structure du CSV</w:t>
      </w:r>
    </w:p>
    <w:p w14:paraId="0C621DFA" w14:textId="77777777" w:rsidR="00F15245" w:rsidRDefault="00A60C4A">
      <w:r>
        <w:t xml:space="preserve">Les huit colonnes canoniques requises sont Niveau, Support, Code article, Libellé, Quantité, Longueur utile, Longueur proposée et Chute calculée. Leur ordre n’est pas imposé. Le lecteur accepte des alias d’en-têtes, des colonnes supplémentaires, plusieurs séparateurs et une directive initiale </w:t>
      </w:r>
      <w:r>
        <w:rPr>
          <w:rFonts w:ascii="Consolas" w:hAnsi="Consolas"/>
          <w:sz w:val="19"/>
        </w:rPr>
        <w:t>sep=</w:t>
      </w:r>
      <w:r>
        <w:t>.</w:t>
      </w:r>
    </w:p>
    <w:p w14:paraId="2B24B459" w14:textId="77777777" w:rsidR="00F15245" w:rsidRDefault="00A60C4A">
      <w:r>
        <w:t>Les quantités sont interprétées numériquement ; une quantité non interprétable devient 0 dans le lecteur. Les trois champs de longueur non interprétables deviennent absents. Ce comportement justifie un contrôle des données source : une lecture réussie du fichier ne prouve pas que toutes ses valeurs sont pertinentes.</w:t>
      </w:r>
    </w:p>
    <w:p w14:paraId="3A277A79" w14:textId="77777777" w:rsidR="00F15245" w:rsidRDefault="00A60C4A">
      <w:pPr>
        <w:pStyle w:val="Titre2"/>
      </w:pPr>
      <w:r>
        <w:lastRenderedPageBreak/>
        <w:t>Nombre de supports et priorité des sources</w:t>
      </w:r>
    </w:p>
    <w:p w14:paraId="17923A05" w14:textId="77777777" w:rsidR="00F15245" w:rsidRDefault="00A60C4A">
      <w:r>
        <w:t>Pour un nom de support donné, la première tentative utilise la colonne « Nombre de supports ». Les valeurs exploitables doivent être positives, entières et cohérentes entre elles. Si une quantité par support est également présente, le produit de cette quantité et du nombre doit correspondre à la quantité totale.</w:t>
      </w:r>
    </w:p>
    <w:p w14:paraId="5FC87EEC" w14:textId="77777777" w:rsidR="00F15245" w:rsidRDefault="00A60C4A">
      <w:r>
        <w:t>À défaut, le programme calcule le rapport entre « Quantité » et « Quantité pour 1 support ». Les rapports exploitables doivent aboutir au même entier positif. Si cette déduction échoue, il utilise les informations PDF disponibles, puis propose 1 à défaut.</w:t>
      </w:r>
    </w:p>
    <w:p w14:paraId="29BA0AEA" w14:textId="77777777" w:rsidR="00F15245" w:rsidRDefault="00A60C4A">
      <w:r>
        <w:t>L’espacement CSV est retenu lorsque les valeurs positives du support sont cohérentes à six décimales. Il est prioritaire sur le PDF. L’utilisateur peut modifier les nombres et les espacements non verrouillés avant le calcul.</w:t>
      </w:r>
    </w:p>
    <w:p w14:paraId="61416B0D" w14:textId="77777777" w:rsidR="00F15245" w:rsidRDefault="00A60C4A">
      <w:r>
        <w:t>Les regroupements de supports utilisent le nom « Support ». Deux supports portant le même nom sur des niveaux différents ne sont pas distingués par une clé composée du niveau et du nom. Utiliser des noms non ambigus dans l’étude.</w:t>
      </w:r>
    </w:p>
    <w:p w14:paraId="25B4CCD5" w14:textId="77777777" w:rsidR="00F15245" w:rsidRDefault="00A60C4A">
      <w:pPr>
        <w:pStyle w:val="Titre2"/>
      </w:pPr>
      <w:r>
        <w:t>Extraction PDF et statut de châssis</w:t>
      </w:r>
    </w:p>
    <w:p w14:paraId="2422CB91" w14:textId="77777777" w:rsidR="00F15245" w:rsidRDefault="00A60C4A">
      <w:r>
        <w:t>PyMuPDF est le moteur principal ; pdfplumber constitue le secours. Le repérage des supports utilise notamment le sommaire attendu en page 2 et des recherches complémentaires. Le programme reconnaît plusieurs formulations, dont « Espace entre les supports » et « Espacement entre supports », avec des valeurs décimales au point ou à la virgule.</w:t>
      </w:r>
    </w:p>
    <w:p w14:paraId="65E83864" w14:textId="77777777" w:rsidR="00F15245" w:rsidRDefault="00A60C4A">
      <w:r>
        <w:t>La recherche de mots positionnés sur la page peut compléter l’extraction textuelle. Il n’existe pas de traitement OCR. Une page non retrouvée, ou une page sans nombre ni espacement détecté, peut être marquée comme châssis. Ce statut est donc une interprétation de l’extraction et doit être confirmé métier.</w:t>
      </w:r>
    </w:p>
    <w:p w14:paraId="18C82F72" w14:textId="77777777" w:rsidR="00F15245" w:rsidRDefault="00A60C4A">
      <w:r>
        <w:t>Un châssis est proposé avec un nombre de 1 lorsqu’aucun nombre n’est trouvé. Dans l’interface, son espacement est verrouillé, mais son nombre reste modifiable. Une information d’espacement fiable issue du CSV peut lever cette classification lors de la préparation des entrées.</w:t>
      </w:r>
    </w:p>
    <w:p w14:paraId="52D0D718" w14:textId="77777777" w:rsidR="00F15245" w:rsidRDefault="00A60C4A">
      <w:pPr>
        <w:pStyle w:val="Titre1"/>
      </w:pPr>
      <w:bookmarkStart w:id="3" w:name="_Toc241409734"/>
      <w:r>
        <w:t>4 Référentiel article</w:t>
      </w:r>
      <w:bookmarkEnd w:id="3"/>
    </w:p>
    <w:p w14:paraId="30D893C7" w14:textId="77777777" w:rsidR="00F15245" w:rsidRDefault="00A60C4A">
      <w:r>
        <w:t xml:space="preserve">Le fichier s’appelle </w:t>
      </w:r>
      <w:r>
        <w:rPr>
          <w:rFonts w:ascii="Consolas" w:hAnsi="Consolas"/>
          <w:sz w:val="19"/>
        </w:rPr>
        <w:t>base_article_supportage.xlsx</w:t>
      </w:r>
      <w:r>
        <w:t>. Le chargeur utilise la feuille « Base article » lorsqu’elle existe, sinon la première feuille. Il exploite les générations de codes, le libellé produit, la catégorie, le conditionnement et l’unité de vente.</w:t>
      </w:r>
    </w:p>
    <w:p w14:paraId="7FAA0DE2" w14:textId="77777777" w:rsidR="00F15245" w:rsidRDefault="00A60C4A">
      <w:r>
        <w:t>Les colonnes de codes versionnées sont ordonnées par numéro de version. Les transitions permettent de résoudre un ancien code vers les générations successives. Lorsqu’un ancien code est ambigu, une clé composée du code et du libellé peut servir à identifier la bonne ligne. Il faut néanmoins éviter les correspondances contradictoires dans la base ; le logiciel ne remplace pas une gouvernance des références.</w:t>
      </w:r>
    </w:p>
    <w:p w14:paraId="39E39A14" w14:textId="77777777" w:rsidR="00F15245" w:rsidRDefault="00A60C4A">
      <w:r>
        <w:t>Un article connu reçoit son code courant et le libellé de la base avant l’agrégation. Un article absent conserve ses informations source et apparaît dans les contrôles. Dans certaines constructions d’offre, des valeurs de secours sont utilisées : catégorie « Non classé », unité « UN » et conditionnement 1.</w:t>
      </w:r>
    </w:p>
    <w:p w14:paraId="6B9AB838" w14:textId="77777777" w:rsidR="00F15245" w:rsidRDefault="00A60C4A">
      <w:r>
        <w:rPr>
          <w:b/>
        </w:rPr>
        <w:t>Conditionnement manquant.</w:t>
      </w:r>
      <w:r>
        <w:t xml:space="preserve"> Le chargeur remplace un Packaging absent, nul ou négatif par 1. Le contrôle ultérieur « Packaging » peut donc indiquer « OK » malgré une valeur invalide dans le fichier d’origine. Le référent doit contrôler les cellules du XLSX source lors des mises à jour ; le statut final ne suffit pas à certifier cette colonne.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83"/>
        <w:gridCol w:w="3776"/>
        <w:gridCol w:w="3478"/>
      </w:tblGrid>
      <w:tr w:rsidR="00F15245" w14:paraId="1084CF8A" w14:textId="77777777">
        <w:trPr>
          <w:cantSplit/>
          <w:tblHeader/>
          <w:jc w:val="center"/>
        </w:trPr>
        <w:tc>
          <w:tcPr>
            <w:tcW w:w="2683" w:type="dxa"/>
            <w:shd w:val="clear" w:color="auto" w:fill="DCE6F1"/>
            <w:tcMar>
              <w:top w:w="60" w:type="dxa"/>
              <w:left w:w="95" w:type="dxa"/>
              <w:bottom w:w="60" w:type="dxa"/>
              <w:right w:w="95" w:type="dxa"/>
            </w:tcMar>
            <w:vAlign w:val="center"/>
          </w:tcPr>
          <w:p w14:paraId="299A3D12" w14:textId="77777777" w:rsidR="00F15245" w:rsidRDefault="00A60C4A">
            <w:pPr>
              <w:spacing w:before="80" w:after="80" w:line="247" w:lineRule="auto"/>
            </w:pPr>
            <w:r>
              <w:rPr>
                <w:b/>
                <w:color w:val="000000"/>
                <w:sz w:val="20"/>
              </w:rPr>
              <w:lastRenderedPageBreak/>
              <w:t>Référentiel livré</w:t>
            </w:r>
          </w:p>
        </w:tc>
        <w:tc>
          <w:tcPr>
            <w:tcW w:w="3776" w:type="dxa"/>
            <w:shd w:val="clear" w:color="auto" w:fill="DCE6F1"/>
            <w:tcMar>
              <w:top w:w="60" w:type="dxa"/>
              <w:left w:w="95" w:type="dxa"/>
              <w:bottom w:w="60" w:type="dxa"/>
              <w:right w:w="95" w:type="dxa"/>
            </w:tcMar>
            <w:vAlign w:val="center"/>
          </w:tcPr>
          <w:p w14:paraId="1D25B7C7" w14:textId="77777777" w:rsidR="00F15245" w:rsidRDefault="00A60C4A">
            <w:pPr>
              <w:spacing w:before="80" w:after="80" w:line="247" w:lineRule="auto"/>
            </w:pPr>
            <w:r>
              <w:rPr>
                <w:b/>
                <w:color w:val="000000"/>
                <w:sz w:val="20"/>
              </w:rPr>
              <w:t>Version déclarée</w:t>
            </w:r>
          </w:p>
        </w:tc>
        <w:tc>
          <w:tcPr>
            <w:tcW w:w="3478" w:type="dxa"/>
            <w:shd w:val="clear" w:color="auto" w:fill="DCE6F1"/>
            <w:tcMar>
              <w:top w:w="60" w:type="dxa"/>
              <w:left w:w="95" w:type="dxa"/>
              <w:bottom w:w="60" w:type="dxa"/>
              <w:right w:w="95" w:type="dxa"/>
            </w:tcMar>
            <w:vAlign w:val="center"/>
          </w:tcPr>
          <w:p w14:paraId="4B0817C5" w14:textId="77777777" w:rsidR="00F15245" w:rsidRDefault="00A60C4A">
            <w:pPr>
              <w:spacing w:before="80" w:after="80" w:line="247" w:lineRule="auto"/>
            </w:pPr>
            <w:r>
              <w:rPr>
                <w:b/>
                <w:color w:val="000000"/>
                <w:sz w:val="20"/>
              </w:rPr>
              <w:t>Date déclarée</w:t>
            </w:r>
          </w:p>
        </w:tc>
      </w:tr>
      <w:tr w:rsidR="00F15245" w14:paraId="11DD93AA" w14:textId="77777777">
        <w:trPr>
          <w:cantSplit/>
          <w:jc w:val="center"/>
        </w:trPr>
        <w:tc>
          <w:tcPr>
            <w:tcW w:w="2683" w:type="dxa"/>
            <w:shd w:val="clear" w:color="auto" w:fill="FFFFFF"/>
            <w:tcMar>
              <w:top w:w="60" w:type="dxa"/>
              <w:left w:w="95" w:type="dxa"/>
              <w:bottom w:w="60" w:type="dxa"/>
              <w:right w:w="95" w:type="dxa"/>
            </w:tcMar>
            <w:vAlign w:val="center"/>
          </w:tcPr>
          <w:p w14:paraId="521A94FB" w14:textId="77777777" w:rsidR="00F15245" w:rsidRDefault="00A60C4A">
            <w:pPr>
              <w:spacing w:before="80" w:after="80" w:line="247" w:lineRule="auto"/>
            </w:pPr>
            <w:r>
              <w:rPr>
                <w:color w:val="000000"/>
                <w:sz w:val="20"/>
              </w:rPr>
              <w:t>Base article</w:t>
            </w:r>
          </w:p>
        </w:tc>
        <w:tc>
          <w:tcPr>
            <w:tcW w:w="3776" w:type="dxa"/>
            <w:shd w:val="clear" w:color="auto" w:fill="FFFFFF"/>
            <w:tcMar>
              <w:top w:w="60" w:type="dxa"/>
              <w:left w:w="95" w:type="dxa"/>
              <w:bottom w:w="60" w:type="dxa"/>
              <w:right w:w="95" w:type="dxa"/>
            </w:tcMar>
            <w:vAlign w:val="center"/>
          </w:tcPr>
          <w:p w14:paraId="60D255B2" w14:textId="77777777" w:rsidR="00F15245" w:rsidRDefault="00A60C4A">
            <w:pPr>
              <w:spacing w:before="80" w:after="80" w:line="247" w:lineRule="auto"/>
            </w:pPr>
            <w:r>
              <w:rPr>
                <w:color w:val="000000"/>
                <w:sz w:val="20"/>
              </w:rPr>
              <w:t>Code article V1.0.9 / package 1.1.2</w:t>
            </w:r>
          </w:p>
        </w:tc>
        <w:tc>
          <w:tcPr>
            <w:tcW w:w="3478" w:type="dxa"/>
            <w:shd w:val="clear" w:color="auto" w:fill="FFFFFF"/>
            <w:tcMar>
              <w:top w:w="60" w:type="dxa"/>
              <w:left w:w="95" w:type="dxa"/>
              <w:bottom w:w="60" w:type="dxa"/>
              <w:right w:w="95" w:type="dxa"/>
            </w:tcMar>
            <w:vAlign w:val="center"/>
          </w:tcPr>
          <w:p w14:paraId="002E78D1" w14:textId="77777777" w:rsidR="00F15245" w:rsidRDefault="00A60C4A">
            <w:pPr>
              <w:spacing w:before="80" w:after="80" w:line="247" w:lineRule="auto"/>
            </w:pPr>
            <w:r>
              <w:rPr>
                <w:color w:val="000000"/>
                <w:sz w:val="20"/>
              </w:rPr>
              <w:t>19 août 2026</w:t>
            </w:r>
          </w:p>
        </w:tc>
      </w:tr>
      <w:tr w:rsidR="00F15245" w14:paraId="24876B66" w14:textId="77777777">
        <w:trPr>
          <w:cantSplit/>
          <w:jc w:val="center"/>
        </w:trPr>
        <w:tc>
          <w:tcPr>
            <w:tcW w:w="2683" w:type="dxa"/>
            <w:shd w:val="clear" w:color="auto" w:fill="F5F7F9"/>
            <w:tcMar>
              <w:top w:w="60" w:type="dxa"/>
              <w:left w:w="95" w:type="dxa"/>
              <w:bottom w:w="60" w:type="dxa"/>
              <w:right w:w="95" w:type="dxa"/>
            </w:tcMar>
            <w:vAlign w:val="center"/>
          </w:tcPr>
          <w:p w14:paraId="7C769AE6" w14:textId="77777777" w:rsidR="00F15245" w:rsidRDefault="00A60C4A">
            <w:pPr>
              <w:spacing w:before="80" w:after="80" w:line="247" w:lineRule="auto"/>
            </w:pPr>
            <w:r>
              <w:rPr>
                <w:color w:val="000000"/>
                <w:sz w:val="20"/>
              </w:rPr>
              <w:t>Base profils</w:t>
            </w:r>
          </w:p>
        </w:tc>
        <w:tc>
          <w:tcPr>
            <w:tcW w:w="3776" w:type="dxa"/>
            <w:shd w:val="clear" w:color="auto" w:fill="F5F7F9"/>
            <w:tcMar>
              <w:top w:w="60" w:type="dxa"/>
              <w:left w:w="95" w:type="dxa"/>
              <w:bottom w:w="60" w:type="dxa"/>
              <w:right w:w="95" w:type="dxa"/>
            </w:tcMar>
            <w:vAlign w:val="center"/>
          </w:tcPr>
          <w:p w14:paraId="6D217653" w14:textId="77777777" w:rsidR="00F15245" w:rsidRDefault="00A60C4A">
            <w:pPr>
              <w:spacing w:before="80" w:after="80" w:line="247" w:lineRule="auto"/>
            </w:pPr>
            <w:r>
              <w:rPr>
                <w:color w:val="000000"/>
                <w:sz w:val="20"/>
              </w:rPr>
              <w:t>Package 1.1.2</w:t>
            </w:r>
          </w:p>
        </w:tc>
        <w:tc>
          <w:tcPr>
            <w:tcW w:w="3478" w:type="dxa"/>
            <w:shd w:val="clear" w:color="auto" w:fill="F5F7F9"/>
            <w:tcMar>
              <w:top w:w="60" w:type="dxa"/>
              <w:left w:w="95" w:type="dxa"/>
              <w:bottom w:w="60" w:type="dxa"/>
              <w:right w:w="95" w:type="dxa"/>
            </w:tcMar>
            <w:vAlign w:val="center"/>
          </w:tcPr>
          <w:p w14:paraId="37C53B79" w14:textId="77777777" w:rsidR="00F15245" w:rsidRDefault="00A60C4A">
            <w:pPr>
              <w:spacing w:before="80" w:after="80" w:line="247" w:lineRule="auto"/>
            </w:pPr>
            <w:r>
              <w:rPr>
                <w:color w:val="000000"/>
                <w:sz w:val="20"/>
              </w:rPr>
              <w:t>19 août 2026</w:t>
            </w:r>
          </w:p>
        </w:tc>
      </w:tr>
    </w:tbl>
    <w:p w14:paraId="7A2FE4BE" w14:textId="77777777" w:rsidR="00F15245" w:rsidRDefault="00F15245">
      <w:pPr>
        <w:spacing w:after="20"/>
      </w:pPr>
    </w:p>
    <w:p w14:paraId="1A67522C" w14:textId="77777777" w:rsidR="00F15245" w:rsidRDefault="00A60C4A">
      <w:r>
        <w:t xml:space="preserve">Ces versions de données sont compatibles avec la version applicative documentée ; elles ne doivent pas être renommées V1.1.3 pour leur donner artificiellement le même numéro que le logiciel. Les valeurs sont déclarées dans </w:t>
      </w:r>
      <w:r>
        <w:rPr>
          <w:rFonts w:ascii="Consolas" w:hAnsi="Consolas"/>
          <w:sz w:val="19"/>
        </w:rPr>
        <w:t>data_versions.json</w:t>
      </w:r>
      <w:r>
        <w:t>.</w:t>
      </w:r>
    </w:p>
    <w:p w14:paraId="08C83349" w14:textId="77777777" w:rsidR="00F15245" w:rsidRDefault="00A60C4A">
      <w:pPr>
        <w:pStyle w:val="Titre1"/>
      </w:pPr>
      <w:bookmarkStart w:id="4" w:name="_Toc241409735"/>
      <w:r>
        <w:t>5 Règles de rationalisation</w:t>
      </w:r>
      <w:bookmarkEnd w:id="4"/>
    </w:p>
    <w:p w14:paraId="03642E12" w14:textId="77777777" w:rsidR="00F15245" w:rsidRDefault="00A60C4A">
      <w:pPr>
        <w:pStyle w:val="Titre2"/>
      </w:pPr>
      <w:r>
        <w:t>Quantité totale et quantité pour un support</w:t>
      </w:r>
    </w:p>
    <w:p w14:paraId="35482502" w14:textId="77777777" w:rsidR="00F15245" w:rsidRDefault="00A60C4A">
      <w:r>
        <w:t>La quantité du CSV est conservée comme quantité totale. Pour une ligne, la quantité pour un support est la quantité totale divisée par le nombre de supports validé.</w:t>
      </w:r>
    </w:p>
    <w:p w14:paraId="2BC0879B" w14:textId="77777777" w:rsidR="00F15245" w:rsidRDefault="00A60C4A">
      <w:r>
        <w:t>Exemple pédagogique : une ligne de 40 équerres pour 20 supports donne 2 équerres par support. Modifier le nombre à 10 donne 4 équerres par support ; cela ne transforme pas automatiquement le besoin total en 20 ou en 400 équerres.</w:t>
      </w:r>
    </w:p>
    <w:p w14:paraId="141F22E6" w14:textId="77777777" w:rsidR="00F15245" w:rsidRDefault="00A60C4A">
      <w:r>
        <w:t>Cette distinction est essentielle pour les chemins de câbles : leur calcul utilise la quantité par support, le nombre et l’espacement. Une correction du nombre peut donc modifier leur métrage, même si la quantité totale de la ligne reste identique.</w:t>
      </w:r>
    </w:p>
    <w:p w14:paraId="098A8004" w14:textId="77777777" w:rsidR="00F15245" w:rsidRDefault="00A60C4A">
      <w:pPr>
        <w:pStyle w:val="Titre2"/>
      </w:pPr>
      <w:r>
        <w:t>Regroupement des lignes</w:t>
      </w:r>
    </w:p>
    <w:p w14:paraId="215DBE3F" w14:textId="77777777" w:rsidR="00F15245" w:rsidRDefault="00A60C4A">
      <w:r>
        <w:t>Un élément est classé comme élément avec longueur lorsque les trois champs Longueur utile, Longueur proposée et Chute calculée sont numériques. Sinon, il suit la clé de regroupement des pièces.</w:t>
      </w:r>
    </w:p>
    <w:p w14:paraId="2458317C" w14:textId="77777777" w:rsidR="00F15245" w:rsidRDefault="00A60C4A">
      <w:r>
        <w:t>Les pièces sont regroupées par code article normalisé avec sommation des quantités. Les éléments avec longueur sont regroupés par code et par les trois valeurs de longueur arrondies à six décimales. Deux découpes différentes d’une même référence restent donc séparées.</w:t>
      </w:r>
    </w:p>
    <w:p w14:paraId="666F172B" w14:textId="77777777" w:rsidR="00F15245" w:rsidRDefault="00A60C4A">
      <w:r>
        <w:t>La nomenclature par support additionne les quantités pour un support. La nomenclature totale pour optimisation additionne les quantités totales. Une ligne ayant un champ de longueur manquant peut être classée du côté des pièces ; examiner les données lorsque cette classification paraît anormale.</w:t>
      </w:r>
    </w:p>
    <w:p w14:paraId="4ED8C481" w14:textId="77777777" w:rsidR="00F15245" w:rsidRDefault="00A60C4A">
      <w:pPr>
        <w:pStyle w:val="Titre2"/>
      </w:pPr>
      <w:r>
        <w:t>Chemins de câbles et couvercles</w:t>
      </w:r>
    </w:p>
    <w:p w14:paraId="6CF77AAD" w14:textId="77777777" w:rsidR="00F15245" w:rsidRDefault="00A60C4A">
      <w:r>
        <w:t>La catégorie de la base article détermine ce traitement. Les catégories normalisées commençant par « chemin de cables » ou « couvercle de chemin de cable » sont reconnues. Le libellé seul ne suffit pas.</w:t>
      </w:r>
    </w:p>
    <w:p w14:paraId="6D2A3BAD" w14:textId="77777777" w:rsidR="00F15245" w:rsidRDefault="00A60C4A">
      <w:r>
        <w:t>Pour chaque ligne, le métrage nécessaire est calculé en multipliant l’espacement en mètres par le nombre de supports augmenté de 1, puis par la quantité pour un support. Cette convention « nombre plus un » est la règle implémentée ; elle doit correspondre au périmètre de l’étude métier. Elle ne doit pas être remplacée implicitement par le nombre d’intervalles entre supports.</w:t>
      </w:r>
    </w:p>
    <w:p w14:paraId="08404D5E" w14:textId="77777777" w:rsidR="00F15245" w:rsidRDefault="00A60C4A">
      <w:r>
        <w:t>Les métrages sont additionnés par code. Le nombre de barres est l’arrondi à l’entier supérieur du métrage total divisé par la longueur commerciale. Le métrage à chiffrer est le nombre de barres multiplié par cette longueur. La chute théorique est la différence avec le métrage nécessaire.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75"/>
        <w:gridCol w:w="6061"/>
      </w:tblGrid>
      <w:tr w:rsidR="00F15245" w14:paraId="29E93201" w14:textId="77777777">
        <w:trPr>
          <w:cantSplit/>
          <w:tblHeader/>
          <w:jc w:val="center"/>
        </w:trPr>
        <w:tc>
          <w:tcPr>
            <w:tcW w:w="3875" w:type="dxa"/>
            <w:shd w:val="clear" w:color="auto" w:fill="DCE6F1"/>
            <w:tcMar>
              <w:top w:w="60" w:type="dxa"/>
              <w:left w:w="95" w:type="dxa"/>
              <w:bottom w:w="60" w:type="dxa"/>
              <w:right w:w="95" w:type="dxa"/>
            </w:tcMar>
            <w:vAlign w:val="center"/>
          </w:tcPr>
          <w:p w14:paraId="25E4C9D2" w14:textId="77777777" w:rsidR="00F15245" w:rsidRDefault="00A60C4A">
            <w:pPr>
              <w:spacing w:before="80" w:after="80" w:line="247" w:lineRule="auto"/>
            </w:pPr>
            <w:r>
              <w:rPr>
                <w:b/>
                <w:color w:val="000000"/>
                <w:sz w:val="20"/>
              </w:rPr>
              <w:lastRenderedPageBreak/>
              <w:t>Exemple pédagogique</w:t>
            </w:r>
          </w:p>
        </w:tc>
        <w:tc>
          <w:tcPr>
            <w:tcW w:w="6061" w:type="dxa"/>
            <w:shd w:val="clear" w:color="auto" w:fill="DCE6F1"/>
            <w:tcMar>
              <w:top w:w="60" w:type="dxa"/>
              <w:left w:w="95" w:type="dxa"/>
              <w:bottom w:w="60" w:type="dxa"/>
              <w:right w:w="95" w:type="dxa"/>
            </w:tcMar>
            <w:vAlign w:val="center"/>
          </w:tcPr>
          <w:p w14:paraId="551F3961" w14:textId="77777777" w:rsidR="00F15245" w:rsidRDefault="00A60C4A">
            <w:pPr>
              <w:spacing w:before="80" w:after="80" w:line="247" w:lineRule="auto"/>
            </w:pPr>
            <w:r>
              <w:rPr>
                <w:b/>
                <w:color w:val="000000"/>
                <w:sz w:val="20"/>
              </w:rPr>
              <w:t>Valeur</w:t>
            </w:r>
          </w:p>
        </w:tc>
      </w:tr>
      <w:tr w:rsidR="00F15245" w14:paraId="002ABA3A" w14:textId="77777777">
        <w:trPr>
          <w:cantSplit/>
          <w:jc w:val="center"/>
        </w:trPr>
        <w:tc>
          <w:tcPr>
            <w:tcW w:w="3875" w:type="dxa"/>
            <w:shd w:val="clear" w:color="auto" w:fill="FFFFFF"/>
            <w:tcMar>
              <w:top w:w="60" w:type="dxa"/>
              <w:left w:w="95" w:type="dxa"/>
              <w:bottom w:w="60" w:type="dxa"/>
              <w:right w:w="95" w:type="dxa"/>
            </w:tcMar>
            <w:vAlign w:val="center"/>
          </w:tcPr>
          <w:p w14:paraId="72301C30" w14:textId="77777777" w:rsidR="00F15245" w:rsidRDefault="00A60C4A">
            <w:pPr>
              <w:spacing w:before="80" w:after="80" w:line="247" w:lineRule="auto"/>
            </w:pPr>
            <w:r>
              <w:rPr>
                <w:color w:val="000000"/>
                <w:sz w:val="20"/>
              </w:rPr>
              <w:t>Nombre de supports</w:t>
            </w:r>
          </w:p>
        </w:tc>
        <w:tc>
          <w:tcPr>
            <w:tcW w:w="6061" w:type="dxa"/>
            <w:shd w:val="clear" w:color="auto" w:fill="FFFFFF"/>
            <w:tcMar>
              <w:top w:w="60" w:type="dxa"/>
              <w:left w:w="95" w:type="dxa"/>
              <w:bottom w:w="60" w:type="dxa"/>
              <w:right w:w="95" w:type="dxa"/>
            </w:tcMar>
            <w:vAlign w:val="center"/>
          </w:tcPr>
          <w:p w14:paraId="3AB656BF" w14:textId="77777777" w:rsidR="00F15245" w:rsidRDefault="00A60C4A">
            <w:pPr>
              <w:spacing w:before="80" w:after="80" w:line="247" w:lineRule="auto"/>
            </w:pPr>
            <w:r>
              <w:rPr>
                <w:color w:val="000000"/>
                <w:sz w:val="20"/>
              </w:rPr>
              <w:t>20</w:t>
            </w:r>
          </w:p>
        </w:tc>
      </w:tr>
      <w:tr w:rsidR="00F15245" w14:paraId="76E2B637" w14:textId="77777777">
        <w:trPr>
          <w:cantSplit/>
          <w:jc w:val="center"/>
        </w:trPr>
        <w:tc>
          <w:tcPr>
            <w:tcW w:w="3875" w:type="dxa"/>
            <w:shd w:val="clear" w:color="auto" w:fill="F5F7F9"/>
            <w:tcMar>
              <w:top w:w="60" w:type="dxa"/>
              <w:left w:w="95" w:type="dxa"/>
              <w:bottom w:w="60" w:type="dxa"/>
              <w:right w:w="95" w:type="dxa"/>
            </w:tcMar>
            <w:vAlign w:val="center"/>
          </w:tcPr>
          <w:p w14:paraId="0236F893" w14:textId="77777777" w:rsidR="00F15245" w:rsidRDefault="00A60C4A">
            <w:pPr>
              <w:spacing w:before="80" w:after="80" w:line="247" w:lineRule="auto"/>
            </w:pPr>
            <w:r>
              <w:rPr>
                <w:color w:val="000000"/>
                <w:sz w:val="20"/>
              </w:rPr>
              <w:t>Espacement</w:t>
            </w:r>
          </w:p>
        </w:tc>
        <w:tc>
          <w:tcPr>
            <w:tcW w:w="6061" w:type="dxa"/>
            <w:shd w:val="clear" w:color="auto" w:fill="F5F7F9"/>
            <w:tcMar>
              <w:top w:w="60" w:type="dxa"/>
              <w:left w:w="95" w:type="dxa"/>
              <w:bottom w:w="60" w:type="dxa"/>
              <w:right w:w="95" w:type="dxa"/>
            </w:tcMar>
            <w:vAlign w:val="center"/>
          </w:tcPr>
          <w:p w14:paraId="11EAC70B" w14:textId="77777777" w:rsidR="00F15245" w:rsidRDefault="00A60C4A">
            <w:pPr>
              <w:spacing w:before="80" w:after="80" w:line="247" w:lineRule="auto"/>
            </w:pPr>
            <w:r>
              <w:rPr>
                <w:color w:val="000000"/>
                <w:sz w:val="20"/>
              </w:rPr>
              <w:t>1,5 m</w:t>
            </w:r>
          </w:p>
        </w:tc>
      </w:tr>
      <w:tr w:rsidR="00F15245" w14:paraId="016CD0AE" w14:textId="77777777">
        <w:trPr>
          <w:cantSplit/>
          <w:jc w:val="center"/>
        </w:trPr>
        <w:tc>
          <w:tcPr>
            <w:tcW w:w="3875" w:type="dxa"/>
            <w:shd w:val="clear" w:color="auto" w:fill="FFFFFF"/>
            <w:tcMar>
              <w:top w:w="60" w:type="dxa"/>
              <w:left w:w="95" w:type="dxa"/>
              <w:bottom w:w="60" w:type="dxa"/>
              <w:right w:w="95" w:type="dxa"/>
            </w:tcMar>
            <w:vAlign w:val="center"/>
          </w:tcPr>
          <w:p w14:paraId="72755600" w14:textId="77777777" w:rsidR="00F15245" w:rsidRDefault="00A60C4A">
            <w:pPr>
              <w:spacing w:before="80" w:after="80" w:line="247" w:lineRule="auto"/>
            </w:pPr>
            <w:r>
              <w:rPr>
                <w:color w:val="000000"/>
                <w:sz w:val="20"/>
              </w:rPr>
              <w:t>Quantité pour un support</w:t>
            </w:r>
          </w:p>
        </w:tc>
        <w:tc>
          <w:tcPr>
            <w:tcW w:w="6061" w:type="dxa"/>
            <w:shd w:val="clear" w:color="auto" w:fill="FFFFFF"/>
            <w:tcMar>
              <w:top w:w="60" w:type="dxa"/>
              <w:left w:w="95" w:type="dxa"/>
              <w:bottom w:w="60" w:type="dxa"/>
              <w:right w:w="95" w:type="dxa"/>
            </w:tcMar>
            <w:vAlign w:val="center"/>
          </w:tcPr>
          <w:p w14:paraId="1A712388" w14:textId="77777777" w:rsidR="00F15245" w:rsidRDefault="00A60C4A">
            <w:pPr>
              <w:spacing w:before="80" w:after="80" w:line="247" w:lineRule="auto"/>
            </w:pPr>
            <w:r>
              <w:rPr>
                <w:color w:val="000000"/>
                <w:sz w:val="20"/>
              </w:rPr>
              <w:t>1</w:t>
            </w:r>
          </w:p>
        </w:tc>
      </w:tr>
      <w:tr w:rsidR="00F15245" w14:paraId="52EFDF74" w14:textId="77777777">
        <w:trPr>
          <w:cantSplit/>
          <w:jc w:val="center"/>
        </w:trPr>
        <w:tc>
          <w:tcPr>
            <w:tcW w:w="3875" w:type="dxa"/>
            <w:shd w:val="clear" w:color="auto" w:fill="F5F7F9"/>
            <w:tcMar>
              <w:top w:w="60" w:type="dxa"/>
              <w:left w:w="95" w:type="dxa"/>
              <w:bottom w:w="60" w:type="dxa"/>
              <w:right w:w="95" w:type="dxa"/>
            </w:tcMar>
            <w:vAlign w:val="center"/>
          </w:tcPr>
          <w:p w14:paraId="468E667F" w14:textId="77777777" w:rsidR="00F15245" w:rsidRDefault="00A60C4A">
            <w:pPr>
              <w:spacing w:before="80" w:after="80" w:line="247" w:lineRule="auto"/>
            </w:pPr>
            <w:r>
              <w:rPr>
                <w:color w:val="000000"/>
                <w:sz w:val="20"/>
              </w:rPr>
              <w:t>Métrage nécessaire</w:t>
            </w:r>
          </w:p>
        </w:tc>
        <w:tc>
          <w:tcPr>
            <w:tcW w:w="6061" w:type="dxa"/>
            <w:shd w:val="clear" w:color="auto" w:fill="F5F7F9"/>
            <w:tcMar>
              <w:top w:w="60" w:type="dxa"/>
              <w:left w:w="95" w:type="dxa"/>
              <w:bottom w:w="60" w:type="dxa"/>
              <w:right w:w="95" w:type="dxa"/>
            </w:tcMar>
            <w:vAlign w:val="center"/>
          </w:tcPr>
          <w:p w14:paraId="5FFEF452" w14:textId="77777777" w:rsidR="00F15245" w:rsidRDefault="00A60C4A">
            <w:pPr>
              <w:spacing w:before="80" w:after="80" w:line="247" w:lineRule="auto"/>
            </w:pPr>
            <w:r>
              <w:rPr>
                <w:color w:val="000000"/>
                <w:sz w:val="20"/>
              </w:rPr>
              <w:t>1,5 × 21 × 1 = 31,5 m</w:t>
            </w:r>
          </w:p>
        </w:tc>
      </w:tr>
      <w:tr w:rsidR="00F15245" w14:paraId="77508A39" w14:textId="77777777">
        <w:trPr>
          <w:cantSplit/>
          <w:jc w:val="center"/>
        </w:trPr>
        <w:tc>
          <w:tcPr>
            <w:tcW w:w="3875" w:type="dxa"/>
            <w:shd w:val="clear" w:color="auto" w:fill="FFFFFF"/>
            <w:tcMar>
              <w:top w:w="60" w:type="dxa"/>
              <w:left w:w="95" w:type="dxa"/>
              <w:bottom w:w="60" w:type="dxa"/>
              <w:right w:w="95" w:type="dxa"/>
            </w:tcMar>
            <w:vAlign w:val="center"/>
          </w:tcPr>
          <w:p w14:paraId="575C5409" w14:textId="77777777" w:rsidR="00F15245" w:rsidRDefault="00A60C4A">
            <w:pPr>
              <w:spacing w:before="80" w:after="80" w:line="247" w:lineRule="auto"/>
            </w:pPr>
            <w:r>
              <w:rPr>
                <w:color w:val="000000"/>
                <w:sz w:val="20"/>
              </w:rPr>
              <w:t>Packaging utilisé comme longueur commerciale</w:t>
            </w:r>
          </w:p>
        </w:tc>
        <w:tc>
          <w:tcPr>
            <w:tcW w:w="6061" w:type="dxa"/>
            <w:shd w:val="clear" w:color="auto" w:fill="FFFFFF"/>
            <w:tcMar>
              <w:top w:w="60" w:type="dxa"/>
              <w:left w:w="95" w:type="dxa"/>
              <w:bottom w:w="60" w:type="dxa"/>
              <w:right w:w="95" w:type="dxa"/>
            </w:tcMar>
            <w:vAlign w:val="center"/>
          </w:tcPr>
          <w:p w14:paraId="0C10B085" w14:textId="77777777" w:rsidR="00F15245" w:rsidRDefault="00A60C4A">
            <w:pPr>
              <w:spacing w:before="80" w:after="80" w:line="247" w:lineRule="auto"/>
            </w:pPr>
            <w:r>
              <w:rPr>
                <w:color w:val="000000"/>
                <w:sz w:val="20"/>
              </w:rPr>
              <w:t>3 m</w:t>
            </w:r>
          </w:p>
        </w:tc>
      </w:tr>
      <w:tr w:rsidR="00F15245" w14:paraId="7DDEE7F4" w14:textId="77777777">
        <w:trPr>
          <w:cantSplit/>
          <w:jc w:val="center"/>
        </w:trPr>
        <w:tc>
          <w:tcPr>
            <w:tcW w:w="3875" w:type="dxa"/>
            <w:shd w:val="clear" w:color="auto" w:fill="F5F7F9"/>
            <w:tcMar>
              <w:top w:w="60" w:type="dxa"/>
              <w:left w:w="95" w:type="dxa"/>
              <w:bottom w:w="60" w:type="dxa"/>
              <w:right w:w="95" w:type="dxa"/>
            </w:tcMar>
            <w:vAlign w:val="center"/>
          </w:tcPr>
          <w:p w14:paraId="67D3977A" w14:textId="77777777" w:rsidR="00F15245" w:rsidRDefault="00A60C4A">
            <w:pPr>
              <w:spacing w:before="80" w:after="80" w:line="247" w:lineRule="auto"/>
            </w:pPr>
            <w:r>
              <w:rPr>
                <w:color w:val="000000"/>
                <w:sz w:val="20"/>
              </w:rPr>
              <w:t>Barres à prévoir</w:t>
            </w:r>
          </w:p>
        </w:tc>
        <w:tc>
          <w:tcPr>
            <w:tcW w:w="6061" w:type="dxa"/>
            <w:shd w:val="clear" w:color="auto" w:fill="F5F7F9"/>
            <w:tcMar>
              <w:top w:w="60" w:type="dxa"/>
              <w:left w:w="95" w:type="dxa"/>
              <w:bottom w:w="60" w:type="dxa"/>
              <w:right w:w="95" w:type="dxa"/>
            </w:tcMar>
            <w:vAlign w:val="center"/>
          </w:tcPr>
          <w:p w14:paraId="3B671D61" w14:textId="77777777" w:rsidR="00F15245" w:rsidRDefault="00A60C4A">
            <w:pPr>
              <w:spacing w:before="80" w:after="80" w:line="247" w:lineRule="auto"/>
            </w:pPr>
            <w:r>
              <w:rPr>
                <w:color w:val="000000"/>
                <w:sz w:val="20"/>
              </w:rPr>
              <w:t>11</w:t>
            </w:r>
          </w:p>
        </w:tc>
      </w:tr>
      <w:tr w:rsidR="00F15245" w14:paraId="43111CC9" w14:textId="77777777">
        <w:trPr>
          <w:cantSplit/>
          <w:jc w:val="center"/>
        </w:trPr>
        <w:tc>
          <w:tcPr>
            <w:tcW w:w="3875" w:type="dxa"/>
            <w:shd w:val="clear" w:color="auto" w:fill="FFFFFF"/>
            <w:tcMar>
              <w:top w:w="60" w:type="dxa"/>
              <w:left w:w="95" w:type="dxa"/>
              <w:bottom w:w="60" w:type="dxa"/>
              <w:right w:w="95" w:type="dxa"/>
            </w:tcMar>
            <w:vAlign w:val="center"/>
          </w:tcPr>
          <w:p w14:paraId="6B75740C" w14:textId="77777777" w:rsidR="00F15245" w:rsidRDefault="00A60C4A">
            <w:pPr>
              <w:spacing w:before="80" w:after="80" w:line="247" w:lineRule="auto"/>
            </w:pPr>
            <w:r>
              <w:rPr>
                <w:color w:val="000000"/>
                <w:sz w:val="20"/>
              </w:rPr>
              <w:t>Métrage à chiffrer</w:t>
            </w:r>
          </w:p>
        </w:tc>
        <w:tc>
          <w:tcPr>
            <w:tcW w:w="6061" w:type="dxa"/>
            <w:shd w:val="clear" w:color="auto" w:fill="FFFFFF"/>
            <w:tcMar>
              <w:top w:w="60" w:type="dxa"/>
              <w:left w:w="95" w:type="dxa"/>
              <w:bottom w:w="60" w:type="dxa"/>
              <w:right w:w="95" w:type="dxa"/>
            </w:tcMar>
            <w:vAlign w:val="center"/>
          </w:tcPr>
          <w:p w14:paraId="13F1ECAB" w14:textId="77777777" w:rsidR="00F15245" w:rsidRDefault="00A60C4A">
            <w:pPr>
              <w:spacing w:before="80" w:after="80" w:line="247" w:lineRule="auto"/>
            </w:pPr>
            <w:r>
              <w:rPr>
                <w:color w:val="000000"/>
                <w:sz w:val="20"/>
              </w:rPr>
              <w:t>33 m</w:t>
            </w:r>
          </w:p>
        </w:tc>
      </w:tr>
      <w:tr w:rsidR="00F15245" w14:paraId="45443547" w14:textId="77777777">
        <w:trPr>
          <w:cantSplit/>
          <w:jc w:val="center"/>
        </w:trPr>
        <w:tc>
          <w:tcPr>
            <w:tcW w:w="3875" w:type="dxa"/>
            <w:shd w:val="clear" w:color="auto" w:fill="F5F7F9"/>
            <w:tcMar>
              <w:top w:w="60" w:type="dxa"/>
              <w:left w:w="95" w:type="dxa"/>
              <w:bottom w:w="60" w:type="dxa"/>
              <w:right w:w="95" w:type="dxa"/>
            </w:tcMar>
            <w:vAlign w:val="center"/>
          </w:tcPr>
          <w:p w14:paraId="028A1B7F" w14:textId="77777777" w:rsidR="00F15245" w:rsidRDefault="00A60C4A">
            <w:pPr>
              <w:spacing w:before="80" w:after="80" w:line="247" w:lineRule="auto"/>
            </w:pPr>
            <w:r>
              <w:rPr>
                <w:color w:val="000000"/>
                <w:sz w:val="20"/>
              </w:rPr>
              <w:t>Chute théorique</w:t>
            </w:r>
          </w:p>
        </w:tc>
        <w:tc>
          <w:tcPr>
            <w:tcW w:w="6061" w:type="dxa"/>
            <w:shd w:val="clear" w:color="auto" w:fill="F5F7F9"/>
            <w:tcMar>
              <w:top w:w="60" w:type="dxa"/>
              <w:left w:w="95" w:type="dxa"/>
              <w:bottom w:w="60" w:type="dxa"/>
              <w:right w:w="95" w:type="dxa"/>
            </w:tcMar>
            <w:vAlign w:val="center"/>
          </w:tcPr>
          <w:p w14:paraId="074D8DC3" w14:textId="77777777" w:rsidR="00F15245" w:rsidRDefault="00A60C4A">
            <w:pPr>
              <w:spacing w:before="80" w:after="80" w:line="247" w:lineRule="auto"/>
            </w:pPr>
            <w:r>
              <w:rPr>
                <w:color w:val="000000"/>
                <w:sz w:val="20"/>
              </w:rPr>
              <w:t>1,5 m</w:t>
            </w:r>
          </w:p>
        </w:tc>
      </w:tr>
    </w:tbl>
    <w:p w14:paraId="64BCC18B" w14:textId="77777777" w:rsidR="00F15245" w:rsidRDefault="00F15245">
      <w:pPr>
        <w:spacing w:after="20"/>
      </w:pPr>
    </w:p>
    <w:p w14:paraId="3859DD78" w14:textId="77777777" w:rsidR="00F15245" w:rsidRDefault="00A60C4A">
      <w:r>
        <w:t>La longueur est prise dans Packaging, avec une constante de secours de 3 m au niveau du calcul. Le chargement de la base ayant déjà normalisé un Packaging invalide à 1, il faut vérifier explicitement les conditionnements : le texte « barres de 3 m » de l’interface n’est pas une contrainte absolue du moteur.</w:t>
      </w:r>
    </w:p>
    <w:p w14:paraId="6A92149D" w14:textId="77777777" w:rsidR="00F15245" w:rsidRDefault="00A60C4A">
      <w:r>
        <w:t>Si l’espacement est absent ou non positif, la ligne contribue pour 0 m et un contrôle d’erreur est produit. Le programme peut néanmoins générer des fichiers. Corriger l’espacement avant de valider l’offre, car celle-ci peut être incomplète.</w:t>
      </w:r>
    </w:p>
    <w:p w14:paraId="012DCAF1" w14:textId="77777777" w:rsidR="00F15245" w:rsidRDefault="00A60C4A">
      <w:pPr>
        <w:pStyle w:val="Titre1"/>
      </w:pPr>
      <w:bookmarkStart w:id="5" w:name="_Toc241409736"/>
      <w:r>
        <w:t>6 Gestion des profils et des longueurs</w:t>
      </w:r>
      <w:bookmarkEnd w:id="5"/>
    </w:p>
    <w:p w14:paraId="54CF3559" w14:textId="77777777" w:rsidR="00F15245" w:rsidRDefault="00A60C4A">
      <w:r>
        <w:t xml:space="preserve">Le fichier </w:t>
      </w:r>
      <w:r>
        <w:rPr>
          <w:rFonts w:ascii="Consolas" w:hAnsi="Consolas"/>
          <w:sz w:val="19"/>
        </w:rPr>
        <w:t>sufix_profiles.xlsx</w:t>
      </w:r>
      <w:r>
        <w:t xml:space="preserve"> comporte les feuilles « Codes rails », « Profiles de rails », « Codes tiges », « Profiles de tiges », « Codes consoles » et « Profiles de consoles ». Les codes sont rattachés à une géométrie et, pour les rails et tiges, à des longueurs commerciales.</w:t>
      </w:r>
    </w:p>
    <w:p w14:paraId="2C3E8135" w14:textId="77777777" w:rsidR="00F15245" w:rsidRDefault="00A60C4A">
      <w:r>
        <w:t>Les rails et tiges reconnus alimentent les découpes. Les consoles sont des références à longueur fixe : elles sont intégrées aux pièces, sans passer dans l’optimisation de barres. Un profil non reconnu reste signalé ; il ne faut pas supposer que sa quantité a été réintégrée dans l’offre optimisée.</w:t>
      </w:r>
    </w:p>
    <w:p w14:paraId="74EFA671" w14:textId="77777777" w:rsidR="00F15245" w:rsidRDefault="00A60C4A">
      <w:r>
        <w:t>L’interface présente les longueurs du référentiel pouvant accueillir au moins la plus petite découpe. Au calcul, si la sélection ne permet pas d’accueillir la plus grande découpe, le code peut réélargir la sélection aux longueurs compatibles du référentiel. Vérifier les plans et « _Paramètres » lorsqu’une longueur cochée ou décochée traduit une contrainte d’approvisionnement ferme.</w:t>
      </w:r>
    </w:p>
    <w:p w14:paraId="28D1353D" w14:textId="77777777" w:rsidR="00F15245" w:rsidRDefault="00A60C4A">
      <w:pPr>
        <w:pStyle w:val="Titre2"/>
      </w:pPr>
      <w:r>
        <w:t>Substitution Magnelis vers EZ</w:t>
      </w:r>
    </w:p>
    <w:p w14:paraId="7CF4261F" w14:textId="77777777" w:rsidR="00F15245" w:rsidRDefault="00A60C4A">
      <w:r>
        <w:t>La correspondance est construite à partir des profils rails, de leurs libellés normalisés et de leur matériau. Les mots relatifs à Magnelis et à l’électrozingué sont retirés pour rapprocher la géométrie. Une substitution ne s’effectue que si un profil cible et une référence commerciale compatibles existent.</w:t>
      </w:r>
    </w:p>
    <w:p w14:paraId="3D675F9C" w14:textId="77777777" w:rsidR="00F15245" w:rsidRDefault="00A60C4A">
      <w:r>
        <w:lastRenderedPageBreak/>
        <w:t>La longueur commerciale d’origine est conservée si elle est disponible en EZ. Sinon, le programme choisit la longueur compatible la plus proche de la longueur proposée. Il conserve la quantité et la longueur utile, puis recalcule la chute. Aucune validation de résistance à la corrosion ou d’équivalence mécanique n’est réalisée.</w:t>
      </w:r>
    </w:p>
    <w:p w14:paraId="41CBB053" w14:textId="77777777" w:rsidR="00F15245" w:rsidRDefault="00A60C4A">
      <w:pPr>
        <w:pStyle w:val="Titre1"/>
      </w:pPr>
      <w:bookmarkStart w:id="6" w:name="_Toc241409737"/>
      <w:r>
        <w:t>7 Optimisation des découpes</w:t>
      </w:r>
      <w:bookmarkEnd w:id="6"/>
    </w:p>
    <w:p w14:paraId="3E383306" w14:textId="77777777" w:rsidR="00F15245" w:rsidRDefault="00A60C4A">
      <w:pPr>
        <w:pStyle w:val="Titre2"/>
      </w:pPr>
      <w:r>
        <w:t>Construction des plans candidats</w:t>
      </w:r>
    </w:p>
    <w:p w14:paraId="0D0A42FA" w14:textId="77777777" w:rsidR="00F15245" w:rsidRDefault="00A60C4A">
      <w:r>
        <w:t>Le moteur traite chaque profil séparément. Les longueurs utiles en mètres sont converties en millimètres entiers par arrondi. Les quantités de découpe doivent être entières ; une quantité fractionnaire au-delà de la tolérance numérique déclenche une erreur.</w:t>
      </w:r>
    </w:p>
    <w:p w14:paraId="5DB82378" w14:textId="77777777" w:rsidR="00F15245" w:rsidRDefault="00A60C4A">
      <w:r>
        <w:t>Si la priorité aux longueurs exactes est active, chaque découpe égale à une longueur commerciale autorisée est affectée immédiatement à une barre de cette longueur. Le reste est trié par longueur décroissante.</w:t>
      </w:r>
    </w:p>
    <w:p w14:paraId="7C35AAB3" w14:textId="77777777" w:rsidR="00F15245" w:rsidRDefault="00A60C4A">
      <w:r>
        <w:t>Trois politiques sont testées : ouvrir la plus petite barre compatible, ouvrir la plus grande, ou choisir une barre selon une simulation de remplissage immédiat. Pour chacune, les chutes disponibles dans les barres déjà ouvertes sont utilisées avant l’ouverture d’une nouvelle barre. Le meilleur plan candidat est choisi selon le mode.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75"/>
        <w:gridCol w:w="6061"/>
      </w:tblGrid>
      <w:tr w:rsidR="00F15245" w14:paraId="40E1036D" w14:textId="77777777">
        <w:trPr>
          <w:cantSplit/>
          <w:tblHeader/>
          <w:jc w:val="center"/>
        </w:trPr>
        <w:tc>
          <w:tcPr>
            <w:tcW w:w="3875" w:type="dxa"/>
            <w:shd w:val="clear" w:color="auto" w:fill="DCE6F1"/>
            <w:tcMar>
              <w:top w:w="60" w:type="dxa"/>
              <w:left w:w="95" w:type="dxa"/>
              <w:bottom w:w="60" w:type="dxa"/>
              <w:right w:w="95" w:type="dxa"/>
            </w:tcMar>
            <w:vAlign w:val="center"/>
          </w:tcPr>
          <w:p w14:paraId="31E29BC0" w14:textId="77777777" w:rsidR="00F15245" w:rsidRDefault="00A60C4A">
            <w:pPr>
              <w:spacing w:before="80" w:after="80" w:line="247" w:lineRule="auto"/>
            </w:pPr>
            <w:r>
              <w:rPr>
                <w:b/>
                <w:color w:val="000000"/>
                <w:sz w:val="20"/>
              </w:rPr>
              <w:t>Mode interne</w:t>
            </w:r>
          </w:p>
        </w:tc>
        <w:tc>
          <w:tcPr>
            <w:tcW w:w="6061" w:type="dxa"/>
            <w:shd w:val="clear" w:color="auto" w:fill="DCE6F1"/>
            <w:tcMar>
              <w:top w:w="60" w:type="dxa"/>
              <w:left w:w="95" w:type="dxa"/>
              <w:bottom w:w="60" w:type="dxa"/>
              <w:right w:w="95" w:type="dxa"/>
            </w:tcMar>
            <w:vAlign w:val="center"/>
          </w:tcPr>
          <w:p w14:paraId="5D7DDF01" w14:textId="77777777" w:rsidR="00F15245" w:rsidRDefault="00A60C4A">
            <w:pPr>
              <w:spacing w:before="80" w:after="80" w:line="247" w:lineRule="auto"/>
            </w:pPr>
            <w:r>
              <w:rPr>
                <w:b/>
                <w:color w:val="000000"/>
                <w:sz w:val="20"/>
              </w:rPr>
              <w:t>Ordre des critères minimisés</w:t>
            </w:r>
          </w:p>
        </w:tc>
      </w:tr>
      <w:tr w:rsidR="00F15245" w14:paraId="02D3DC3A" w14:textId="77777777">
        <w:trPr>
          <w:cantSplit/>
          <w:jc w:val="center"/>
        </w:trPr>
        <w:tc>
          <w:tcPr>
            <w:tcW w:w="3875" w:type="dxa"/>
            <w:shd w:val="clear" w:color="auto" w:fill="FFFFFF"/>
            <w:tcMar>
              <w:top w:w="60" w:type="dxa"/>
              <w:left w:w="95" w:type="dxa"/>
              <w:bottom w:w="60" w:type="dxa"/>
              <w:right w:w="95" w:type="dxa"/>
            </w:tcMar>
            <w:vAlign w:val="center"/>
          </w:tcPr>
          <w:p w14:paraId="134D532D" w14:textId="77777777" w:rsidR="00F15245" w:rsidRDefault="00A60C4A">
            <w:pPr>
              <w:spacing w:before="80" w:after="80" w:line="247" w:lineRule="auto"/>
            </w:pPr>
            <w:r>
              <w:rPr>
                <w:color w:val="000000"/>
                <w:sz w:val="20"/>
              </w:rPr>
              <w:t>matiere</w:t>
            </w:r>
          </w:p>
        </w:tc>
        <w:tc>
          <w:tcPr>
            <w:tcW w:w="6061" w:type="dxa"/>
            <w:shd w:val="clear" w:color="auto" w:fill="FFFFFF"/>
            <w:tcMar>
              <w:top w:w="60" w:type="dxa"/>
              <w:left w:w="95" w:type="dxa"/>
              <w:bottom w:w="60" w:type="dxa"/>
              <w:right w:w="95" w:type="dxa"/>
            </w:tcMar>
            <w:vAlign w:val="center"/>
          </w:tcPr>
          <w:p w14:paraId="187CB260" w14:textId="77777777" w:rsidR="00F15245" w:rsidRDefault="00A60C4A">
            <w:pPr>
              <w:spacing w:before="80" w:after="80" w:line="247" w:lineRule="auto"/>
            </w:pPr>
            <w:r>
              <w:rPr>
                <w:color w:val="000000"/>
                <w:sz w:val="20"/>
              </w:rPr>
              <w:t>Longueur achetée, chute totale, nombre de barres, nombre de schémas</w:t>
            </w:r>
          </w:p>
        </w:tc>
      </w:tr>
      <w:tr w:rsidR="00F15245" w14:paraId="5FA8EFCA" w14:textId="77777777">
        <w:trPr>
          <w:cantSplit/>
          <w:jc w:val="center"/>
        </w:trPr>
        <w:tc>
          <w:tcPr>
            <w:tcW w:w="3875" w:type="dxa"/>
            <w:shd w:val="clear" w:color="auto" w:fill="F5F7F9"/>
            <w:tcMar>
              <w:top w:w="60" w:type="dxa"/>
              <w:left w:w="95" w:type="dxa"/>
              <w:bottom w:w="60" w:type="dxa"/>
              <w:right w:w="95" w:type="dxa"/>
            </w:tcMar>
            <w:vAlign w:val="center"/>
          </w:tcPr>
          <w:p w14:paraId="14B45E43" w14:textId="77777777" w:rsidR="00F15245" w:rsidRDefault="00A60C4A">
            <w:pPr>
              <w:spacing w:before="80" w:after="80" w:line="247" w:lineRule="auto"/>
            </w:pPr>
            <w:r>
              <w:rPr>
                <w:color w:val="000000"/>
                <w:sz w:val="20"/>
              </w:rPr>
              <w:t>equilibre</w:t>
            </w:r>
          </w:p>
        </w:tc>
        <w:tc>
          <w:tcPr>
            <w:tcW w:w="6061" w:type="dxa"/>
            <w:shd w:val="clear" w:color="auto" w:fill="F5F7F9"/>
            <w:tcMar>
              <w:top w:w="60" w:type="dxa"/>
              <w:left w:w="95" w:type="dxa"/>
              <w:bottom w:w="60" w:type="dxa"/>
              <w:right w:w="95" w:type="dxa"/>
            </w:tcMar>
            <w:vAlign w:val="center"/>
          </w:tcPr>
          <w:p w14:paraId="6690E4DD" w14:textId="77777777" w:rsidR="00F15245" w:rsidRDefault="00A60C4A">
            <w:pPr>
              <w:spacing w:before="80" w:after="80" w:line="247" w:lineRule="auto"/>
            </w:pPr>
            <w:r>
              <w:rPr>
                <w:color w:val="000000"/>
                <w:sz w:val="20"/>
              </w:rPr>
              <w:t>Longueur achetée, nombre de barres, nombre de schémas, chute totale</w:t>
            </w:r>
          </w:p>
        </w:tc>
      </w:tr>
      <w:tr w:rsidR="00F15245" w14:paraId="743758D0" w14:textId="77777777">
        <w:trPr>
          <w:cantSplit/>
          <w:jc w:val="center"/>
        </w:trPr>
        <w:tc>
          <w:tcPr>
            <w:tcW w:w="3875" w:type="dxa"/>
            <w:shd w:val="clear" w:color="auto" w:fill="FFFFFF"/>
            <w:tcMar>
              <w:top w:w="60" w:type="dxa"/>
              <w:left w:w="95" w:type="dxa"/>
              <w:bottom w:w="60" w:type="dxa"/>
              <w:right w:w="95" w:type="dxa"/>
            </w:tcMar>
            <w:vAlign w:val="center"/>
          </w:tcPr>
          <w:p w14:paraId="6F03FBBC" w14:textId="77777777" w:rsidR="00F15245" w:rsidRDefault="00A60C4A">
            <w:pPr>
              <w:spacing w:before="80" w:after="80" w:line="247" w:lineRule="auto"/>
            </w:pPr>
            <w:r>
              <w:rPr>
                <w:color w:val="000000"/>
                <w:sz w:val="20"/>
              </w:rPr>
              <w:t>fabrication</w:t>
            </w:r>
          </w:p>
        </w:tc>
        <w:tc>
          <w:tcPr>
            <w:tcW w:w="6061" w:type="dxa"/>
            <w:shd w:val="clear" w:color="auto" w:fill="FFFFFF"/>
            <w:tcMar>
              <w:top w:w="60" w:type="dxa"/>
              <w:left w:w="95" w:type="dxa"/>
              <w:bottom w:w="60" w:type="dxa"/>
              <w:right w:w="95" w:type="dxa"/>
            </w:tcMar>
            <w:vAlign w:val="center"/>
          </w:tcPr>
          <w:p w14:paraId="06DD55F5" w14:textId="77777777" w:rsidR="00F15245" w:rsidRDefault="00A60C4A">
            <w:pPr>
              <w:spacing w:before="80" w:after="80" w:line="247" w:lineRule="auto"/>
            </w:pPr>
            <w:r>
              <w:rPr>
                <w:color w:val="000000"/>
                <w:sz w:val="20"/>
              </w:rPr>
              <w:t>Nombre de schémas, nombre de barres, longueur achetée, chute totale</w:t>
            </w:r>
          </w:p>
        </w:tc>
      </w:tr>
    </w:tbl>
    <w:p w14:paraId="0A572857" w14:textId="77777777" w:rsidR="00F15245" w:rsidRDefault="00F15245">
      <w:pPr>
        <w:spacing w:after="20"/>
      </w:pPr>
    </w:p>
    <w:p w14:paraId="4CB33FFC" w14:textId="77777777" w:rsidR="00F15245" w:rsidRDefault="00A60C4A">
      <w:r>
        <w:t>Il s’agit d’un ordre de priorité successif, pas d’une somme pondérée de coûts. Le mode fabrication peut retenir davantage de matière pour limiter les schémas. À besoin utile constant, la chute dépend directement de la longueur achetée : les modes matière et équilibré peuvent donc aboutir au même classement et aux mêmes résultats.</w:t>
      </w:r>
    </w:p>
    <w:p w14:paraId="13AA9119" w14:textId="77777777" w:rsidR="00F15245" w:rsidRDefault="00A60C4A">
      <w:r>
        <w:t>Un schéma est identifié, dans la comparaison interne d’un profil, par la longueur de barre et la liste triée de ses découpes. La comparaison est limitée aux plans candidats générés. Aucun solveur exact, apprentissage automatique ou recherche exhaustive de toutes les combinaisons n’est utilisé.</w:t>
      </w:r>
    </w:p>
    <w:p w14:paraId="118D2ACD" w14:textId="77777777" w:rsidR="00F15245" w:rsidRDefault="00A60C4A">
      <w:pPr>
        <w:pStyle w:val="Titre2"/>
      </w:pPr>
      <w:r>
        <w:t>Lecture des indicateurs</w:t>
      </w:r>
    </w:p>
    <w:p w14:paraId="6FAFAF38" w14:textId="77777777" w:rsidR="00F15245" w:rsidRDefault="00A60C4A">
      <w:r>
        <w:t>Les indicateurs de longueur et de rendement portent sur les rails et tiges transmis au moteur. Ils ne comprennent pas le métrage des chemins de câbles ni les pièces. La longueur initiale est la somme des quantités multipliées par les longueurs proposées de ces lignes. La longueur optimisée est la somme des nombres de barres multipliés par leurs tailles.</w:t>
      </w:r>
    </w:p>
    <w:p w14:paraId="41E1F2C0" w14:textId="77777777" w:rsidR="00F15245" w:rsidRDefault="00A60C4A">
      <w:r>
        <w:t>Le gain en mètres est la longueur initiale moins la longueur optimisée. Son pourcentage est calculé par rapport à la longueur initiale ; il vaut 0 lorsque celle-ci vaut 0. Le rendement est la longueur utile totale divisée par la longueur optimisée, exprimée en pourcentage. Lorsqu’aucune longueur optimisée n’existe, le moteur renvoie 100 % par convention : ce résultat ne prouve pas une performance matière sur une étude composée uniquement de pièces.</w:t>
      </w:r>
    </w:p>
    <w:p w14:paraId="142A8FE3" w14:textId="77777777" w:rsidR="00F15245" w:rsidRDefault="00A60C4A">
      <w:r>
        <w:lastRenderedPageBreak/>
        <w:t>Le nombre de plans distincts affiché dans les KPI tient compte du profil, de la taille de barre et de la chaîne de découpes. Le « nombre de codes à chiffrer » est une somme de quantités commerciales, et non le nombre de références distinctes. Son gain n’est pas une économie monétaire.</w:t>
      </w:r>
    </w:p>
    <w:p w14:paraId="3FDEACAA" w14:textId="77777777" w:rsidR="00F15245" w:rsidRDefault="00A60C4A">
      <w:r>
        <w:t>Les points forts sont attribués par comparaison entre les modes calculés : meilleur rendement, moins de plans, moins de barres et moins de longueur achetée. Ils peuvent être partagés en cas d’égalité. Si des modes sont ensuite retirés de l’Excel, les mentions ont été calculées sur l’ensemble initial des modes ; elles ne sont pas recalculées sur le seul sous-ensemble exporté.</w:t>
      </w:r>
    </w:p>
    <w:p w14:paraId="5C92CE3F" w14:textId="77777777" w:rsidR="00F15245" w:rsidRDefault="00A60C4A">
      <w:pPr>
        <w:pStyle w:val="Titre2"/>
      </w:pPr>
      <w:r>
        <w:t>Limites de fabrication</w:t>
      </w:r>
    </w:p>
    <w:p w14:paraId="06FF3496" w14:textId="77777777" w:rsidR="00F15245" w:rsidRDefault="00A60C4A">
      <w:r>
        <w:t>Le moteur additionne les longueurs utiles sans ajouter de trait de scie, de surlongueur de dressage ou de marge de tolérance. Il ne gère pas de stock de chutes venant d’une autre étude, de quantités maximales disponibles par longueur, ni de coût d’outillage. Les plans sont donc des plans théoriques à valider au regard du procédé réel.</w:t>
      </w:r>
    </w:p>
    <w:p w14:paraId="07910EF9" w14:textId="77777777" w:rsidR="00F15245" w:rsidRDefault="00A60C4A">
      <w:pPr>
        <w:pStyle w:val="Titre1"/>
      </w:pPr>
      <w:bookmarkStart w:id="7" w:name="_Toc241409738"/>
      <w:r>
        <w:t>8 Offre initiale et offres optimisées</w:t>
      </w:r>
      <w:bookmarkEnd w:id="7"/>
    </w:p>
    <w:p w14:paraId="62F82DF0" w14:textId="77777777" w:rsidR="00F15245" w:rsidRDefault="00A60C4A">
      <w:r>
        <w:t>Les offres utilisent les colonnes Type, Code article, Profil, Libellé, Category, Quantité à chiffrer, Unité, Packaging et Nombre de code à chiffrer.</w:t>
      </w:r>
    </w:p>
    <w:p w14:paraId="660734F7" w14:textId="77777777" w:rsidR="00F15245" w:rsidRDefault="00A60C4A">
      <w:r>
        <w:t>L’offre initiale agrège les quantités par code sans réorganiser les découpes de rails et tiges. Elle contient déjà les codes actualisés, les éventuelles substitutions Magnelis vers EZ et le calcul commercial des chemins de câbles. Ce périmètre doit être conservé dans toute comparaison.</w:t>
      </w:r>
    </w:p>
    <w:p w14:paraId="3D87CD55" w14:textId="77777777" w:rsidR="00F15245" w:rsidRDefault="00A60C4A">
      <w:r>
        <w:t>Pour une pièce, le nombre de codes à chiffrer est l’arrondi supérieur de la quantité divisée par Packaging. Pour un article linéaire vendu au mètre, le nombre de barres est converti en métrage à chiffrer selon son conditionnement. Le nombre de codes commerciaux représente alors les barres ou conditionnements correspondants.</w:t>
      </w:r>
    </w:p>
    <w:p w14:paraId="1DDD1B69" w14:textId="77777777" w:rsidR="00F15245" w:rsidRDefault="00A60C4A">
      <w:r>
        <w:t>Les offres optimisées combinent les rails et tiges issus du plan du mode, les pièces et consoles conditionnées, et les chemins de câbles. Le dossier doit permettre de rapprocher chaque code de barre du bon couple profil et longueur commerciale.</w:t>
      </w:r>
    </w:p>
    <w:p w14:paraId="46714357" w14:textId="77777777" w:rsidR="00F15245" w:rsidRDefault="00A60C4A">
      <w:r>
        <w:t>L’Excel généré contient les feuilles « Opti globale - … » et « Plan découpe - … » des modes cochés à l’écran final. « Offre initiale » reste présente même si son export EQ est décoché. Les détails techniques sont masqués et peuvent être affichés dans Excel pour la revue.</w:t>
      </w:r>
    </w:p>
    <w:p w14:paraId="0231434A" w14:textId="77777777" w:rsidR="00F15245" w:rsidRDefault="00A60C4A">
      <w:pPr>
        <w:pStyle w:val="Titre1"/>
      </w:pPr>
      <w:bookmarkStart w:id="8" w:name="_Toc241409739"/>
      <w:r>
        <w:t>9 Export EQ</w:t>
      </w:r>
      <w:bookmarkEnd w:id="8"/>
    </w:p>
    <w:p w14:paraId="36EF29D4" w14:textId="77777777" w:rsidR="00F15245" w:rsidRDefault="00A60C4A">
      <w:r>
        <w:t xml:space="preserve">Le format exporté comprend 47 colonnes dans l’ordre de </w:t>
      </w:r>
      <w:r>
        <w:rPr>
          <w:rFonts w:ascii="Consolas" w:hAnsi="Consolas"/>
          <w:sz w:val="19"/>
        </w:rPr>
        <w:t>ERP_CSV_HEADERS</w:t>
      </w:r>
      <w:r>
        <w:t>, en UTF-8 sans BOM, avec une virgule séparatrice. Les valeurs sont nettoyées : les virgules internes sont remplacées par des points et les sauts de ligne sont neutralisés. Le programme écrit une ligne « Comment » par catégorie, puis les lignes « STD » des articles.</w:t>
      </w:r>
    </w:p>
    <w:p w14:paraId="1024697C" w14:textId="77777777" w:rsidR="00F15245" w:rsidRDefault="00A60C4A">
      <w:r>
        <w:t>Pour une unité linéaire reconnue, la quantité EQ est « Quantité à chiffrer ». Pour les autres unités, elle est « Nombre de code à chiffrer ». Ainsi, 145 pièces en boîtes de 100 conduisent à 2 unités commerciales dans EQ ; 11 barres de chemin de câbles de 3 m conduisent à 33 ML si l’unité est ML.</w:t>
      </w:r>
    </w:p>
    <w:p w14:paraId="5FEF7EC1" w14:textId="77777777" w:rsidR="00F15245" w:rsidRDefault="00A60C4A">
      <w:r>
        <w:t xml:space="preserve">L’utilisateur déclenche les exports à l’écran final. Les noms différencient les modes par MATIERE, EQUILIBRE et FABRICATION. Les fichiers du même nom et de la même date sont réécrits. Le logiciel ne se connecte pas à EQ </w:t>
      </w:r>
      <w:r>
        <w:lastRenderedPageBreak/>
        <w:t>et ne confirme pas la réussite d’un import : réaliser une recette d’import selon le paramétrage réel de l’entreprise.</w:t>
      </w:r>
    </w:p>
    <w:p w14:paraId="01DEA19C" w14:textId="77777777" w:rsidR="00F15245" w:rsidRDefault="00A60C4A">
      <w:pPr>
        <w:pStyle w:val="Titre1"/>
      </w:pPr>
      <w:bookmarkStart w:id="9" w:name="_Toc241409740"/>
      <w:r>
        <w:t>10 Contrôles métier et limites</w:t>
      </w:r>
      <w:bookmarkEnd w:id="9"/>
    </w:p>
    <w:p w14:paraId="54EA9BF0" w14:textId="77777777" w:rsidR="00F15245" w:rsidRDefault="00A60C4A">
      <w:r>
        <w:t>La feuille « Contrôles » regroupe les nombres de supports, les codes reconnus, les profils, le Packaging, les chemins de câbles, les versions des bases et les découpes affectées pour chaque mode. Le contrôle des découpes compare le nombre demandé au nombre affecté ; il ne constitue pas à lui seul une preuve d’égalité de toutes les longueurs et de toutes les références.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75"/>
        <w:gridCol w:w="6061"/>
      </w:tblGrid>
      <w:tr w:rsidR="00F15245" w14:paraId="08D956D7" w14:textId="77777777">
        <w:trPr>
          <w:cantSplit/>
          <w:tblHeader/>
          <w:jc w:val="center"/>
        </w:trPr>
        <w:tc>
          <w:tcPr>
            <w:tcW w:w="3875" w:type="dxa"/>
            <w:shd w:val="clear" w:color="auto" w:fill="DCE6F1"/>
            <w:tcMar>
              <w:top w:w="60" w:type="dxa"/>
              <w:left w:w="95" w:type="dxa"/>
              <w:bottom w:w="60" w:type="dxa"/>
              <w:right w:w="95" w:type="dxa"/>
            </w:tcMar>
            <w:vAlign w:val="center"/>
          </w:tcPr>
          <w:p w14:paraId="476D1DDB" w14:textId="77777777" w:rsidR="00F15245" w:rsidRDefault="00A60C4A">
            <w:pPr>
              <w:spacing w:before="80" w:after="80" w:line="247" w:lineRule="auto"/>
            </w:pPr>
            <w:r>
              <w:rPr>
                <w:b/>
                <w:color w:val="000000"/>
                <w:sz w:val="20"/>
              </w:rPr>
              <w:t>Point à valider</w:t>
            </w:r>
          </w:p>
        </w:tc>
        <w:tc>
          <w:tcPr>
            <w:tcW w:w="6061" w:type="dxa"/>
            <w:shd w:val="clear" w:color="auto" w:fill="DCE6F1"/>
            <w:tcMar>
              <w:top w:w="60" w:type="dxa"/>
              <w:left w:w="95" w:type="dxa"/>
              <w:bottom w:w="60" w:type="dxa"/>
              <w:right w:w="95" w:type="dxa"/>
            </w:tcMar>
            <w:vAlign w:val="center"/>
          </w:tcPr>
          <w:p w14:paraId="401F38F8" w14:textId="77777777" w:rsidR="00F15245" w:rsidRDefault="00A60C4A">
            <w:pPr>
              <w:spacing w:before="80" w:after="80" w:line="247" w:lineRule="auto"/>
            </w:pPr>
            <w:r>
              <w:rPr>
                <w:b/>
                <w:color w:val="000000"/>
                <w:sz w:val="20"/>
              </w:rPr>
              <w:t>Critère de décision métier</w:t>
            </w:r>
          </w:p>
        </w:tc>
      </w:tr>
      <w:tr w:rsidR="00F15245" w14:paraId="6BF6717A" w14:textId="77777777">
        <w:trPr>
          <w:cantSplit/>
          <w:jc w:val="center"/>
        </w:trPr>
        <w:tc>
          <w:tcPr>
            <w:tcW w:w="3875" w:type="dxa"/>
            <w:shd w:val="clear" w:color="auto" w:fill="FFFFFF"/>
            <w:tcMar>
              <w:top w:w="60" w:type="dxa"/>
              <w:left w:w="95" w:type="dxa"/>
              <w:bottom w:w="60" w:type="dxa"/>
              <w:right w:w="95" w:type="dxa"/>
            </w:tcMar>
            <w:vAlign w:val="center"/>
          </w:tcPr>
          <w:p w14:paraId="14E53A4B" w14:textId="77777777" w:rsidR="00F15245" w:rsidRDefault="00A60C4A">
            <w:pPr>
              <w:spacing w:before="80" w:after="80" w:line="247" w:lineRule="auto"/>
            </w:pPr>
            <w:r>
              <w:rPr>
                <w:color w:val="000000"/>
                <w:sz w:val="20"/>
              </w:rPr>
              <w:t>Sources et supports</w:t>
            </w:r>
          </w:p>
        </w:tc>
        <w:tc>
          <w:tcPr>
            <w:tcW w:w="6061" w:type="dxa"/>
            <w:shd w:val="clear" w:color="auto" w:fill="FFFFFF"/>
            <w:tcMar>
              <w:top w:w="60" w:type="dxa"/>
              <w:left w:w="95" w:type="dxa"/>
              <w:bottom w:w="60" w:type="dxa"/>
              <w:right w:w="95" w:type="dxa"/>
            </w:tcMar>
            <w:vAlign w:val="center"/>
          </w:tcPr>
          <w:p w14:paraId="38FA0DF6" w14:textId="77777777" w:rsidR="00F15245" w:rsidRDefault="00A60C4A">
            <w:pPr>
              <w:spacing w:before="80" w:after="80" w:line="247" w:lineRule="auto"/>
            </w:pPr>
            <w:r>
              <w:rPr>
                <w:color w:val="000000"/>
                <w:sz w:val="20"/>
              </w:rPr>
              <w:t>Même étude, noms non ambigus, nombres confirmés</w:t>
            </w:r>
          </w:p>
        </w:tc>
      </w:tr>
      <w:tr w:rsidR="00F15245" w14:paraId="296A07F4" w14:textId="77777777">
        <w:trPr>
          <w:cantSplit/>
          <w:jc w:val="center"/>
        </w:trPr>
        <w:tc>
          <w:tcPr>
            <w:tcW w:w="3875" w:type="dxa"/>
            <w:shd w:val="clear" w:color="auto" w:fill="F5F7F9"/>
            <w:tcMar>
              <w:top w:w="60" w:type="dxa"/>
              <w:left w:w="95" w:type="dxa"/>
              <w:bottom w:w="60" w:type="dxa"/>
              <w:right w:w="95" w:type="dxa"/>
            </w:tcMar>
            <w:vAlign w:val="center"/>
          </w:tcPr>
          <w:p w14:paraId="686C50BA" w14:textId="77777777" w:rsidR="00F15245" w:rsidRDefault="00A60C4A">
            <w:pPr>
              <w:spacing w:before="80" w:after="80" w:line="247" w:lineRule="auto"/>
            </w:pPr>
            <w:r>
              <w:rPr>
                <w:color w:val="000000"/>
                <w:sz w:val="20"/>
              </w:rPr>
              <w:t>Articles et profils</w:t>
            </w:r>
          </w:p>
        </w:tc>
        <w:tc>
          <w:tcPr>
            <w:tcW w:w="6061" w:type="dxa"/>
            <w:shd w:val="clear" w:color="auto" w:fill="F5F7F9"/>
            <w:tcMar>
              <w:top w:w="60" w:type="dxa"/>
              <w:left w:w="95" w:type="dxa"/>
              <w:bottom w:w="60" w:type="dxa"/>
              <w:right w:w="95" w:type="dxa"/>
            </w:tcMar>
            <w:vAlign w:val="center"/>
          </w:tcPr>
          <w:p w14:paraId="1E61CFB5" w14:textId="77777777" w:rsidR="00F15245" w:rsidRDefault="00A60C4A">
            <w:pPr>
              <w:spacing w:before="80" w:after="80" w:line="247" w:lineRule="auto"/>
            </w:pPr>
            <w:r>
              <w:rPr>
                <w:color w:val="000000"/>
                <w:sz w:val="20"/>
              </w:rPr>
              <w:t>Aucune référence manquante dans l’offre retenue</w:t>
            </w:r>
          </w:p>
        </w:tc>
      </w:tr>
      <w:tr w:rsidR="00F15245" w14:paraId="2C99A76B" w14:textId="77777777">
        <w:trPr>
          <w:cantSplit/>
          <w:jc w:val="center"/>
        </w:trPr>
        <w:tc>
          <w:tcPr>
            <w:tcW w:w="3875" w:type="dxa"/>
            <w:shd w:val="clear" w:color="auto" w:fill="FFFFFF"/>
            <w:tcMar>
              <w:top w:w="60" w:type="dxa"/>
              <w:left w:w="95" w:type="dxa"/>
              <w:bottom w:w="60" w:type="dxa"/>
              <w:right w:w="95" w:type="dxa"/>
            </w:tcMar>
            <w:vAlign w:val="center"/>
          </w:tcPr>
          <w:p w14:paraId="63BFF421" w14:textId="77777777" w:rsidR="00F15245" w:rsidRDefault="00A60C4A">
            <w:pPr>
              <w:spacing w:before="80" w:after="80" w:line="247" w:lineRule="auto"/>
            </w:pPr>
            <w:r>
              <w:rPr>
                <w:color w:val="000000"/>
                <w:sz w:val="20"/>
              </w:rPr>
              <w:t>Chemins de câbles</w:t>
            </w:r>
          </w:p>
        </w:tc>
        <w:tc>
          <w:tcPr>
            <w:tcW w:w="6061" w:type="dxa"/>
            <w:shd w:val="clear" w:color="auto" w:fill="FFFFFF"/>
            <w:tcMar>
              <w:top w:w="60" w:type="dxa"/>
              <w:left w:w="95" w:type="dxa"/>
              <w:bottom w:w="60" w:type="dxa"/>
              <w:right w:w="95" w:type="dxa"/>
            </w:tcMar>
            <w:vAlign w:val="center"/>
          </w:tcPr>
          <w:p w14:paraId="560583AF" w14:textId="77777777" w:rsidR="00F15245" w:rsidRDefault="00A60C4A">
            <w:pPr>
              <w:spacing w:before="80" w:after="80" w:line="247" w:lineRule="auto"/>
            </w:pPr>
            <w:r>
              <w:rPr>
                <w:color w:val="000000"/>
                <w:sz w:val="20"/>
              </w:rPr>
              <w:t>Espacements validés, règle nombre plus un appropriée, Packaging correct</w:t>
            </w:r>
          </w:p>
        </w:tc>
      </w:tr>
      <w:tr w:rsidR="00F15245" w14:paraId="2BC1D790" w14:textId="77777777">
        <w:trPr>
          <w:cantSplit/>
          <w:jc w:val="center"/>
        </w:trPr>
        <w:tc>
          <w:tcPr>
            <w:tcW w:w="3875" w:type="dxa"/>
            <w:shd w:val="clear" w:color="auto" w:fill="F5F7F9"/>
            <w:tcMar>
              <w:top w:w="60" w:type="dxa"/>
              <w:left w:w="95" w:type="dxa"/>
              <w:bottom w:w="60" w:type="dxa"/>
              <w:right w:w="95" w:type="dxa"/>
            </w:tcMar>
            <w:vAlign w:val="center"/>
          </w:tcPr>
          <w:p w14:paraId="1DB87B5B" w14:textId="77777777" w:rsidR="00F15245" w:rsidRDefault="00A60C4A">
            <w:pPr>
              <w:spacing w:before="80" w:after="80" w:line="247" w:lineRule="auto"/>
            </w:pPr>
            <w:r>
              <w:rPr>
                <w:color w:val="000000"/>
                <w:sz w:val="20"/>
              </w:rPr>
              <w:t>Plans de découpe</w:t>
            </w:r>
          </w:p>
        </w:tc>
        <w:tc>
          <w:tcPr>
            <w:tcW w:w="6061" w:type="dxa"/>
            <w:shd w:val="clear" w:color="auto" w:fill="F5F7F9"/>
            <w:tcMar>
              <w:top w:w="60" w:type="dxa"/>
              <w:left w:w="95" w:type="dxa"/>
              <w:bottom w:w="60" w:type="dxa"/>
              <w:right w:w="95" w:type="dxa"/>
            </w:tcMar>
            <w:vAlign w:val="center"/>
          </w:tcPr>
          <w:p w14:paraId="49611079" w14:textId="77777777" w:rsidR="00F15245" w:rsidRDefault="00A60C4A">
            <w:pPr>
              <w:spacing w:before="80" w:after="80" w:line="247" w:lineRule="auto"/>
            </w:pPr>
            <w:r>
              <w:rPr>
                <w:color w:val="000000"/>
                <w:sz w:val="20"/>
              </w:rPr>
              <w:t>Besoins couverts, longueurs disponibles, procédé de coupe compatible</w:t>
            </w:r>
          </w:p>
        </w:tc>
      </w:tr>
      <w:tr w:rsidR="00F15245" w14:paraId="271EC66C" w14:textId="77777777">
        <w:trPr>
          <w:cantSplit/>
          <w:jc w:val="center"/>
        </w:trPr>
        <w:tc>
          <w:tcPr>
            <w:tcW w:w="3875" w:type="dxa"/>
            <w:shd w:val="clear" w:color="auto" w:fill="FFFFFF"/>
            <w:tcMar>
              <w:top w:w="60" w:type="dxa"/>
              <w:left w:w="95" w:type="dxa"/>
              <w:bottom w:w="60" w:type="dxa"/>
              <w:right w:w="95" w:type="dxa"/>
            </w:tcMar>
            <w:vAlign w:val="center"/>
          </w:tcPr>
          <w:p w14:paraId="46776E7A" w14:textId="77777777" w:rsidR="00F15245" w:rsidRDefault="00A60C4A">
            <w:pPr>
              <w:spacing w:before="80" w:after="80" w:line="247" w:lineRule="auto"/>
            </w:pPr>
            <w:r>
              <w:rPr>
                <w:color w:val="000000"/>
                <w:sz w:val="20"/>
              </w:rPr>
              <w:t>Conditionnements</w:t>
            </w:r>
          </w:p>
        </w:tc>
        <w:tc>
          <w:tcPr>
            <w:tcW w:w="6061" w:type="dxa"/>
            <w:shd w:val="clear" w:color="auto" w:fill="FFFFFF"/>
            <w:tcMar>
              <w:top w:w="60" w:type="dxa"/>
              <w:left w:w="95" w:type="dxa"/>
              <w:bottom w:w="60" w:type="dxa"/>
              <w:right w:w="95" w:type="dxa"/>
            </w:tcMar>
            <w:vAlign w:val="center"/>
          </w:tcPr>
          <w:p w14:paraId="6ED61CE1" w14:textId="77777777" w:rsidR="00F15245" w:rsidRDefault="00A60C4A">
            <w:pPr>
              <w:spacing w:before="80" w:after="80" w:line="247" w:lineRule="auto"/>
            </w:pPr>
            <w:r>
              <w:rPr>
                <w:color w:val="000000"/>
                <w:sz w:val="20"/>
              </w:rPr>
              <w:t>Cohérence quantité physique, unité et quantité commerciale</w:t>
            </w:r>
          </w:p>
        </w:tc>
      </w:tr>
      <w:tr w:rsidR="00F15245" w14:paraId="4251F14F" w14:textId="77777777">
        <w:trPr>
          <w:cantSplit/>
          <w:jc w:val="center"/>
        </w:trPr>
        <w:tc>
          <w:tcPr>
            <w:tcW w:w="3875" w:type="dxa"/>
            <w:shd w:val="clear" w:color="auto" w:fill="F5F7F9"/>
            <w:tcMar>
              <w:top w:w="60" w:type="dxa"/>
              <w:left w:w="95" w:type="dxa"/>
              <w:bottom w:w="60" w:type="dxa"/>
              <w:right w:w="95" w:type="dxa"/>
            </w:tcMar>
            <w:vAlign w:val="center"/>
          </w:tcPr>
          <w:p w14:paraId="62AED940" w14:textId="77777777" w:rsidR="00F15245" w:rsidRDefault="00A60C4A">
            <w:pPr>
              <w:spacing w:before="80" w:after="80" w:line="247" w:lineRule="auto"/>
            </w:pPr>
            <w:r>
              <w:rPr>
                <w:color w:val="000000"/>
                <w:sz w:val="20"/>
              </w:rPr>
              <w:t>Substitution de matériau</w:t>
            </w:r>
          </w:p>
        </w:tc>
        <w:tc>
          <w:tcPr>
            <w:tcW w:w="6061" w:type="dxa"/>
            <w:shd w:val="clear" w:color="auto" w:fill="F5F7F9"/>
            <w:tcMar>
              <w:top w:w="60" w:type="dxa"/>
              <w:left w:w="95" w:type="dxa"/>
              <w:bottom w:w="60" w:type="dxa"/>
              <w:right w:w="95" w:type="dxa"/>
            </w:tcMar>
            <w:vAlign w:val="center"/>
          </w:tcPr>
          <w:p w14:paraId="68D1590B" w14:textId="77777777" w:rsidR="00F15245" w:rsidRDefault="00A60C4A">
            <w:pPr>
              <w:spacing w:before="80" w:after="80" w:line="247" w:lineRule="auto"/>
            </w:pPr>
            <w:r>
              <w:rPr>
                <w:color w:val="000000"/>
                <w:sz w:val="20"/>
              </w:rPr>
              <w:t>Accord technique sur les références EZ retenues</w:t>
            </w:r>
          </w:p>
        </w:tc>
      </w:tr>
      <w:tr w:rsidR="00F15245" w14:paraId="69B6A0D4" w14:textId="77777777">
        <w:trPr>
          <w:cantSplit/>
          <w:jc w:val="center"/>
        </w:trPr>
        <w:tc>
          <w:tcPr>
            <w:tcW w:w="3875" w:type="dxa"/>
            <w:shd w:val="clear" w:color="auto" w:fill="FFFFFF"/>
            <w:tcMar>
              <w:top w:w="60" w:type="dxa"/>
              <w:left w:w="95" w:type="dxa"/>
              <w:bottom w:w="60" w:type="dxa"/>
              <w:right w:w="95" w:type="dxa"/>
            </w:tcMar>
            <w:vAlign w:val="center"/>
          </w:tcPr>
          <w:p w14:paraId="5CA33645" w14:textId="77777777" w:rsidR="00F15245" w:rsidRDefault="00A60C4A">
            <w:pPr>
              <w:spacing w:before="80" w:after="80" w:line="247" w:lineRule="auto"/>
            </w:pPr>
            <w:r>
              <w:rPr>
                <w:color w:val="000000"/>
                <w:sz w:val="20"/>
              </w:rPr>
              <w:t>Export</w:t>
            </w:r>
          </w:p>
        </w:tc>
        <w:tc>
          <w:tcPr>
            <w:tcW w:w="6061" w:type="dxa"/>
            <w:shd w:val="clear" w:color="auto" w:fill="FFFFFF"/>
            <w:tcMar>
              <w:top w:w="60" w:type="dxa"/>
              <w:left w:w="95" w:type="dxa"/>
              <w:bottom w:w="60" w:type="dxa"/>
              <w:right w:w="95" w:type="dxa"/>
            </w:tcMar>
            <w:vAlign w:val="center"/>
          </w:tcPr>
          <w:p w14:paraId="7C65D559" w14:textId="77777777" w:rsidR="00F15245" w:rsidRDefault="00A60C4A">
            <w:pPr>
              <w:spacing w:before="80" w:after="80" w:line="247" w:lineRule="auto"/>
            </w:pPr>
            <w:r>
              <w:rPr>
                <w:color w:val="000000"/>
                <w:sz w:val="20"/>
              </w:rPr>
              <w:t>Mode et variante corrects, contrôle d’un import EQ de référence</w:t>
            </w:r>
          </w:p>
        </w:tc>
      </w:tr>
    </w:tbl>
    <w:p w14:paraId="1E44DBA1" w14:textId="77777777" w:rsidR="00F15245" w:rsidRDefault="00F15245">
      <w:pPr>
        <w:spacing w:after="20"/>
      </w:pPr>
    </w:p>
    <w:p w14:paraId="52AA7792" w14:textId="77777777" w:rsidR="00F15245" w:rsidRDefault="00A60C4A">
      <w:r>
        <w:t>Le bandeau d’alerte n’est pas un verrou d’export. Un profil non reconnu, un espacement manquant ou un Packaging normalisé à 1 doivent être traités avant validation de l’offre. Conserver le CSV, le PDF, les options, les références des bases et les fichiers générés pour rendre la décision traçable.</w:t>
      </w:r>
    </w:p>
    <w:p w14:paraId="70B9EBD6" w14:textId="77777777" w:rsidR="00F15245" w:rsidRDefault="00A60C4A">
      <w:r>
        <w:t>La suite fournie de 20 tests a réussi le 27 septembre 2026. Elle couvre des cas unitaires, des référentiels et la structure des classeurs. Elle ne remplace pas une recette sur les études représentatives du métier. Les validations historiques du package sont conservées comme historiques, et non comme une nouvelle campagne d’essais.</w:t>
      </w:r>
    </w:p>
    <w:p w14:paraId="27995BBE" w14:textId="77777777" w:rsidR="00F15245" w:rsidRDefault="00A60C4A">
      <w:r>
        <w:t xml:space="preserve">Sources de cette édition : fonctions </w:t>
      </w:r>
      <w:r>
        <w:rPr>
          <w:rFonts w:ascii="Consolas" w:hAnsi="Consolas"/>
          <w:sz w:val="19"/>
        </w:rPr>
        <w:t>resolve_support_counts_from_csv</w:t>
      </w:r>
      <w:r>
        <w:t xml:space="preserve">, </w:t>
      </w:r>
      <w:r>
        <w:rPr>
          <w:rFonts w:ascii="Consolas" w:hAnsi="Consolas"/>
          <w:sz w:val="19"/>
        </w:rPr>
        <w:t>add_quantities</w:t>
      </w:r>
      <w:r>
        <w:t xml:space="preserve">, </w:t>
      </w:r>
      <w:r>
        <w:rPr>
          <w:rFonts w:ascii="Consolas" w:hAnsi="Consolas"/>
          <w:sz w:val="19"/>
        </w:rPr>
        <w:t>load_article_database</w:t>
      </w:r>
      <w:r>
        <w:t xml:space="preserve">, </w:t>
      </w:r>
      <w:r>
        <w:rPr>
          <w:rFonts w:ascii="Consolas" w:hAnsi="Consolas"/>
          <w:sz w:val="19"/>
        </w:rPr>
        <w:t>build_cable_tray_rows</w:t>
      </w:r>
      <w:r>
        <w:t xml:space="preserve">, </w:t>
      </w:r>
      <w:r>
        <w:rPr>
          <w:rFonts w:ascii="Consolas" w:hAnsi="Consolas"/>
          <w:sz w:val="19"/>
        </w:rPr>
        <w:t>optimize_cuts_multi</w:t>
      </w:r>
      <w:r>
        <w:t xml:space="preserve">, </w:t>
      </w:r>
      <w:r>
        <w:rPr>
          <w:rFonts w:ascii="Consolas" w:hAnsi="Consolas"/>
          <w:sz w:val="19"/>
        </w:rPr>
        <w:t>build_optimization_kpis</w:t>
      </w:r>
      <w:r>
        <w:t xml:space="preserve">, </w:t>
      </w:r>
      <w:r>
        <w:rPr>
          <w:rFonts w:ascii="Consolas" w:hAnsi="Consolas"/>
          <w:sz w:val="19"/>
        </w:rPr>
        <w:t>build_control_rows</w:t>
      </w:r>
      <w:r>
        <w:t xml:space="preserve">, </w:t>
      </w:r>
      <w:r>
        <w:rPr>
          <w:rFonts w:ascii="Consolas" w:hAnsi="Consolas"/>
          <w:sz w:val="19"/>
        </w:rPr>
        <w:t>export_to_eq_csv</w:t>
      </w:r>
      <w:r>
        <w:t xml:space="preserve"> et </w:t>
      </w:r>
      <w:r>
        <w:rPr>
          <w:rFonts w:ascii="Consolas" w:hAnsi="Consolas"/>
          <w:sz w:val="19"/>
        </w:rPr>
        <w:t>create_output_workbook_multi</w:t>
      </w:r>
      <w:r>
        <w:t xml:space="preserve"> de </w:t>
      </w:r>
      <w:r>
        <w:rPr>
          <w:rFonts w:ascii="Consolas" w:hAnsi="Consolas"/>
          <w:sz w:val="19"/>
        </w:rPr>
        <w:t>sufix_core.py</w:t>
      </w:r>
      <w:r>
        <w:t xml:space="preserve"> ; parcours et génération finale de </w:t>
      </w:r>
      <w:r>
        <w:rPr>
          <w:rFonts w:ascii="Consolas" w:hAnsi="Consolas"/>
          <w:sz w:val="19"/>
        </w:rPr>
        <w:t>sufix_ui.py</w:t>
      </w:r>
      <w:r>
        <w:t>. Les empreintes des fichiers de référence figurent dans le manifeste documentaire joint.</w:t>
      </w:r>
    </w:p>
    <w:sectPr w:rsidR="00F15245" w:rsidSect="00034616">
      <w:headerReference w:type="default" r:id="rId8"/>
      <w:footerReference w:type="default" r:id="rId9"/>
      <w:pgSz w:w="12240" w:h="15840"/>
      <w:pgMar w:top="1008" w:right="1152" w:bottom="1008"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D1E73" w14:textId="77777777" w:rsidR="00042664" w:rsidRDefault="00042664">
      <w:pPr>
        <w:spacing w:after="0" w:line="240" w:lineRule="auto"/>
      </w:pPr>
      <w:r>
        <w:separator/>
      </w:r>
    </w:p>
  </w:endnote>
  <w:endnote w:type="continuationSeparator" w:id="0">
    <w:p w14:paraId="0C734FD0" w14:textId="77777777" w:rsidR="00042664" w:rsidRDefault="00042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D0E9E" w14:textId="77777777" w:rsidR="00F15245" w:rsidRDefault="00A60C4A">
    <w:pPr>
      <w:pStyle w:val="Pieddepage"/>
      <w:jc w:val="right"/>
    </w:pPr>
    <w:r>
      <w:t xml:space="preserve">V1.1.3 adaptative  •  Révision 1  •  27 septembre 2026     |     </w:t>
    </w:r>
    <w:r>
      <w:fldChar w:fldCharType="begin"/>
    </w:r>
    <w:r>
      <w:instrText>PAGE</w:instrText>
    </w:r>
    <w:r>
      <w:fldChar w:fldCharType="separate"/>
    </w:r>
    <w:r w:rsidR="00A80D9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C2D3C" w14:textId="77777777" w:rsidR="00042664" w:rsidRDefault="00042664">
      <w:pPr>
        <w:spacing w:after="0" w:line="240" w:lineRule="auto"/>
      </w:pPr>
      <w:r>
        <w:separator/>
      </w:r>
    </w:p>
  </w:footnote>
  <w:footnote w:type="continuationSeparator" w:id="0">
    <w:p w14:paraId="53544725" w14:textId="77777777" w:rsidR="00042664" w:rsidRDefault="000426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D3A6B" w14:textId="77777777" w:rsidR="00F15245" w:rsidRDefault="00A60C4A">
    <w:pPr>
      <w:pStyle w:val="En-tte"/>
    </w:pPr>
    <w:r>
      <w:t>SUFIX OptimiZer  |  Guide expert métier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68437608">
    <w:abstractNumId w:val="8"/>
  </w:num>
  <w:num w:numId="2" w16cid:durableId="2123646592">
    <w:abstractNumId w:val="6"/>
  </w:num>
  <w:num w:numId="3" w16cid:durableId="1935045189">
    <w:abstractNumId w:val="5"/>
  </w:num>
  <w:num w:numId="4" w16cid:durableId="634219028">
    <w:abstractNumId w:val="4"/>
  </w:num>
  <w:num w:numId="5" w16cid:durableId="294483196">
    <w:abstractNumId w:val="7"/>
  </w:num>
  <w:num w:numId="6" w16cid:durableId="1219508642">
    <w:abstractNumId w:val="3"/>
  </w:num>
  <w:num w:numId="7" w16cid:durableId="1671062174">
    <w:abstractNumId w:val="2"/>
  </w:num>
  <w:num w:numId="8" w16cid:durableId="912393453">
    <w:abstractNumId w:val="1"/>
  </w:num>
  <w:num w:numId="9" w16cid:durableId="574055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664"/>
    <w:rsid w:val="0006063C"/>
    <w:rsid w:val="000E1CB5"/>
    <w:rsid w:val="0015074B"/>
    <w:rsid w:val="0029639D"/>
    <w:rsid w:val="00326F90"/>
    <w:rsid w:val="00375F8A"/>
    <w:rsid w:val="00A60C4A"/>
    <w:rsid w:val="00A80D93"/>
    <w:rsid w:val="00AA1D8D"/>
    <w:rsid w:val="00B47730"/>
    <w:rsid w:val="00CB0664"/>
    <w:rsid w:val="00F00D6D"/>
    <w:rsid w:val="00F152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6F11C0"/>
  <w14:defaultImageDpi w14:val="300"/>
  <w15:docId w15:val="{BA8FCAB0-ADD4-48CB-BC43-3224BB58F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rPr>
  </w:style>
  <w:style w:type="paragraph" w:styleId="Titre1">
    <w:name w:val="heading 1"/>
    <w:basedOn w:val="Normal"/>
    <w:next w:val="Normal"/>
    <w:link w:val="Titre1Car"/>
    <w:uiPriority w:val="9"/>
    <w:qFormat/>
    <w:rsid w:val="00FC693F"/>
    <w:pPr>
      <w:keepNext/>
      <w:keepLines/>
      <w:spacing w:before="260"/>
      <w:outlineLvl w:val="0"/>
    </w:pPr>
    <w:rPr>
      <w:rFonts w:asciiTheme="majorHAnsi" w:eastAsiaTheme="majorEastAsia" w:hAnsiTheme="majorHAnsi" w:cstheme="majorBidi"/>
      <w:b/>
      <w:bCs/>
      <w:color w:val="000000"/>
      <w:sz w:val="30"/>
      <w:szCs w:val="28"/>
    </w:rPr>
  </w:style>
  <w:style w:type="paragraph" w:styleId="Titre2">
    <w:name w:val="heading 2"/>
    <w:basedOn w:val="Normal"/>
    <w:next w:val="Normal"/>
    <w:link w:val="Titre2Car"/>
    <w:uiPriority w:val="9"/>
    <w:unhideWhenUsed/>
    <w:qFormat/>
    <w:rsid w:val="00FC693F"/>
    <w:pPr>
      <w:keepNext/>
      <w:keepLines/>
      <w:spacing w:before="260"/>
      <w:outlineLvl w:val="1"/>
    </w:pPr>
    <w:rPr>
      <w:rFonts w:asciiTheme="majorHAnsi" w:eastAsiaTheme="majorEastAsia" w:hAnsiTheme="majorHAnsi" w:cstheme="majorBidi"/>
      <w:b/>
      <w:bCs/>
      <w:color w:val="000000"/>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rPr>
      <w:color w:val="000000"/>
      <w:sz w:val="16"/>
    </w:r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rPr>
      <w:color w:val="000000"/>
      <w:sz w:val="16"/>
    </w:r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spacing w:line="240" w:lineRule="auto"/>
      <w:contextualSpacing/>
    </w:pPr>
    <w:rPr>
      <w:rFonts w:asciiTheme="majorHAnsi" w:eastAsiaTheme="majorEastAsia" w:hAnsiTheme="majorHAnsi" w:cstheme="majorBidi"/>
      <w:b/>
      <w:color w:val="000000"/>
      <w:spacing w:val="5"/>
      <w:kern w:val="28"/>
      <w:sz w:val="5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keepNext/>
      <w:numPr>
        <w:ilvl w:val="1"/>
      </w:numPr>
    </w:pPr>
    <w:rPr>
      <w:rFonts w:asciiTheme="majorHAnsi" w:eastAsiaTheme="majorEastAsia" w:hAnsiTheme="majorHAnsi" w:cstheme="majorBidi"/>
      <w:i/>
      <w:iCs/>
      <w:color w:val="000000"/>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A80D93"/>
    <w:pPr>
      <w:spacing w:after="100"/>
    </w:pPr>
  </w:style>
  <w:style w:type="character" w:styleId="Lienhypertexte">
    <w:name w:val="Hyperlink"/>
    <w:basedOn w:val="Policepardfaut"/>
    <w:uiPriority w:val="99"/>
    <w:unhideWhenUsed/>
    <w:rsid w:val="00A80D9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3350</Words>
  <Characters>17994</Characters>
  <Application>Microsoft Office Word</Application>
  <DocSecurity>0</DocSecurity>
  <Lines>310</Lines>
  <Paragraphs>201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expert métier SUFIX OptimiZer V1.1.3 adaptative</dc:title>
  <dc:subject>Documentation actualisée à partir du package complet</dc:subject>
  <dc:creator>SUFIX OptimiZer</dc:creator>
  <cp:keywords/>
  <dc:description>generated by python-docx</dc:description>
  <cp:lastModifiedBy>Laetitia GROSMOUGIN</cp:lastModifiedBy>
  <cp:revision>3</cp:revision>
  <dcterms:created xsi:type="dcterms:W3CDTF">2013-12-23T23:15:00Z</dcterms:created>
  <dcterms:modified xsi:type="dcterms:W3CDTF">2026-09-27T11:55:00Z</dcterms:modified>
  <cp:category/>
</cp:coreProperties>
</file>