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eelnõu 3 — palju viiteid</w:t>
      </w:r>
    </w:p>
    <w:p>
      <w:r>
        <w:t>Eelnõu muudab järgmisi sätteid: § 1, § 2 lg 1, § 3, § 4 lg 2 p 1, § 5, § 6, § 7 lg 3, § 8, § 9 lg 1 p 2, § 10.</w:t>
      </w:r>
    </w:p>
    <w:p>
      <w:r>
        <w:t>Samuti puudutab eelnõu järgmisi sätteid: § 11, § 12 lg 2, § 13, § 14 lg 1, § 15, § 16 lg 1 p 3.</w:t>
      </w:r>
    </w:p>
    <w:p>
      <w:r>
        <w:t>EL õigusaktid: määrus 32016R0679, direktiiv 32019L0790 ja otsus 32020D0001.</w:t>
      </w:r>
    </w:p>
    <w:p>
      <w:r>
        <w:t>Asjakohane kohtupraktika: Riigikohtu lahend 3-2-1-100-23 ja lahend 3-1-1-50-22.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