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eelnõu 1 — tavaline tekst</w:t>
      </w:r>
    </w:p>
    <w:p>
      <w:r>
        <w:t>Käesolev eelnõu täiendab KarS § 5 sätteid ja viitab samuti § 12 lg 2 kohustustele. Lisaks tuleb arvestada § 47 alusel kehtestatud nõuetega.</w:t>
      </w:r>
    </w:p>
    <w:p>
      <w:r>
        <w:t>Eelnõu rakendab Euroopa Parlamendi ja nõukogu määruse 32016R0679 (isikuandmete kaitse üldmäärus) põhimõtteid.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