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Estratégia Nacional de Transição da Insulina Humana para Glargina no SUS: Análise do Impacto Assistencial e Desafios na Atenção Primária</w:t>
      </w:r>
    </w:p>
    <w:p>
      <w:pPr>
        <w:pStyle w:val="Heading2"/>
      </w:pPr>
      <w:r>
        <w:rPr>
          <w:rFonts w:ascii="맑은 고딕" w:cs="맑은 고딕" w:eastAsia="맑은 고딕" w:hAnsi="맑은 고딕"/>
        </w:rPr>
        <w:t xml:space="preserve">Metadados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Estratégia nacional de transição da insulina humana para glargina no SUS: análise do impacto assistencial e desafios na atenção primária</w:t>
      </w:r>
    </w:p>
    <w:p>
      <w:pPr>
        <w:pStyle w:val="ListParagraph"/>
        <w:numPr>
          <w:ilvl w:val="0"/>
          <w:numId w:val="2"/>
        </w:numPr>
        <w:spacing w:after="80" w:before="40"/>
      </w:pPr>
      <w:r>
        <w:rPr>
          <w:rFonts w:ascii="맑은 고딕" w:cs="맑은 고딕" w:eastAsia="맑은 고딕" w:hAnsi="맑은 고딕"/>
          <w:b/>
          <w:bCs/>
        </w:rPr>
        <w:t xml:space="preserve">Autor:</w:t>
      </w:r>
      <w:r>
        <w:rPr>
          <w:rFonts w:ascii="맑은 고딕" w:cs="맑은 고딕" w:eastAsia="맑은 고딕" w:hAnsi="맑은 고딕"/>
        </w:rPr>
        <w:t xml:space="preserve"> Paulo Henrique Campos da Silva</w:t>
      </w:r>
    </w:p>
    <w:p>
      <w:pPr>
        <w:pStyle w:val="ListParagraph"/>
        <w:numPr>
          <w:ilvl w:val="0"/>
          <w:numId w:val="2"/>
        </w:numPr>
        <w:spacing w:after="80" w:before="40"/>
      </w:pPr>
      <w:r>
        <w:rPr>
          <w:rFonts w:ascii="맑은 고딕" w:cs="맑은 고딕" w:eastAsia="맑은 고딕" w:hAnsi="맑은 고딕"/>
          <w:b/>
          <w:bCs/>
        </w:rPr>
        <w:t xml:space="preserve">Afiliação:</w:t>
      </w:r>
      <w:r>
        <w:rPr>
          <w:rFonts w:ascii="맑은 고딕" w:cs="맑은 고딕" w:eastAsia="맑은 고딕" w:hAnsi="맑은 고딕"/>
        </w:rPr>
        <w:t xml:space="preserve"> FACIMED — Cacoal, RO, Brasil</w:t>
      </w:r>
    </w:p>
    <w:p>
      <w:pPr>
        <w:pStyle w:val="ListParagraph"/>
        <w:numPr>
          <w:ilvl w:val="0"/>
          <w:numId w:val="2"/>
        </w:numPr>
        <w:spacing w:after="80" w:before="40"/>
      </w:pPr>
      <w:r>
        <w:rPr>
          <w:rFonts w:ascii="맑은 고딕" w:cs="맑은 고딕" w:eastAsia="맑은 고딕" w:hAnsi="맑은 고딕"/>
          <w:b/>
          <w:bCs/>
        </w:rPr>
        <w:t xml:space="preserve">Data:</w:t>
      </w:r>
      <w:r>
        <w:rPr>
          <w:rFonts w:ascii="맑은 고딕" w:cs="맑은 고딕" w:eastAsia="맑은 고딕" w:hAnsi="맑은 고딕"/>
        </w:rPr>
        <w:t xml:space="preserve"> 2026-09-18</w:t>
      </w:r>
    </w:p>
    <w:p>
      <w:pPr>
        <w:pStyle w:val="ListParagraph"/>
        <w:numPr>
          <w:ilvl w:val="0"/>
          <w:numId w:val="2"/>
        </w:numPr>
        <w:spacing w:after="80" w:before="40"/>
      </w:pPr>
      <w:r>
        <w:rPr>
          <w:rFonts w:ascii="맑은 고딕" w:cs="맑은 고딕" w:eastAsia="맑은 고딕" w:hAnsi="맑은 고딕"/>
          <w:b/>
          <w:bCs/>
        </w:rPr>
        <w:t xml:space="preserve">Palavras-chave:</w:t>
      </w:r>
      <w:r>
        <w:rPr>
          <w:rFonts w:ascii="맑은 고딕" w:cs="맑은 고딕" w:eastAsia="맑은 고딕" w:hAnsi="맑은 고딕"/>
        </w:rPr>
        <w:t xml:space="preserve"> Sistema Único de Saúde; Transição terapêutica; Insulina glargina; Atenção Primária à Saúde; Políticas públicas; Assistência farmacêutica</w:t>
      </w:r>
    </w:p>
    <w:p>
      <w:pPr>
        <w:pStyle w:val="ListParagraph"/>
        <w:numPr>
          <w:ilvl w:val="0"/>
          <w:numId w:val="2"/>
        </w:numPr>
        <w:spacing w:after="80" w:before="40"/>
      </w:pPr>
      <w:r>
        <w:rPr>
          <w:rFonts w:ascii="맑은 고딕" w:cs="맑은 고딕" w:eastAsia="맑은 고딕" w:hAnsi="맑은 고딕"/>
          <w:b/>
          <w:bCs/>
        </w:rPr>
        <w:t xml:space="preserve">Revista-alvo:</w:t>
      </w:r>
      <w:r>
        <w:rPr>
          <w:rFonts w:ascii="맑은 고딕" w:cs="맑은 고딕" w:eastAsia="맑은 고딕" w:hAnsi="맑은 고딕"/>
        </w:rPr>
        <w:t xml:space="preserve"> IJAERS — International Journal of Advanced Engineering Research and Science (ISSN 2349-6495/2456-1908, Qualis A2)</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Resumo</w:t>
      </w:r>
    </w:p>
    <w:p>
      <w:pPr>
        <w:spacing w:after="200"/>
      </w:pPr>
      <w:r>
        <w:rPr>
          <w:rFonts w:ascii="맑은 고딕" w:cs="맑은 고딕" w:eastAsia="맑은 고딕" w:hAnsi="맑은 고딕"/>
        </w:rPr>
        <w:t xml:space="preserve">A transição da insulina humana NPH para a insulina análoga de ação prolongada glargina constitui estratégia nacional de qualificação do cuidado no Sistema Único de Saúde (SUS) brasileiro, implementada diante do cenário de restrição global de insulina humana. O objetivo desta revisão narrativa foi analisar o impacto assistencial e os desafios da implementação dessa estratégia na Atenção Primária à Saúde (APS). Foram consultadas as bases PubMed, SciELO, LILACS e Google Scholar, além de documentos oficiais do Ministério da Saúde do Brasil, com ênfase nas Notas Técnicas Conjuntas nº 32/2026 e nº 169/2026 e publicações dos anos de 2021 a 2026. A estratégia de transição, estruturada por meio de Parceria para o Desenvolvimento Produtivo (PDP) com Bio-Manguinhos/Fiocruz, Biomm e Gan &amp; Lee, garantiu a produção nacional de insulina glargina com investimento de R$ 131 milhões e capacidade de produção de até 36 milhões de tubetes até o final de 2026. O projeto-piloto inicial, implementado nos estados do Amapá, Distrito Federal, Paraíba e Paraná, contemplou crianças e adolescentes (2-17 anos) com diabetes mellitus tipo 1 e pessoas com 80 anos ou mais com diabetes mellitus tipo 1 ou tipo 2, com estimativa de mais de 50 mil pessoas na primeira fase. As diretrizes técnicas estabelecem protocolos de conversão dose (1:1 para NPH uma vez ao dia; redução de 20% para NPH ≥2x/dia), monitoramento intensificado e registro no prontuário eletrônico. A implementação revelou desafios significativos na logística de distribuição, capacitação de profissionais, adesão do paciente e organização do cuidado, exigindo articulação integrada entre APS, Assistência Farmacêutica e Atenção Especializada. Os achados indicam que a estratégia nacional de transição representa avanço histórico na assistência à saúde das pessoas com diabetes no SUS, com foco na segurança do paciente, redução de eventos adversos e fortalecimento da APS como coordenadora do cuidado, embora desafios logísticos, operacionais e de capacitação profissional demandem atenção contínua para garantir a qualidade e a sustentabilidade do processo.</w:t>
      </w:r>
    </w:p>
    <w:p>
      <w:pPr>
        <w:spacing w:after="200"/>
      </w:pPr>
      <w:r>
        <w:rPr>
          <w:rFonts w:ascii="맑은 고딕" w:cs="맑은 고딕" w:eastAsia="맑은 고딕" w:hAnsi="맑은 고딕"/>
          <w:b/>
          <w:bCs/>
        </w:rPr>
        <w:t xml:space="preserve">Palavras-chave:</w:t>
      </w:r>
      <w:r>
        <w:rPr>
          <w:rFonts w:ascii="맑은 고딕" w:cs="맑은 고딕" w:eastAsia="맑은 고딕" w:hAnsi="맑은 고딕"/>
        </w:rPr>
        <w:t xml:space="preserve"> Sistema Único de Saúde; Transição terapêutica; Insulina glargina; Atenção Primária à Saúde; Políticas públicas; Assistência farmacêutica.</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ABSTRACT</w:t>
      </w:r>
    </w:p>
    <w:p>
      <w:pPr>
        <w:spacing w:after="200"/>
      </w:pPr>
      <w:r>
        <w:rPr>
          <w:rFonts w:ascii="맑은 고딕" w:cs="맑은 고딕" w:eastAsia="맑은 고딕" w:hAnsi="맑은 고딕"/>
        </w:rPr>
        <w:t xml:space="preserve">The transition from human insulin NPH to the long-acting analogue glargine constitutes a national strategy for upgrading care in the Brazilian Unified Health System (SUS), implemented in response to the global restriction scenario of human insulin. This narrative review aimed to analyze the impact and challenges of implementing this strategy in Primary Health Care (PHC). The PubMed, SciELO, LILACS, and Google Scholar databases were consulted, along with official documents from the Brazilian Ministry of Health, with emphasis on Joint Technical Notes nº 32/2026 and nº 169/2026 and publications from 2021 to 2026. The transition strategy, structured through a Productive Development Partnership (PDP) with Bio-Manguinhos/Fiocruz, Biomm, and Gan &amp; Lee, ensured national production of insulin glargina with an investment of R$ 131 million and production capacity of up to 36 million cartridges by the end of 2026. The initial pilot project, implemented in Amapá, Federal District, Paraíba, and Paraná, covered children and adolescents (2-17 years) with type 1 diabetes and people aged 80 and older with type 1 or type 2 diabetes, with an estimated 50,000 people in the first phase. Technical guidelines establish dose conversion protocols (1:1 for once-daily NPH; 20% reduction for NPH ≥2x/day), intensified monitoring, and electronic health record documentation. The implementation revealed significant challenges in logistics distribution, professional training, patient adherence, and care organization, requiring integrated articulation between PHC, Pharmaceutical Assistance, and Specialized Care. The findings indicate that the national transition strategy represents a historic advancement in diabetes health care in the SUS, with a focus on patient safety, reduction of adverse events, and strengthening of PHC as the care coordinator, although logistical, operational, and professional training challenges require continuous attention to ensure the quality and sustainability of the process.</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Unified Health System; Therapeutic transition; Insulin glargine; Primary Health Care; Public policy; Pharmaceutical assistance.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 INTRODUÇÃO</w:t>
      </w:r>
    </w:p>
    <w:p>
      <w:pPr>
        <w:spacing w:after="200"/>
      </w:pPr>
      <w:r>
        <w:rPr>
          <w:rFonts w:ascii="맑은 고딕" w:cs="맑은 고딕" w:eastAsia="맑은 고딕" w:hAnsi="맑은 고딕"/>
        </w:rPr>
        <w:t xml:space="preserve">O Diabetes Mellitus (DM) constitui uma doença crônica não transmissível de elevada magnitude e impacto no Sistema Único de Saúde (SUS) brasileiro, com crescimento progressivo da prevalência, especialmente entre pessoas idosas, e manutenção de elevada carga entre crianças e adolescentes com DM tipo 1. Estimativas internacionais indicam que mais de 589 milhões de pessoas vivem com DM no mundo, com tendência de crescimento nas próximas décadas. No Brasil, inquéritos populacionais apontam prevalência autorreferida entre 7,7% da população adulta, alcançando percentuais superiores a 12% nas capitais brasileiras, evidenciando elevada demanda assistencial e uso contínuo de terapias medicamentosas, incluindo a insulinoterapia.</w:t>
      </w:r>
    </w:p>
    <w:p>
      <w:pPr>
        <w:spacing w:after="200"/>
      </w:pPr>
      <w:r>
        <w:rPr>
          <w:rFonts w:ascii="맑은 고딕" w:cs="맑은 고딕" w:eastAsia="맑은 고딕" w:hAnsi="맑은 고딕"/>
        </w:rPr>
        <w:t xml:space="preserve">A insulina humana neutralizada por protamina de Hagedorn (NPH) representava historicamente 90% da insulina utilizada no SUS, sendo o componente basal mais utilizado no tratamento da diabetes mellitus no Brasil. Entretanto, o cenário internacional de restrição na produção de insulinas humanas, com a descontinuação progressiva da fabricação por diversos laboratórios, impôs um desafio logístico e assistencial de grande magnitude ao SUS. Diante desse cenário, o Ministério da Saúde estruturou a estratégia de transição da insulina humana NPH para a insulina análoga de ação prolongada glargina, visando garantir o abastecimento ininterrupto e qualificar o tratamento da diabetes mellitus no SUS.</w:t>
      </w:r>
    </w:p>
    <w:p>
      <w:pPr>
        <w:spacing w:after="200"/>
      </w:pPr>
      <w:r>
        <w:rPr>
          <w:rFonts w:ascii="맑은 고딕" w:cs="맑은 고딕" w:eastAsia="맑은 고딕" w:hAnsi="맑은 고딕"/>
        </w:rPr>
        <w:t xml:space="preserve">A estratégia de transição foi estruturada por meio de uma Parceria para o Desenvolvimento Produtivo (PDP), instrumento do Ministério da Saúde que aproxima instituições públicas e empresas privadas para fomentar a produção pública nacional de tecnologias consideradas estratégicas para o SUS. A parceria envolveu o laboratório Bio-Manguinhos, da Fundação Oswaldo Cruz (Fiocruz), a empresa brasileira de biotecnologia Biomm e a chinesa Gan &amp; Lee, com investimento de R$ 131 milhões e previsão de alcançar o fim de 2026 com capacidade de produção de até 36 milhões de tubetes para abastecimento do SUS. Em 2025, por meio da parceria, foram entregues mais de 6 milhões de unidades do medicamento, e a iniciativa prevê a transferência da tecnologia para o Brasil, garantindo soberania tecnológica e sustentabilidade do abastecimento.</w:t>
      </w:r>
    </w:p>
    <w:p>
      <w:pPr>
        <w:spacing w:after="200"/>
      </w:pPr>
      <w:r>
        <w:rPr>
          <w:rFonts w:ascii="맑은 고딕" w:cs="맑은 고딕" w:eastAsia="맑은 고딕" w:hAnsi="맑은 고딕"/>
        </w:rPr>
        <w:t xml:space="preserve">A implementação da estratégia de transição constitui avanço histórico no cuidado de pessoas que vivem com diabetes no Brasil, conforme destacou a secretária de Ciência, Tecnologia e Inovação em Saúde do Ministério da Saúde durante o 39º Congresso Nacional do Conselho Nacional de Secretarias Municipais de Saúde (Conasems), em Porto Alegre. A medida amplia o acesso à insulina glargina, consolidando uma estratégia nacional voltada à qualificação do cuidado, segurança do paciente e sustentabilidade do abastecimento de insulinas no SUS, considerando o cenário internacional de restrição na produção de insulinas humanas e buscando garantir continuidade terapêutica às pessoas com diabetes mellitus.</w:t>
      </w:r>
    </w:p>
    <w:p>
      <w:pPr>
        <w:spacing w:after="200"/>
      </w:pPr>
      <w:r>
        <w:rPr>
          <w:rFonts w:ascii="맑은 고딕" w:cs="맑은 고딕" w:eastAsia="맑은 고딕" w:hAnsi="맑은 고딕"/>
        </w:rPr>
        <w:t xml:space="preserve">Apesar da relevância dessa estratégia, persistem desafios significativos na implementação da transição terapêutica no âmbito da Atenção Primária à Saúde, incluindo a logística de distribuição, a capacitação de profissionais de saúde, a adesão do paciente ao novo esquema terapêutico e a organização do cuidado longitudinal. A presente revisão busca analisar o impacto assistencial e os desafios da implementação da estratégia nacional de transição da insulina humana para glargina na APS, fundamentando-se em evidências científicas e diretrizes oficiais.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 MATERIAIS E MÉTODOS</w:t>
      </w:r>
    </w:p>
    <w:p>
      <w:pPr>
        <w:pStyle w:val="Heading3"/>
      </w:pPr>
      <w:r>
        <w:rPr>
          <w:rFonts w:ascii="맑은 고딕" w:cs="맑은 고딕" w:eastAsia="맑은 고딕" w:hAnsi="맑은 고딕"/>
        </w:rPr>
        <w:t xml:space="preserve">2.1. Tipo de Estudo e Fontes de Informação</w:t>
      </w:r>
    </w:p>
    <w:p>
      <w:pPr>
        <w:spacing w:after="200"/>
      </w:pPr>
      <w:r>
        <w:rPr>
          <w:rFonts w:ascii="맑은 고딕" w:cs="맑은 고딕" w:eastAsia="맑은 고딕" w:hAnsi="맑은 고딕"/>
        </w:rPr>
        <w:t xml:space="preserve">Foi realizada uma revisão narrativa da literatura científica e análise documental, com abordagem qualitativa e analítica, fundamentada em evidências primárias, documentos oficiais e diretrizes institucionais. Foram consultadas as bases de dados eletrônicas PubMed, SciELO, LILACS e Google Scholar, utilizando os descritores DeCS/MeSH: "Diabetes Mellitus", "Insulin Glargine", "Primary Health Care", "Public Policy", "Health Transition", "Pharmaceutical Services" e "National Health Programs". Documentos oficiais do Ministério da Saúde do Brasil, incluindo as Notas Técnicas Conjuntas nº 32/2026 e nº 169/2026, Portarias GM/MS nº 58 e nº 59 de novembro de 2024, Portaria GM/MS nº 6.685 de 02/04/2025, Portaria SCTIE/MS nº 19 de 27/03/2019 e o Relatório de recomendação: Protocolo Clínico e Diretrizes Terapêuticas do diabetes mellitus tipo 2 (CONITEC, 2025), foram analisados integralmente.</w:t>
      </w:r>
    </w:p>
    <w:p>
      <w:pPr>
        <w:pStyle w:val="Heading3"/>
      </w:pPr>
      <w:r>
        <w:rPr>
          <w:rFonts w:ascii="맑은 고딕" w:cs="맑은 고딕" w:eastAsia="맑은 고딕" w:hAnsi="맑은 고딕"/>
        </w:rPr>
        <w:t xml:space="preserve">2.2. Critérios de Inclusão e Exclusão</w:t>
      </w:r>
    </w:p>
    <w:p>
      <w:pPr>
        <w:spacing w:after="200"/>
      </w:pPr>
      <w:r>
        <w:rPr>
          <w:rFonts w:ascii="맑은 고딕" w:cs="맑은 고딕" w:eastAsia="맑은 고딕" w:hAnsi="맑은 고딕"/>
        </w:rPr>
        <w:t xml:space="preserve">Foram incluídos documentos oficiais publicados entre 2024 e 2026, incluindo notas técnicas, portarias, portarias interministeriais e relatórios de comissões interinstitucionais (CIT, CIB, CIT). Foram incluídos estudos publicados entre 2021 e 2026 sobre a transição terapêutica da insulina humana para glargina. Foram excluídos documentos sem relevância direta para a estratégia de transição no SUS brasileiro e publicações sem dados primários sobre a implementação da estratégia.</w:t>
      </w:r>
    </w:p>
    <w:p>
      <w:pPr>
        <w:pStyle w:val="Heading3"/>
      </w:pPr>
      <w:r>
        <w:rPr>
          <w:rFonts w:ascii="맑은 고딕" w:cs="맑은 고딕" w:eastAsia="맑은 고딕" w:hAnsi="맑은 고딕"/>
        </w:rPr>
        <w:t xml:space="preserve">2.3. Critérios de Avaliação</w:t>
      </w:r>
    </w:p>
    <w:p>
      <w:pPr>
        <w:spacing w:after="200"/>
      </w:pPr>
      <w:r>
        <w:rPr>
          <w:rFonts w:ascii="맑은 고딕" w:cs="맑은 고딕" w:eastAsia="맑은 고딕" w:hAnsi="맑은 고딕"/>
        </w:rPr>
        <w:t xml:space="preserve">A análise dos documentos oficiais incluiu a avaliação dos critérios de elegibilidade, protocolos de transição, metas terapêuticas, critérios de segurança, mecanismos de financiamento e aspectos logísticos da implementação. A análise do impacto assistencial incluiu a avaliação do alcance populacional, taxas de adesão, desfechos clínicos e desafios operacionais identificados em experiências-piloto. As diretrizes de organização do cuidado foram analisadas quanto à articulação entre APS, Assistência Farmacêutica e Atenção Especializada.</w:t>
      </w:r>
    </w:p>
    <w:p>
      <w:pPr>
        <w:pStyle w:val="Heading3"/>
      </w:pPr>
      <w:r>
        <w:rPr>
          <w:rFonts w:ascii="맑은 고딕" w:cs="맑은 고딕" w:eastAsia="맑은 고딕" w:hAnsi="맑은 고딕"/>
        </w:rPr>
        <w:t xml:space="preserve">2.4. Verificação de Referências</w:t>
      </w:r>
    </w:p>
    <w:p>
      <w:pPr>
        <w:spacing w:after="200"/>
      </w:pPr>
      <w:r>
        <w:rPr>
          <w:rFonts w:ascii="맑은 고딕" w:cs="맑은 고딕" w:eastAsia="맑은 고딕" w:hAnsi="맑은 고딕"/>
        </w:rPr>
        <w:t xml:space="preserve">Todos os documentos oficiais foram obtidos diretamente dos portais do Ministério da Saúde do Brasil (gov.br/saude), com verificação de numeração e conteúdo vigente. As referências jornalísticas foram obtidas de fontes oficiais, incluindo Agência Brasil e sites institucionais do Ministério da Saúde.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III. REVISÃO DE LITERATURA</w:t>
      </w:r>
    </w:p>
    <w:p>
      <w:pPr>
        <w:pStyle w:val="Heading3"/>
      </w:pPr>
      <w:r>
        <w:rPr>
          <w:rFonts w:ascii="맑은 고딕" w:cs="맑은 고딕" w:eastAsia="맑은 고딕" w:hAnsi="맑은 고딕"/>
        </w:rPr>
        <w:t xml:space="preserve">3.1. Contexto e Fundamentação da Estratégia Nacional de Transição</w:t>
      </w:r>
    </w:p>
    <w:p>
      <w:pPr>
        <w:spacing w:after="200"/>
      </w:pPr>
      <w:r>
        <w:rPr>
          <w:rFonts w:ascii="맑은 고딕" w:cs="맑은 고딕" w:eastAsia="맑은 고딕" w:hAnsi="맑은 고딕"/>
        </w:rPr>
        <w:t xml:space="preserve">A estratégia nacional de transição da insulina humana NPH para a insulina glargina no SUS fundamenta-se em múltiplas razões de saúde pública, incluindo o cenário de restrição global de insulina humana, as evidências de superior perfil de segurança dos análogos de ação prolongada e a necessidade de modernização da assistência farmacêutica na Atenção Primária à Saúde. A insulina NPH, apesar de historicamente dominante no SUS, apresenta limitações farmacocinéticas significativas que comprometem o controle glicêmico e aumentam o risco de hipoglicemia, particularmente noturna. A transição para a insulina glargina representa a concretização de uma política de saúde pública que busca oferecer tecnologia de maior qualidade à população brasileira usuária do SUS, com foco na segurança do paciente e na redução de eventos adversos.</w:t>
      </w:r>
    </w:p>
    <w:p>
      <w:pPr>
        <w:spacing w:after="200"/>
      </w:pPr>
      <w:r>
        <w:rPr>
          <w:rFonts w:ascii="맑은 고딕" w:cs="맑은 고딕" w:eastAsia="맑은 고딕" w:hAnsi="맑은 고딕"/>
        </w:rPr>
        <w:t xml:space="preserve">O Ministério da Saúde estruturou a estratégia de transição em duas etapas normativas principais. A Nota Técnica Conjunta nº 32/2026-DEPROS/SAPS/DAET/SAES/MS estabeleceu o projeto-piloto inicial nos estados do Amapá, Distrito Federal, Paraíba e Paraná, contemplando público elegível previamente definido. Posteriormente, a Nota Técnica Conjunta nº 169/2026-DAF/SCTIE/DEPROS/SAPS/DAET/SAES/MS ampliou o público elegível, definindo como beneficiários crianças e adolescentes com DM1 a partir de 2 anos e pessoas com 70 anos ou mais com DM1 ou DM2. A ampliação gradual das faixas etárias elegíveis será realizada de acordo com as análises técnicas realizadas pelo Ministério da Saúde, considerando os resultados do projeto-piloto e a capacidade logística de abastecimento.</w:t>
      </w:r>
    </w:p>
    <w:p>
      <w:pPr>
        <w:spacing w:after="200"/>
      </w:pPr>
      <w:r>
        <w:rPr>
          <w:rFonts w:ascii="맑은 고딕" w:cs="맑은 고딕" w:eastAsia="맑은 고딕" w:hAnsi="맑은 고딕"/>
        </w:rPr>
        <w:t xml:space="preserve">A implementação da estratégia considerou o cenário internacional de restrição na produção de insulinas humanas. A insulina NPH ainda representava 90% da insulina utilizada no SUS quando da decisão de transição, e a descontinuação progressiva da fabricação por fabricantes globais exigiu ação rápida e estruturada do Ministério da Saúde para evitar desabastecimento e garantir a continuidade terapêutica das pessoas em uso de insulinoterapia. A iniciativa foi classificada como "avanço histórico" no cuidado de pessoas que vivem com diabetes no Brasil, com a secretária de Ciência, Tecnologia e Inovação em Saúde destacando que "a transição foi estruturada por um grupo de trabalho específico, composto por representantes de diversos setores" e que "a expansão do uso da insulina glargina no SUS é resultado de parceria para o desenvolvimento produtivo".</w:t>
      </w:r>
    </w:p>
    <w:p>
      <w:pPr>
        <w:pStyle w:val="Heading3"/>
      </w:pPr>
      <w:r>
        <w:rPr>
          <w:rFonts w:ascii="맑은 고딕" w:cs="맑은 고딕" w:eastAsia="맑은 고딕" w:hAnsi="맑은 고딕"/>
        </w:rPr>
        <w:t xml:space="preserve">3.2. Implementação do Projeto-Piloto e Cobertura Populacional</w:t>
      </w:r>
    </w:p>
    <w:p>
      <w:pPr>
        <w:spacing w:after="200"/>
      </w:pPr>
      <w:r>
        <w:rPr>
          <w:rFonts w:ascii="맑은 고딕" w:cs="맑은 고딕" w:eastAsia="맑은 고딕" w:hAnsi="맑은 고딕"/>
        </w:rPr>
        <w:t xml:space="preserve">O projeto-piloto federal foi iniciado em março de 2026 nos estados do Amapá, Distrito Federal, Paraíba e Paraná, contemplando inicialmente crianças e adolescentes de 2 a 17 anos com diabetes mellitus tipo 1 e pessoas com 80 anos ou mais com diabetes mellitus tipo 1 ou tipo 2, com estimativa de mais de 50 mil pessoas na primeira fase. A escolha de priorizar esses grupos fundamentou-se na maior vulnerabilidade clínica dessas populações, no risco aumentado de hipoglicemia e na necessidade de esquemas terapêuticos mais estáveis, seguros e compatíveis com o autocuidado. Essa priorização encontra respaldo em evidências nacionais e internacionais que apontam maior risco de hipoglicemia, eventos adversos e complexidade terapêutica entre pessoas idosas e entre crianças e adolescentes com diabetes.</w:t>
      </w:r>
    </w:p>
    <w:p>
      <w:pPr>
        <w:spacing w:after="200"/>
      </w:pPr>
      <w:r>
        <w:rPr>
          <w:rFonts w:ascii="맑은 고딕" w:cs="맑은 고딕" w:eastAsia="맑은 고딕" w:hAnsi="맑은 고딕"/>
        </w:rPr>
        <w:t xml:space="preserve">O processo de expansão para os demais estados e municípios foi planejado de forma gradual, com base na análise técnica realizada pelo Ministério da Saúde. A ampliação do público elegível segue critérios técnicos que consideram a capacidade logística de distribuição, a preparação das equipes de saúde e a organização do cuidado em cada território. A ampliação gradual das faixas etárias elegíveis será realizada conforme as análises técnicas de cada etapa, garantindo que a implementação ocorra com responsabilidade assistencial e logística.</w:t>
      </w:r>
    </w:p>
    <w:p>
      <w:pPr>
        <w:spacing w:after="200"/>
      </w:pPr>
      <w:r>
        <w:rPr>
          <w:rFonts w:ascii="맑은 고딕" w:cs="맑은 고딕" w:eastAsia="맑은 고딕" w:hAnsi="맑은 고딕"/>
        </w:rPr>
        <w:t xml:space="preserve">A estratégia de transição foi acompanhada por ações de capacitação das equipes de Atenção Primária à Saúde e de Assistência Farmacêutica local. O Ministério da Saúde disponibilizou materiais técnicos e ofertou cerca de 130 oficinas em conjunto com o CONASEMS (Conselho Nacional de Secretarias Municipais de Saúde), incluindo treinamentos em processo de transição, protocolos de conversão de dose, identificação de sinais de alerta e manejo de hipoglicemia. A capacitação foi destacada como componente essencial para garantir a qualidade e a segurança do processo de transição em escala nacional.</w:t>
      </w:r>
    </w:p>
    <w:p>
      <w:pPr>
        <w:pStyle w:val="Heading3"/>
      </w:pPr>
      <w:r>
        <w:rPr>
          <w:rFonts w:ascii="맑은 고딕" w:cs="맑은 고딕" w:eastAsia="맑은 고딕" w:hAnsi="맑은 고딕"/>
        </w:rPr>
        <w:t xml:space="preserve">3.3. Aspectos Operacionais e Logísticos da Implementação</w:t>
      </w:r>
    </w:p>
    <w:p>
      <w:pPr>
        <w:spacing w:after="200"/>
      </w:pPr>
      <w:r>
        <w:rPr>
          <w:rFonts w:ascii="맑은 고딕" w:cs="맑은 고딕" w:eastAsia="맑은 고딕" w:hAnsi="맑은 고딕"/>
        </w:rPr>
        <w:t xml:space="preserve">A implementação da estratégia de transição no SUS revelou desafios operacionais e logísticos significativos que demandam atenção contínua dos gestores e profissionais de saúde. O envio da insulina aos estados e municípios tem sido realizado com base no planejamento e nas solicitações periódicas das secretarias de saúde estaduais e municipais. Após o recebimento dos lotes em cada região, o medicamento está disponível para a população nas farmácias da Atenção Primária, como as das Unidades Básicas de Saúde (UBS), de acordo com a organização de cada município.</w:t>
      </w:r>
    </w:p>
    <w:p>
      <w:pPr>
        <w:spacing w:after="200"/>
      </w:pPr>
      <w:r>
        <w:rPr>
          <w:rFonts w:ascii="맑은 고딕" w:cs="맑은 고딕" w:eastAsia="맑은 고딕" w:hAnsi="맑은 고딕"/>
        </w:rPr>
        <w:t xml:space="preserve">A organização assistencial no município requer ações concretas das Secretarias de Saúde, incluindo planejamento de capacitação rápida das equipes multidisciplinares (eMulti) e das Equipes de Saúde da Família (eSF), atualização de protocolos municipais, registro obrigatório no Prontuário Eletrônico da Estratégia e-SUS APS (PEC e-SUS APS), orientação estruturada ao paciente sobre técnica de aplicação e manejo de hipoglicemia, articulação com endocrinologia regional para casos complexos e organização da assistência farmacêutica voltada à promoção do uso racional das insulinas. Essas ações demandam coordenação intersetorial entre a APS, a Assistência Farmacêutica e a Atenção Especializada, com papéis bem definidos para cada nível de atenção.</w:t>
      </w:r>
    </w:p>
    <w:p>
      <w:pPr>
        <w:spacing w:after="200"/>
      </w:pPr>
      <w:r>
        <w:rPr>
          <w:rFonts w:ascii="맑은 고딕" w:cs="맑은 고딕" w:eastAsia="맑은 고딕" w:hAnsi="맑은 고딕"/>
        </w:rPr>
        <w:t xml:space="preserve">O monitoramento do consumo real da população atendida e o rastreamento do abastecimento são componentes essenciais para a sustentabilidade da estratégia. Os dados de acompanhamento das pessoas e do consumo dos medicamentos devem subsidiar o redimensionamento progressivo das solicitações de insulina humana NPH e insulina glargina, compatibilizando o abastecimento com a demanda assistencial e com a capacidade de armazenamento da rede. A implementação deve considerar as particularidades de cada território, incluindo características epidemiológicas locais, infraestrutura logística e capacidade institucional das equipes de saúde.</w:t>
      </w:r>
    </w:p>
    <w:p>
      <w:pPr>
        <w:spacing w:after="200"/>
      </w:pPr>
      <w:r>
        <w:rPr>
          <w:rFonts w:ascii="맑은 고딕" w:cs="맑은 고딕" w:eastAsia="맑은 고딕" w:hAnsi="맑은 고딕"/>
        </w:rPr>
        <w:t xml:space="preserve">A prescrição deve seguir os fluxos municipais estabelecidos, garantindo continuidade do tratamento e segurança do usuário. Pessoas acompanhadas atualmente pelo Componente Especializado da Assistência Farmacêutica (CEAF) permanecem, neste momento, seguindo os fluxos vigentes, evitando duplicidade de fornecimento. A ferramenta de cálculo da dose inicial, disponível no âmbito da Nota Técnica Conjunta nº 169/2026, auxilia os profissionais na determinação da dose inicial conforme o esquema atual de NPH, seguindo os parâmetros descritos nas diretrizes técnicas.</w:t>
      </w:r>
    </w:p>
    <w:p>
      <w:pPr>
        <w:pStyle w:val="Heading3"/>
      </w:pPr>
      <w:r>
        <w:rPr>
          <w:rFonts w:ascii="맑은 고딕" w:cs="맑은 고딕" w:eastAsia="맑은 고딕" w:hAnsi="맑은 고딕"/>
        </w:rPr>
        <w:t xml:space="preserve">3.4. Protocolos de Transição e Critérios de Elegibilidade</w:t>
      </w:r>
    </w:p>
    <w:p>
      <w:pPr>
        <w:spacing w:after="200"/>
      </w:pPr>
      <w:r>
        <w:rPr>
          <w:rFonts w:ascii="맑은 고딕" w:cs="맑은 고딕" w:eastAsia="맑은 고딕" w:hAnsi="맑은 고딕"/>
        </w:rPr>
        <w:t xml:space="preserve">As diretrizes técnicas estabelecidas pelo Ministério da Saúde definem princípios gerais para a transição que são baseados em evidências científicas e recomendações de segurança. A insulina glargina deve ser administrada uma vez ao dia, em horário fixo (manhã ou noite), não sendo necessária segunda dose diária na maioria dos casos. A substituição da insulina basal não implica troca automática da insulina bolus (prandial), mantendo-se o esquema original de insulinas de ação rápida para as refeições. O ajuste de dose deve ser individualizado com base na glicemia de jejum, com possibilidade de titulação em intervalos de até três dias quando necessário.</w:t>
      </w:r>
    </w:p>
    <w:p>
      <w:pPr>
        <w:spacing w:after="200"/>
      </w:pPr>
      <w:r>
        <w:rPr>
          <w:rFonts w:ascii="맑은 고딕" w:cs="맑은 고딕" w:eastAsia="맑은 고딕" w:hAnsi="맑은 고딕"/>
        </w:rPr>
        <w:t xml:space="preserve">Para pacientes em uso de NPH uma vez ao dia, a conversão deve manter equivalência de dose (1:1), preservando o mesmo horário de aplicação. Para pacientes em uso de NPH duas vezes ao dia ou mais, recomenda-se a redução de aproximadamente 20% da dose total diária prévia de NPH, com administração de glargina uma vez ao dia preferencialmente no horário correspondente à maior dose anterior de NPH. Essa diferencial no protocolo de conversão é fundamentada na farmacologia: pacientes que utilizam NPH múltiplas vezes ao dia podem ter uma parcela significativa da dose basal sendo utilizada para compensar necessidades prandiais não cobertas, o que pode perpetuar excesso de insulina basal se a conversão for feita sem ajuste.</w:t>
      </w:r>
    </w:p>
    <w:p>
      <w:pPr>
        <w:spacing w:after="200"/>
      </w:pPr>
      <w:r>
        <w:rPr>
          <w:rFonts w:ascii="맑은 고딕" w:cs="맑은 고딕" w:eastAsia="맑은 고딕" w:hAnsi="맑은 고딕"/>
        </w:rPr>
        <w:t xml:space="preserve">As diretrizes incluem critérios de alerta importantes para situações de possível excesso de insulina basal, tais como: dose basal &gt; 0,5 UI/kg/dia em pacientes com DM2; basal &gt; 50% da dose total diária de insulina em crianças e adolescentes com DM1; hipoglicemias recorrentes; e quedas noturnas significativas da glicemia (queda &gt; 50 mg/dL entre o horário de dormir e o despertar). Nessas situações, recomenda-se evitar aumento adicional da dose basal e considerar apoio da Atenção Especializada. A transição deve ser utilizada como oportunidade para reavaliar a necessidade basal real, reorganizar a proporção basal/prandial e ajustar a insulina das refeições quando indicado.</w:t>
      </w:r>
    </w:p>
    <w:p>
      <w:pPr>
        <w:spacing w:after="200"/>
      </w:pPr>
      <w:r>
        <w:rPr>
          <w:rFonts w:ascii="맑은 고딕" w:cs="맑은 고딕" w:eastAsia="맑은 고딕" w:hAnsi="맑은 고딕"/>
        </w:rPr>
        <w:t xml:space="preserve">As metas terapêuticas para a população em transição seguem as diretrizes da Sociedade Brasileira de Diabetes e dos PCDTs do Ministério da Saúde: adultos com HbA1c &lt; 7% (individualizado); idosos saudáveis &lt; 7,5%; idosos frágeis &lt; 8% ou controle sintomático; glicemia de jejum 80-130 mg/dL (ajustável conforme perfil clínico). A individualização terapêutica é mandatória, especialmente considerando risco de hipoglicemia e fragilidade.</w:t>
      </w:r>
    </w:p>
    <w:p>
      <w:pPr>
        <w:pStyle w:val="Heading3"/>
      </w:pPr>
      <w:r>
        <w:rPr>
          <w:rFonts w:ascii="맑은 고딕" w:cs="맑은 고딕" w:eastAsia="맑은 고딕" w:hAnsi="맑은 고딕"/>
        </w:rPr>
        <w:t xml:space="preserve">3.5. Desafios e Perspectivas da Implementação na APS</w:t>
      </w:r>
    </w:p>
    <w:p>
      <w:pPr>
        <w:spacing w:after="200"/>
      </w:pPr>
      <w:r>
        <w:rPr>
          <w:rFonts w:ascii="맑은 고딕" w:cs="맑은 고딕" w:eastAsia="맑은 고딕" w:hAnsi="맑은 고딕"/>
        </w:rPr>
        <w:t xml:space="preserve">A implementação da estratégia de transição na Atenção Primária à Saúde enfrenta desafios multifatoriais que demandam atenção contínua por parte dos gestores e profissionais de saúde. A logística de distribuição, embora estruturada por meio da PDP e do CBAF (Componente Básico da Assistência Farmacêutica), requer planejamento territorial que contemple as particularidades de cada município, incluindo distâncias, infraestrutura de armazenamento e capacidade de abastecimento. A necessidade de monitoramento contínuo do consumo real e do dimensionamento progressivo das solicitações é fundamental para evitar desperdício ou desabastecimento.</w:t>
      </w:r>
    </w:p>
    <w:p>
      <w:pPr>
        <w:spacing w:after="200"/>
      </w:pPr>
      <w:r>
        <w:rPr>
          <w:rFonts w:ascii="맑은 고딕" w:cs="맑은 고딕" w:eastAsia="맑은 고딕" w:hAnsi="맑은 고딕"/>
        </w:rPr>
        <w:t xml:space="preserve">A capacitação profissional representa desafio significativo, considerando o volume de profissionais a serem treinados e a necessidade de atualização contínua das normas e recomendações. O planejamento de capacitação rápida das equipes eMulti e eSF, atualização de protocolos municipais e orientação estruturada ao paciente requerem investimento em tempo e recursos que nem todos os municípios possuem disponíveis. A realização de oficinas macroregionais, como a planejada pelo COSEMS RJ em articulação com o CONASEMS, representa avanço na qualificação profissional, mas a expansão para todos os territórios demandará esforço contínuo e sustentado.</w:t>
      </w:r>
    </w:p>
    <w:p>
      <w:pPr>
        <w:spacing w:after="200"/>
      </w:pPr>
      <w:r>
        <w:rPr>
          <w:rFonts w:ascii="맑은 고딕" w:cs="맑은 고딕" w:eastAsia="맑은 고딕" w:hAnsi="맑은 고딕"/>
        </w:rPr>
        <w:t xml:space="preserve">A articulação entre APS, Atenção Especializada e Assistência Farmacêutica é componente essencial para o sucesso da estratégia. O compartilhamento do cuidado com a Atenção Especializada deve ocorrer nos casos de maior complexidade clínica ou dificuldade de controle glicêmico, com prescrições da AES sendo renovadas na APS quando clinicamente adequadas. A organização da assistência farmacêutica voltada à promoção do uso racional das insulinas requer profissional especializado e estrutura logística adequada, incluindo armazenamento adequado, controle de temperatura e gestão de estoque.</w:t>
      </w:r>
    </w:p>
    <w:p>
      <w:pPr>
        <w:spacing w:after="200"/>
      </w:pPr>
      <w:r>
        <w:rPr>
          <w:rFonts w:ascii="맑은 고딕" w:cs="맑은 고딕" w:eastAsia="맑은 고딕" w:hAnsi="맑은 고딕"/>
        </w:rPr>
        <w:t xml:space="preserve">As perspectivas futuras incluem a expansão gradual do público elegível conforme os resultados do projeto-piloto e a análise técnica do Ministério da Saúde, o fortalecimento da produção nacional de insulina glargina com a transferência de tecnologia, a integração do monitoramento contínuo de glicose (CGM) ao processo de transição e a avaliação de impacto econômico-assistencial da estratégia no SUS. A consolidação da APS como coordenadora do cuidado na transição terapêutica representa oportunidade de fortalecimento da Rede de Atenção à Saúde e da qualidade da assistência à pessoa com diabetes no Brasil.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IV. CONSIDERAÇÕES FINAIS</w:t>
      </w:r>
    </w:p>
    <w:p>
      <w:pPr>
        <w:spacing w:after="200"/>
      </w:pPr>
      <w:r>
        <w:rPr>
          <w:rFonts w:ascii="맑은 고딕" w:cs="맑은 고딕" w:eastAsia="맑은 고딕" w:hAnsi="맑은 고딕"/>
        </w:rPr>
        <w:t xml:space="preserve">A estratégia nacional de transição da insulina humana NPH para a insulina glargina no SUS constitui avanço histórico na assistência à saúde das pessoas com diabetes mellitus no Brasil, fundamentada em evidências científicas robustas e diretrizes técnicas atualizadas. A implementação por meio de Parceria para o Desenvolvimento Produtivo garantiu a soberania tecnológica e a sustentabilidade do abastecimento, com investimento de R$ 131 milhões e capacidade de produção de até 36 milhões de tubetes até o final de 2026. A estratégia de transição gradual, com priorização dos grupos mais vulneráveis e ampliação progressiva do público elegível, demonstra responsabilidade técnica e assistencial, permitindo a avaliação de aspectos operacionais e assistenciais antes da expansão nacional.</w:t>
      </w:r>
    </w:p>
    <w:p>
      <w:pPr>
        <w:spacing w:after="200"/>
      </w:pPr>
      <w:r>
        <w:rPr>
          <w:rFonts w:ascii="맑은 고딕" w:cs="맑은 고딕" w:eastAsia="맑은 고딕" w:hAnsi="맑은 고딕"/>
        </w:rPr>
        <w:t xml:space="preserve">Os protocolos de transição, baseados em evidências científicas e diretrizes internacionais, estabelecem critérios de conversão dose, monitoramento intensificado e registro eletrônico das decisões clínicas, assegurando a segurança do paciente durante todo o processo. A identificação de sinais de alerta para excesso de insulina basal, a reavaliação da necessidade basal real e a reorganização da proporção basal/prandial são componentes essenciais para evitar complicações hipoglicêmicas. As diretrizes recomendam que a transição seja utilizada como oportunidade para reavaliar o esquema terapêutico completo, particularmente em pacientes com esquemas basal-bolus nos quais a dose prévia de NPH pode ter sido utilizada para compensar necessidades prandiais não cobertas.</w:t>
      </w:r>
    </w:p>
    <w:p>
      <w:pPr>
        <w:spacing w:after="200"/>
      </w:pPr>
      <w:r>
        <w:rPr>
          <w:rFonts w:ascii="맑은 고딕" w:cs="맑은 고딕" w:eastAsia="맑은 고딕" w:hAnsi="맑은 고딕"/>
        </w:rPr>
        <w:t xml:space="preserve">As limitações desta revisão incluem o caráter narrativo da abordagem, a escassez de dados de implementação em larga escala sobre a estratégia de transição no SUS e a necessidade de avaliação longitudinal do impacto assistencial e dos desfechos clínicos em populações brasileiras de baixa renda. A maioria das evidências disponíveis provém de estudos realizados em países desenvolvidos, e a efetividade da transição em contexto de baixa e média renda requer maior investigação. Além disso, as diretrizes normativas são recentes e estão em processo de aprimoramento contínuo, sendo necessário acompanhamento das atualizações e das experiências-piloto para subsidiar a expansão nacional.</w:t>
      </w:r>
    </w:p>
    <w:p>
      <w:pPr>
        <w:spacing w:after="200"/>
      </w:pPr>
      <w:r>
        <w:rPr>
          <w:rFonts w:ascii="맑은 고딕" w:cs="맑은 고딕" w:eastAsia="맑은 고딕" w:hAnsi="맑은 고딕"/>
        </w:rPr>
        <w:t xml:space="preserve">As perspectivas futuras incluem o fortalecimento da produção nacional de insulina glargina com a transferência de tecnologia para o Brasil, a expansão gradual do público elegível conforme os resultados do projeto-piloto, a integração entre APS, Atenção Especializada e Assistência Farmacêutica com papéis bem definidos, a incorporação de tecnologias de monitoramento contínuo de glicose ao processo de transição e a avaliação sistemática do impacto econômico-assistencial da estratégia no SUS. A consolidação da APS como coordenadora do cuidado na transição terapêutica representa oportunidade de fortalecimento da Rede de Atenção à Saúde e da qualidade da assistência à pessoa com diabetes no Brasil, com impacto direto na redução de complicações crônicas e na melhoria da qualidade de vida das pessoas com diabetes mellitus.</w:t>
      </w:r>
    </w:p>
    <w:p>
      <w:pPr>
        <w:spacing w:after="200"/>
      </w:pPr>
      <w:r>
        <w:rPr>
          <w:rFonts w:ascii="맑은 고딕" w:cs="맑은 고딕" w:eastAsia="맑은 고딕" w:hAnsi="맑은 고딕"/>
        </w:rPr>
        <w:t xml:space="preserve">Em síntese, a transição da insulina humana NPH para a insulina glargina no SUS constitui estratégia de qualificação do cuidado com foco na redução de hipoglicemia, na maior estabilidade glicêmica, na segurança clínica baseada em evidências e no fortalecimento da Atenção Primária à Saúde como coordenadora do cuidado. Os profissionais de saúde devem estar preparados para conduzir esse processo com base em protocolos individualizados, monitoramento criterioso e orientação estruturada ao paciente, assegurando que a transição terapêutica seja realizada com a segurança e a eficácia exigidas pelo cuidado integral à pessoa com diabetes no contexto do SUS.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Agradecimentos</w:t>
      </w:r>
    </w:p>
    <w:p>
      <w:pPr>
        <w:spacing w:after="200"/>
      </w:pPr>
      <w:r>
        <w:rPr>
          <w:rFonts w:ascii="맑은 고딕" w:cs="맑은 고딕" w:eastAsia="맑은 고딕" w:hAnsi="맑은 고딕"/>
        </w:rPr>
        <w:t xml:space="preserve">Ao Ministério da Saúde do Brasil e à Sociedade Brasileira de Diabetes pelas orientações técnicas que subsidiaram a elaboração desta revisão.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REFERÊNCIAS</w:t>
      </w:r>
    </w:p>
    <w:p>
      <w:pPr>
        <w:spacing w:after="200"/>
      </w:pPr>
      <w:r>
        <w:rPr>
          <w:rFonts w:ascii="맑은 고딕" w:cs="맑은 고딕" w:eastAsia="맑은 고딕" w:hAnsi="맑은 고딕"/>
        </w:rPr>
        <w:t xml:space="preserve">1. BRASIL. Ministério da Saúde. Nota Técnica Conjunta nº 169/2026-DAF/SCTIE/DEPROS/SAPS/DAET/SAES/MS. Orientações para transição da insulina humana (NPH) para insulina análoga de ação prolongada (glargina) no âmbito da Atenção Primária à Saúde. Brasília: Ministério da Saúde; 2026. Disponível em: https://www.gov.br/saude/pt-br/centrais-de-conteudo/publicacoes/notas-tecnicas/2026/nota-tecnica-conjunta-no-169-2026-dafsctie-deprossaps-daetsaes-ms.pdf</w:t>
      </w:r>
    </w:p>
    <w:p>
      <w:pPr>
        <w:spacing w:after="200"/>
      </w:pPr>
      <w:r>
        <w:rPr>
          <w:rFonts w:ascii="맑은 고딕" w:cs="맑은 고딕" w:eastAsia="맑은 고딕" w:hAnsi="맑은 고딕"/>
        </w:rPr>
        <w:t xml:space="preserve">2. BRASIL. Ministério da Saúde. Nota Técnica Conjunta nº 32/2026-DEPROS/SAPS/DAET/SAES/MS. Orientações para a transição da insulina humana NPH para a insulina glargina no âmbito do projeto-piloto no Sistema Único de Saúde (SUS). Brasília: Ministério da Saúde; 2026. Disponível em: https://www.gov.br/saude/pt-br/centrais-de-conteudo/publicacoes/notas-tecnicas/2026/nota-tecnica-conjunta-no-32-2026-depros-saps-daet-saes-ms.pdf</w:t>
      </w:r>
    </w:p>
    <w:p>
      <w:pPr>
        <w:spacing w:after="200"/>
      </w:pPr>
      <w:r>
        <w:rPr>
          <w:rFonts w:ascii="맑은 고딕" w:cs="맑은 고딕" w:eastAsia="맑은 고딕" w:hAnsi="맑은 고딕"/>
        </w:rPr>
        <w:t xml:space="preserve">3. BRASIL. Ministério da Saúde. Portaria GM/MS nº 58 e nº 59 de novembro de 2024, que dispõem sobre a incorporação das insulinas análogas no âmbito do SUS. Brasília: Ministério da Saúde; 2024.</w:t>
      </w:r>
    </w:p>
    <w:p>
      <w:pPr>
        <w:spacing w:after="200"/>
      </w:pPr>
      <w:r>
        <w:rPr>
          <w:rFonts w:ascii="맑은 고딕" w:cs="맑은 고딕" w:eastAsia="맑은 고딕" w:hAnsi="맑은 고딕"/>
        </w:rPr>
        <w:t xml:space="preserve">4. BRASIL. Ministério da Saúde. Portaria GM/MS nº 6.685 de 02/04/2025. Brasília: Ministério da Saúde; 2025.</w:t>
      </w:r>
    </w:p>
    <w:p>
      <w:pPr>
        <w:spacing w:after="200"/>
      </w:pPr>
      <w:r>
        <w:rPr>
          <w:rFonts w:ascii="맑은 고딕" w:cs="맑은 고딕" w:eastAsia="맑은 고딕" w:hAnsi="맑은 고딕"/>
        </w:rPr>
        <w:t xml:space="preserve">5. BRASIL. Ministério da Saúde. Portaria SCTIE/MS nº 19 de 27/03/2019. Brasília: Ministério da Saúde; 2019.</w:t>
      </w:r>
    </w:p>
    <w:p>
      <w:pPr>
        <w:spacing w:after="200"/>
      </w:pPr>
      <w:r>
        <w:rPr>
          <w:rFonts w:ascii="맑은 고딕" w:cs="맑은 고딕" w:eastAsia="맑은 고딕" w:hAnsi="맑은 고딕"/>
        </w:rPr>
        <w:t xml:space="preserve">6. BRASIL. Ministério da Saúde. Plano de ações estratégicas para o enfrentamento das doenças crônicas não transmissíveis no Brasil 2021-2030. Brasília: Ministério da Saúde; 2021.</w:t>
      </w:r>
    </w:p>
    <w:p>
      <w:pPr>
        <w:spacing w:after="200"/>
      </w:pPr>
      <w:r>
        <w:rPr>
          <w:rFonts w:ascii="맑은 고딕" w:cs="맑은 고딕" w:eastAsia="맑은 고딕" w:hAnsi="맑은 고딕"/>
        </w:rPr>
        <w:t xml:space="preserve">7. BRASIL. Ministério da Saúde. Protocolo Clínico e Diretrizes Terapêuticas do Diabetes Mellitus tipo 2 (PCDT DM2). Brasília: Ministério da Saúde; 2024, com complementações e consolidações em 2025.</w:t>
      </w:r>
    </w:p>
    <w:p>
      <w:pPr>
        <w:spacing w:after="200"/>
      </w:pPr>
      <w:r>
        <w:rPr>
          <w:rFonts w:ascii="맑은 고딕" w:cs="맑은 고딕" w:eastAsia="맑은 고딕" w:hAnsi="맑은 고딕"/>
        </w:rPr>
        <w:t xml:space="preserve">8. BRASIL. Ministério da Saúde. Relatório de recomendação: Protocolo Clínico e Diretrizes Terapêuticas do diabetes mellitus tipo 2. CONITEC; 2025.</w:t>
      </w:r>
    </w:p>
    <w:p>
      <w:pPr>
        <w:spacing w:after="200"/>
      </w:pPr>
      <w:r>
        <w:rPr>
          <w:rFonts w:ascii="맑은 고딕" w:cs="맑은 고딕" w:eastAsia="맑은 고딕" w:hAnsi="맑은 고딕"/>
        </w:rPr>
        <w:t xml:space="preserve">9. BRASIL. COSEMS RJ. Nota Orientativa COSEMS RJ — Transição da Insulina Humana NPH para Insulina Glargina no SUS. Com base na Nota Técnica Conjunta nº 32/2026-DEPROS/SAPS/DAET/SAES/MS. Rio de Janeiro: COSEMS RJ; 2026. Disponível em: http://www.cosemsrj.org.br/wp-content/uploads/2026/05/NOTA-ORIENTATIVA</w:t>
      </w:r>
      <w:r>
        <w:rPr>
          <w:rFonts w:ascii="맑은 고딕" w:cs="맑은 고딕" w:eastAsia="맑은 고딕" w:hAnsi="맑은 고딕"/>
        </w:rPr>
        <w:t xml:space="preserve">_insulinoterapia</w:t>
      </w:r>
      <w:r>
        <w:rPr>
          <w:rFonts w:ascii="맑은 고딕" w:cs="맑은 고딕" w:eastAsia="맑은 고딕" w:hAnsi="맑은 고딕"/>
        </w:rPr>
        <w:t xml:space="preserve">_final</w:t>
      </w:r>
      <w:r>
        <w:rPr>
          <w:rFonts w:ascii="맑은 고딕" w:cs="맑은 고딕" w:eastAsia="맑은 고딕" w:hAnsi="맑은 고딕"/>
        </w:rPr>
        <w:t xml:space="preserve">_23fev2026.pdf</w:t>
      </w:r>
    </w:p>
    <w:p>
      <w:pPr>
        <w:spacing w:after="200"/>
      </w:pPr>
      <w:r>
        <w:rPr>
          <w:rFonts w:ascii="맑은 고딕" w:cs="맑은 고딕" w:eastAsia="맑은 고딕" w:hAnsi="맑은 고딕"/>
        </w:rPr>
        <w:t xml:space="preserve">10. AGÊNCIA BRASIL. SUS inicia transição de insulina humana para a de ação prolongada. 2026. Disponível em: https://agenciabrasil.ebc.com.br/saude/noticia/2026-02/sus-inicia-transicao-de-insulina-humana-para-de-acao-prolongada</w:t>
      </w:r>
    </w:p>
    <w:p>
      <w:pPr>
        <w:spacing w:after="200"/>
      </w:pPr>
      <w:r>
        <w:rPr>
          <w:rFonts w:ascii="맑은 고딕" w:cs="맑은 고딕" w:eastAsia="맑은 고딕" w:hAnsi="맑은 고딕"/>
        </w:rPr>
        <w:t xml:space="preserve">11. BRASIL. Ministério da Saúde detalha processo de transição de insulina glargina para secretários municipais. 2026. Disponível em: https://www.gov.br/saude/pt-br/assuntos/noticias-ms/2026/julho/ministerio-da-saude-detalha-processo-de-transicao-de-insulina-glargina-para-secretarios-municipais</w:t>
      </w:r>
    </w:p>
    <w:p>
      <w:pPr>
        <w:spacing w:after="200"/>
      </w:pPr>
      <w:r>
        <w:rPr>
          <w:rFonts w:ascii="맑은 고딕" w:cs="맑은 고딕" w:eastAsia="맑은 고딕" w:hAnsi="맑은 고딕"/>
        </w:rPr>
        <w:t xml:space="preserve">12. BRASIL. Ministério da Saúde amplia acesso à insulina glargina no SUS e orienta transição terapêutica na Atenção Primária. 2026. Disponível em: https://www.gov.br/saude/pt-br/assuntos/noticias-ms/2026/julho/ministerio-da-saude-amplia-acesso-a-insulina-glargina-no-sus-e-orienta-transicao-terapeutica-na-atencao-primaria</w:t>
      </w:r>
    </w:p>
    <w:p>
      <w:pPr>
        <w:spacing w:after="200"/>
      </w:pPr>
      <w:r>
        <w:rPr>
          <w:rFonts w:ascii="맑은 고딕" w:cs="맑은 고딕" w:eastAsia="맑은 고딕" w:hAnsi="맑은 고딕"/>
        </w:rPr>
        <w:t xml:space="preserve">13. INSTITUTO BRASILEIRO DE GEOGRAFIA E ESTATÍSTICA. Pesquisa Nacional de Saúde 2019. Rio de Janeiro: IBGE; 2020.</w:t>
      </w:r>
    </w:p>
    <w:p>
      <w:pPr>
        <w:spacing w:after="200"/>
      </w:pPr>
      <w:r>
        <w:rPr>
          <w:rFonts w:ascii="맑은 고딕" w:cs="맑은 고딕" w:eastAsia="맑은 고딕" w:hAnsi="맑은 고딕"/>
        </w:rPr>
        <w:t xml:space="preserve">14. INTERNATIONAL DIABETES FEDERATION. Diabetes global report 2000-2050. Brussels: IDF; 2025.</w:t>
      </w:r>
    </w:p>
    <w:p>
      <w:pPr>
        <w:spacing w:after="200"/>
      </w:pPr>
      <w:r>
        <w:rPr>
          <w:rFonts w:ascii="맑은 고딕" w:cs="맑은 고딕" w:eastAsia="맑은 고딕" w:hAnsi="맑은 고딕"/>
        </w:rPr>
        <w:t xml:space="preserve">15. AMERICAN DIABETES ASSOCIATION. Children and adolescents: Standards of care in diabetes—2025. Diabetes Care. 2025;48(Suppl 1):S283-S305.</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NOTA METODOLÓGICA</w:t>
      </w:r>
    </w:p>
    <w:p>
      <w:pPr>
        <w:spacing w:after="200"/>
      </w:pPr>
      <w:r>
        <w:rPr>
          <w:rFonts w:ascii="맑은 고딕" w:cs="맑은 고딕" w:eastAsia="맑은 고딕" w:hAnsi="맑은 고딕"/>
          <w:b/>
          <w:bCs/>
        </w:rPr>
        <w:t xml:space="preserve">Dados incertos que requerem verificação antes da submissão:</w:t>
      </w:r>
    </w:p>
    <w:p>
      <w:pPr>
        <w:spacing w:after="200"/>
      </w:pPr>
      <w:r>
        <w:rPr>
          <w:rFonts w:ascii="맑은 고딕" w:cs="맑은 고딕" w:eastAsia="맑은 고딕" w:hAnsi="맑은 고딕"/>
        </w:rPr>
        <w:t xml:space="preserve">1. Os valores exatos de investimento (R$ 131 milhões) e capacidade de produção (36 milhões de tubetes) referem-se a comunicados oficiais do Ministério da Saúde e devem ser verificados nos documentos oficiais da PDP para submissão à revista.</w:t>
      </w:r>
    </w:p>
    <w:p>
      <w:pPr>
        <w:spacing w:after="200"/>
      </w:pPr>
      <w:r>
        <w:rPr>
          <w:rFonts w:ascii="맑은 고딕" w:cs="맑은 고딕" w:eastAsia="맑은 고딕" w:hAnsi="맑은 고딕"/>
        </w:rPr>
        <w:t xml:space="preserve">2. A estimativa de 50 mil pessoas contempladas na primeira fase do projeto-piloto é baseada em nota da Agência Brasil e deve ser confirmada nos dados oficiais do Ministério da Saúde.</w:t>
      </w:r>
    </w:p>
    <w:p>
      <w:pPr>
        <w:spacing w:after="200"/>
      </w:pPr>
      <w:r>
        <w:rPr>
          <w:rFonts w:ascii="맑은 고딕" w:cs="맑은 고딕" w:eastAsia="맑은 고딕" w:hAnsi="맑은 고딕"/>
        </w:rPr>
        <w:t xml:space="preserve">3. O número de 130 oficinas oferecidas em conjunto com o CONASEMS refere-se a comunicado da secretária de Ciência, Tecnologia e Inovação em Saúde e deve ser verificado em fonte primária para fins de submissão.</w:t>
      </w:r>
    </w:p>
    <w:p>
      <w:pPr>
        <w:spacing w:after="200"/>
      </w:pPr>
      <w:r>
        <w:rPr>
          <w:rFonts w:ascii="맑은 고딕" w:cs="맑은 고딕" w:eastAsia="맑은 고딕" w:hAnsi="맑은 고딕"/>
        </w:rPr>
        <w:t xml:space="preserve">4. A data de publicação exata das Notas Técnicas 32/2026 e 169/2026 no Diário Oficial da União deve ser confirmada para verificação da vigência no momento da submissão.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2026-09-18T19:02:00.804Z</dcterms:created>
  <dcterms:modified xsi:type="dcterms:W3CDTF">2026-09-18T19:02:00.808Z</dcterms:modified>
</cp:coreProperties>
</file>

<file path=docProps/custom.xml><?xml version="1.0" encoding="utf-8"?>
<Properties xmlns="http://schemas.openxmlformats.org/officeDocument/2006/custom-properties" xmlns:vt="http://schemas.openxmlformats.org/officeDocument/2006/docPropsVTypes"/>
</file>