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Manejo de Pacientes Insulino-Dependente na Transição da Insulina Humana para Glargina: Revisão Narrativa da Evidência Atual</w:t>
      </w:r>
    </w:p>
    <w:p>
      <w:pPr>
        <w:pStyle w:val="Heading2"/>
      </w:pPr>
      <w:r>
        <w:rPr>
          <w:rFonts w:ascii="맑은 고딕" w:cs="맑은 고딕" w:eastAsia="맑은 고딕" w:hAnsi="맑은 고딕"/>
        </w:rPr>
        <w:t xml:space="preserve">Metadados</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Manejo de pacientes insulino-dependente na transição da insulina humana para glargina</w:t>
      </w:r>
    </w:p>
    <w:p>
      <w:pPr>
        <w:pStyle w:val="ListParagraph"/>
        <w:numPr>
          <w:ilvl w:val="0"/>
          <w:numId w:val="2"/>
        </w:numPr>
        <w:spacing w:after="80" w:before="40"/>
      </w:pPr>
      <w:r>
        <w:rPr>
          <w:rFonts w:ascii="맑은 고딕" w:cs="맑은 고딕" w:eastAsia="맑은 고딕" w:hAnsi="맑은 고딕"/>
          <w:b/>
          <w:bCs/>
        </w:rPr>
        <w:t xml:space="preserve">Autor:</w:t>
      </w:r>
      <w:r>
        <w:rPr>
          <w:rFonts w:ascii="맑은 고딕" w:cs="맑은 고딕" w:eastAsia="맑은 고딕" w:hAnsi="맑은 고딕"/>
        </w:rPr>
        <w:t xml:space="preserve"> Paulo Henrique Campos da Silva</w:t>
      </w:r>
    </w:p>
    <w:p>
      <w:pPr>
        <w:pStyle w:val="ListParagraph"/>
        <w:numPr>
          <w:ilvl w:val="0"/>
          <w:numId w:val="2"/>
        </w:numPr>
        <w:spacing w:after="80" w:before="40"/>
      </w:pPr>
      <w:r>
        <w:rPr>
          <w:rFonts w:ascii="맑은 고딕" w:cs="맑은 고딕" w:eastAsia="맑은 고딕" w:hAnsi="맑은 고딕"/>
          <w:b/>
          <w:bCs/>
        </w:rPr>
        <w:t xml:space="preserve">Afiliação:</w:t>
      </w:r>
      <w:r>
        <w:rPr>
          <w:rFonts w:ascii="맑은 고딕" w:cs="맑은 고딕" w:eastAsia="맑은 고딕" w:hAnsi="맑은 고딕"/>
        </w:rPr>
        <w:t xml:space="preserve"> FACIMED — Cacoal, RO, Brasil</w:t>
      </w:r>
    </w:p>
    <w:p>
      <w:pPr>
        <w:pStyle w:val="ListParagraph"/>
        <w:numPr>
          <w:ilvl w:val="0"/>
          <w:numId w:val="2"/>
        </w:numPr>
        <w:spacing w:after="80" w:before="40"/>
      </w:pPr>
      <w:r>
        <w:rPr>
          <w:rFonts w:ascii="맑은 고딕" w:cs="맑은 고딕" w:eastAsia="맑은 고딕" w:hAnsi="맑은 고딕"/>
          <w:b/>
          <w:bCs/>
        </w:rPr>
        <w:t xml:space="preserve">Data:</w:t>
      </w:r>
      <w:r>
        <w:rPr>
          <w:rFonts w:ascii="맑은 고딕" w:cs="맑은 고딕" w:eastAsia="맑은 고딕" w:hAnsi="맑은 고딕"/>
        </w:rPr>
        <w:t xml:space="preserve"> 2026-09-18</w:t>
      </w:r>
    </w:p>
    <w:p>
      <w:pPr>
        <w:pStyle w:val="ListParagraph"/>
        <w:numPr>
          <w:ilvl w:val="0"/>
          <w:numId w:val="2"/>
        </w:numPr>
        <w:spacing w:after="80" w:before="40"/>
      </w:pPr>
      <w:r>
        <w:rPr>
          <w:rFonts w:ascii="맑은 고딕" w:cs="맑은 고딕" w:eastAsia="맑은 고딕" w:hAnsi="맑은 고딕"/>
          <w:b/>
          <w:bCs/>
        </w:rPr>
        <w:t xml:space="preserve">Palavras-chave:</w:t>
      </w:r>
      <w:r>
        <w:rPr>
          <w:rFonts w:ascii="맑은 고딕" w:cs="맑은 고딕" w:eastAsia="맑은 고딕" w:hAnsi="맑은 고딕"/>
        </w:rPr>
        <w:t xml:space="preserve"> Transição terapêutica; Insulina glargina; Insulina NPH; Diabetes mellitus; Segurança do paciente; Atenção Primária à Saúde</w:t>
      </w:r>
    </w:p>
    <w:p>
      <w:pPr>
        <w:pStyle w:val="ListParagraph"/>
        <w:numPr>
          <w:ilvl w:val="0"/>
          <w:numId w:val="2"/>
        </w:numPr>
        <w:spacing w:after="80" w:before="40"/>
      </w:pPr>
      <w:r>
        <w:rPr>
          <w:rFonts w:ascii="맑은 고딕" w:cs="맑은 고딕" w:eastAsia="맑은 고딕" w:hAnsi="맑은 고딕"/>
          <w:b/>
          <w:bCs/>
        </w:rPr>
        <w:t xml:space="preserve">Revista-alvo:</w:t>
      </w:r>
      <w:r>
        <w:rPr>
          <w:rFonts w:ascii="맑은 고딕" w:cs="맑은 고딕" w:eastAsia="맑은 고딕" w:hAnsi="맑은 고딕"/>
        </w:rPr>
        <w:t xml:space="preserve"> IJAERS — International Journal of Advanced Engineering Research and Science (ISSN 2349-6495/2456-1908, Qualis A2)</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Resumo</w:t>
      </w:r>
    </w:p>
    <w:p>
      <w:pPr>
        <w:spacing w:after="200"/>
      </w:pPr>
      <w:r>
        <w:rPr>
          <w:rFonts w:ascii="맑은 고딕" w:cs="맑은 고딕" w:eastAsia="맑은 고딕" w:hAnsi="맑은 고딕"/>
        </w:rPr>
        <w:t xml:space="preserve">A transição da insulina humana NPH para análogos de ação prolongada, como a insulina glargina, constitui estratégia terapêutica crescente no manejo de pacientes insulino-dependente, impulsionada pelo cenário de restrição global de insulina humana e evidências de superior perfil de segurança. O objetivo desta revisão narrativa foi avaliar a eficácia, segurança e implicações clínicas da transição da insulina humana para glargina em pacientes com diabetes mellitus tipo 1 e tipo 2. Foram consultadas as bases PubMed, SciELO, LILACS e Google Scholar, com foco em publicações dos anos de 2021 a 2026, além de diretrizes oficiais do Ministério da Saúde do Brasil e sociedades científicas internacionais. Estudos prospectivos observacionais, como o ToUPGRADE e o REALI, demonstraram reduções significativas de hemoglobina glicada (HbA1c) após a transição, com diminuição de eventos hipoglicêmicos e estabilidade ponderal. A transição de NPH para glargina 300 U/mL foi associada a reduções de HbA1c entre 0,70% e 1,01% em 24 semanas, com incidência reduzida de hipoglicemia noturna e ausência de ganho de peso. As diretrizes brasileiras recomendam conversão 1:1 para pacientes em uso diário único de NPH e redução de 20% da dose total para aqueles em esquemas de múltiplas aplicações, com titulação individualizada baseada na glicemia de jejum. A transição terapêutica deve ser conduzida com acompanhamento intensificado nas primeiras semanas, registro no prontuário eletrônico e orientação estruturada ao paciente e cuidadores. Os achados indicam que a transição para insulina glargina representa uma estratégia segura e eficaz para melhoria do controle glicêmico e redução de riscos clínicos em pacientes insulino-dependente.</w:t>
      </w:r>
    </w:p>
    <w:p>
      <w:pPr>
        <w:spacing w:after="200"/>
      </w:pPr>
      <w:r>
        <w:rPr>
          <w:rFonts w:ascii="맑은 고딕" w:cs="맑은 고딕" w:eastAsia="맑은 고딕" w:hAnsi="맑은 고딕"/>
          <w:b/>
          <w:bCs/>
        </w:rPr>
        <w:t xml:space="preserve">Palavras-chave:</w:t>
      </w:r>
      <w:r>
        <w:rPr>
          <w:rFonts w:ascii="맑은 고딕" w:cs="맑은 고딕" w:eastAsia="맑은 고딕" w:hAnsi="맑은 고딕"/>
        </w:rPr>
        <w:t xml:space="preserve"> Transição terapêutica; Insulina glargina; Insulina NPH; Diabetes mellitus tipo 1; Diabetes mellitus tipo 2; Segurança do paciente; Atenção Primária à Saúde.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ABSTRACT</w:t>
      </w:r>
    </w:p>
    <w:p>
      <w:pPr>
        <w:spacing w:after="200"/>
      </w:pPr>
      <w:r>
        <w:rPr>
          <w:rFonts w:ascii="맑은 고딕" w:cs="맑은 고딕" w:eastAsia="맑은 고딕" w:hAnsi="맑은 고딕"/>
        </w:rPr>
        <w:t xml:space="preserve">The transition from human insulin NPH to long-acting analogues such as insulin glargine represents a growing therapeutic strategy in the management of insulin-dependent patients, driven by the global restriction scenario of human insulin and evidence of superior safety profiles. This narrative review aimed to evaluate the efficacy, safety, and clinical implications of transitioning from human insulin to glargine in patients with type 1 and type 2 diabetes mellitus. The PubMed, SciELO, LILACS, and Google Scholar databases were consulted, focusing on publications from 2021 to 2026, along with official guidelines from the Brazilian Ministry of Health and international scientific societies. Prospective observational studies, such as the ToUPGRADE and REALI studies, demonstrated significant reductions in glycated hemoglobin (HbA1c) following the transition, with decreased hypoglycemic events and weight stability. The transition from NPH to glargine 300 U/mL was associated with HbA1c reductions between 0.70% and 1.01% over 24 weeks, with reduced nocturnal hypoglycemia incidence and no weight gain. Brazilian guidelines recommend a 1:1 conversion for patients on a single daily dose of NPH and a 20% total dose reduction for those on multiple daily injection regimens, with individual titration based on fasting plasma glucose. The therapeutic transition should be conducted with intensified monitoring during the first weeks, electronic health record documentation, and structured patient and caregiver education. The findings indicate that the transition to insulin glargine represents a safe and effective strategy for improving glycemic control and reducing clinical risks in insulin-dependent patients.</w:t>
      </w:r>
    </w:p>
    <w:p>
      <w:pPr>
        <w:spacing w:after="200"/>
      </w:pPr>
      <w:r>
        <w:rPr>
          <w:rFonts w:ascii="맑은 고딕" w:cs="맑은 고딕" w:eastAsia="맑은 고딕" w:hAnsi="맑은 고딕"/>
          <w:b/>
          <w:bCs/>
        </w:rPr>
        <w:t xml:space="preserve">Keywords:</w:t>
      </w:r>
      <w:r>
        <w:rPr>
          <w:rFonts w:ascii="맑은 고딕" w:cs="맑은 고딕" w:eastAsia="맑은 고딕" w:hAnsi="맑은 고딕"/>
        </w:rPr>
        <w:t xml:space="preserve"> Therapeutic transition; Insulin glargine; NPH insulin; Type 1 diabetes mellitus; Type 2 diabetes mellitus; Patient safety; Primary Health Care.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 INTRODUÇÃO</w:t>
      </w:r>
    </w:p>
    <w:p>
      <w:pPr>
        <w:spacing w:after="200"/>
      </w:pPr>
      <w:r>
        <w:rPr>
          <w:rFonts w:ascii="맑은 고딕" w:cs="맑은 고딕" w:eastAsia="맑은 고딕" w:hAnsi="맑은 고딕"/>
        </w:rPr>
        <w:t xml:space="preserve">A diabetes mellitus (DM) constitui uma doença crônica não transmissível de elevada magnitude epidemiológica e impacto na saúde pública mundial. Segundo a Federação Internacional de Diabetes, mais de 589 milhões de pessoas vivem com DM em todo o mundo, com tendência de crescimento contínuo nas próximas décadas. No Brasil, inquéritos populacionais apontam prevalência autorreferida entre 7,7% da população adulta, alcançando percentuais superiores a 12% nas capitais brasileiras, evidenciando elevada demanda assistencial e uso contínuo de terapias medicamentosas, incluindo a insulinoterapia.</w:t>
      </w:r>
    </w:p>
    <w:p>
      <w:pPr>
        <w:spacing w:after="200"/>
      </w:pPr>
      <w:r>
        <w:rPr>
          <w:rFonts w:ascii="맑은 고딕" w:cs="맑은 고딕" w:eastAsia="맑은 고딕" w:hAnsi="맑은 고딕"/>
        </w:rPr>
        <w:t xml:space="preserve">A insulinoterapia é indispensável para pacientes com diabetes mellitus tipo 1 (DM1) e para aqueles com diabetes mellitus tipo 2 (DM2) que apresentam insuficiência progressiva da função beta pancreática. Historicamente, a insulina humana neutralizada por protamina de Hagedorn (NPH) foi a basal de referência no tratamento, associada a custos acessíveis e ampla disponibilidade. Entretanto, a insulina NPH apresenta limitações farmacocinéticas significativas, incluindo perfil de ação imprevisível, risco de hipoglicemia noturna e necessidade de injeções múltiplas diárias em alguns protocolos.</w:t>
      </w:r>
    </w:p>
    <w:p>
      <w:pPr>
        <w:spacing w:after="200"/>
      </w:pPr>
      <w:r>
        <w:rPr>
          <w:rFonts w:ascii="맑은 고딕" w:cs="맑은 고딕" w:eastAsia="맑은 고딕" w:hAnsi="맑은 고딕"/>
        </w:rPr>
        <w:t xml:space="preserve">A insulina glargina, um análogo de ação prolongada, foi desenvolvida para superar as limitações da insulina humana, oferecendo um perfil farmacocinético mais previsível com duração de ação de até 24 horas, administração única diária e menor risco de hipoglicemia. O cenário atual de restrição global na produção de insulinas humanas, agravado pela descontinuação de fabricação por diversos laboratórios, impulsionou a estratégia de transição terapêutica da insulina NPH para análogos de ação prolongada no âmbito do Sistema Único de Saúde (SUS) brasileiro. O Ministério da Saúde publicou a Nota Técnica Conjunta nº 169/2026 e a nº 32/2026, estabelecendo diretrizes para a transição gradual da insulina humana para a glargina, com prioridade para crianças e adolescentes com DM1 e pessoas com 70 anos ou mais.</w:t>
      </w:r>
    </w:p>
    <w:p>
      <w:pPr>
        <w:spacing w:after="200"/>
      </w:pPr>
      <w:r>
        <w:rPr>
          <w:rFonts w:ascii="맑은 고딕" w:cs="맑은 고딕" w:eastAsia="맑은 고딕" w:hAnsi="맑은 고딕"/>
        </w:rPr>
        <w:t xml:space="preserve">Apesar da crescente importância dessa estratégia no manejo clínico, existe uma carência de revisões sistemáticas que consolidem a evidência científica disponível sobre a transição da insulina humana para glargina em termos de eficácia metabólica, segurança e implicações práticas para o manejo do paciente insulino-dependente. O presente estudo busca preencher essa lacuna ao realizar uma revisão narrativa da literatura científica e das diretrizes oficiais, com o objetivo específico de analisar os desfechos clínicos, os protocolos de conversão dose e os aspectos de segurança associados à transição terapêutica da insulina humana NPH para a insulina glargina em pacientes insulino-dependente.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II. MATERIAIS E MÉTODOS</w:t>
      </w:r>
    </w:p>
    <w:p>
      <w:pPr>
        <w:pStyle w:val="Heading3"/>
      </w:pPr>
      <w:r>
        <w:rPr>
          <w:rFonts w:ascii="맑은 고딕" w:cs="맑은 고딕" w:eastAsia="맑은 고딕" w:hAnsi="맑은 고딕"/>
        </w:rPr>
        <w:t xml:space="preserve">2.1. Tipo de Estudo e Fontes de Informação</w:t>
      </w:r>
    </w:p>
    <w:p>
      <w:pPr>
        <w:spacing w:after="200"/>
      </w:pPr>
      <w:r>
        <w:rPr>
          <w:rFonts w:ascii="맑은 고딕" w:cs="맑은 고딕" w:eastAsia="맑은 고딕" w:hAnsi="맑은 고딕"/>
        </w:rPr>
        <w:t xml:space="preserve">Foi realizada uma revisão narrativa da literatura científica, com abordagem qualitativa e analítica, fundamentada em evidências primárias e diretrizes institucionais. Foram consultadas as bases de dados eletrônicas PubMed, SciELO, LILACS (Literatura em Ciências da Saúde da BVS) e Google Scholar, utilizando os descritores DeCS/MeSH: "Insulin Glargine", "Insulin NPH", "Diabetes Mellitus, Type 1", "Diabetes Mellitus, Type 2", "Therapeutic Transition", "Patient Safety" e "Primary Health Care".</w:t>
      </w:r>
    </w:p>
    <w:p>
      <w:pPr>
        <w:pStyle w:val="Heading3"/>
      </w:pPr>
      <w:r>
        <w:rPr>
          <w:rFonts w:ascii="맑은 고딕" w:cs="맑은 고딕" w:eastAsia="맑은 고딕" w:hAnsi="맑은 고딕"/>
        </w:rPr>
        <w:t xml:space="preserve">2.2. Critérios de Inclusão e Exclusão</w:t>
      </w:r>
    </w:p>
    <w:p>
      <w:pPr>
        <w:spacing w:after="200"/>
      </w:pPr>
      <w:r>
        <w:rPr>
          <w:rFonts w:ascii="맑은 고딕" w:cs="맑은 고딕" w:eastAsia="맑은 고딕" w:hAnsi="맑은 고딕"/>
        </w:rPr>
        <w:t xml:space="preserve">Foram incluídos estudos publicados entre 2021 e 2026, incluindo ensaios clínicos randomizados, estudos observacionais prospectivos e retrospectivos, meta-análises, revisões sistemáticas e documentos oficiais de órgãos governamentais e sociedades científicas. Foram excluídos artigos em idiomas diferentes do português e inglês, publicações sem dados primários sobre a transição terapêutica e estudos focados exclusivamente em insulinas de ação ultrarrápida ou mistas, sem componente basal.</w:t>
      </w:r>
    </w:p>
    <w:p>
      <w:pPr>
        <w:pStyle w:val="Heading3"/>
      </w:pPr>
      <w:r>
        <w:rPr>
          <w:rFonts w:ascii="맑은 고딕" w:cs="맑은 고딕" w:eastAsia="맑은 고딕" w:hAnsi="맑은 고딕"/>
        </w:rPr>
        <w:t xml:space="preserve">2.3. Critérios de Avaliação</w:t>
      </w:r>
    </w:p>
    <w:p>
      <w:pPr>
        <w:spacing w:after="200"/>
      </w:pPr>
      <w:r>
        <w:rPr>
          <w:rFonts w:ascii="맑은 고딕" w:cs="맑은 고딕" w:eastAsia="맑은 고딕" w:hAnsi="맑은 고딕"/>
        </w:rPr>
        <w:t xml:space="preserve">A análise dos estudos incluiu a avaliação de desfechos primários como mudança na hemoglobina glicada (HbA1c), incidência de hipoglicemia (qualquer, sintomática e grave), alterações no peso corporal e doses de insulina. Foram também avaliados aspectos de segurança, satisfação do paciente e adesão terapêutica. As diretrizes oficiais do Ministério da Saúde do Brasil e das sociedades científicas internacionais foram analisadas quanto às recomendações sobre protocolos de transição e critérios de elegibilidade.</w:t>
      </w:r>
    </w:p>
    <w:p>
      <w:pPr>
        <w:pStyle w:val="Heading3"/>
      </w:pPr>
      <w:r>
        <w:rPr>
          <w:rFonts w:ascii="맑은 고딕" w:cs="맑은 고딕" w:eastAsia="맑은 고딕" w:hAnsi="맑은 고딕"/>
        </w:rPr>
        <w:t xml:space="preserve">2.4. Verificação de Referências</w:t>
      </w:r>
    </w:p>
    <w:p>
      <w:pPr>
        <w:spacing w:after="200"/>
      </w:pPr>
      <w:r>
        <w:rPr>
          <w:rFonts w:ascii="맑은 고딕" w:cs="맑은 고딕" w:eastAsia="맑은 고딕" w:hAnsi="맑은 고딕"/>
        </w:rPr>
        <w:t xml:space="preserve">Todas as referências citadas possuem DOI confirmado via CrossRef API ou foram localizadas em bases de dados confiáveis, com verificação de metadados completos. As diretrizes governamentais foram obtidas diretamente dos portais oficiais do Ministério da Saúde do Brasil.</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III. REVISÃO DE LITERATURA</w:t>
      </w:r>
    </w:p>
    <w:p>
      <w:pPr>
        <w:pStyle w:val="Heading3"/>
      </w:pPr>
      <w:r>
        <w:rPr>
          <w:rFonts w:ascii="맑은 고딕" w:cs="맑은 고딕" w:eastAsia="맑은 고딕" w:hAnsi="맑은 고딕"/>
        </w:rPr>
        <w:t xml:space="preserve">3.1. Eficácia Metabólica da Transição da Insulina NPH para Glargina</w:t>
      </w:r>
    </w:p>
    <w:p>
      <w:pPr>
        <w:spacing w:after="200"/>
      </w:pPr>
      <w:r>
        <w:rPr>
          <w:rFonts w:ascii="맑은 고딕" w:cs="맑은 고딕" w:eastAsia="맑은 고딕" w:hAnsi="맑은 고딕"/>
        </w:rPr>
        <w:t xml:space="preserve">A eficácia metabólica da transição da insulina humana NPH para a insulina glargina tem sido consistentemente demonstrada em múltiplos estudos clínicos e observacionais. O estudo ToUPGRADE, realizado na Bulgária em 2021 com 286 pacientes com diabetes mellitus tipo 2 anteriormente não controlados com NPH ou insulinas pré-misturadas, demonstrou que a troca para insulina glargina 300 U/mL (Gla-300) resultou em redução significativa de HbA1c de 1,86% (p  0,5 UI/kg/dia em pacientes com DM2; basal &gt; 50% da dose total diária de insulina em crianças e adolescentes com DM1; hipoglicemias recorrentes; e quedas noturnas significativas da glicemia (queda &gt; 50 mg/dL entre o horário de dormir e o despertar). Nessas situações, recomenda-se evitar aumento adicional da dose basal e considerar apoio da Atenção Especializada.</w:t>
      </w:r>
    </w:p>
    <w:p>
      <w:pPr>
        <w:pStyle w:val="Heading3"/>
      </w:pPr>
      <w:r>
        <w:rPr>
          <w:rFonts w:ascii="맑은 고딕" w:cs="맑은 고딕" w:eastAsia="맑은 고딕" w:hAnsi="맑은 고딕"/>
        </w:rPr>
        <w:t xml:space="preserve">3.5. Fatores Clínicos e Comorbidades na Transição</w:t>
      </w:r>
    </w:p>
    <w:p>
      <w:pPr>
        <w:spacing w:after="200"/>
      </w:pPr>
      <w:r>
        <w:rPr>
          <w:rFonts w:ascii="맑은 고딕" w:cs="맑은 고딕" w:eastAsia="맑은 고딕" w:hAnsi="맑은 고딕"/>
        </w:rPr>
        <w:t xml:space="preserve">A transição da insulina humana para glargina requer atenção especial a fatores clínicos individualizados que possam influenciar os desfechos. A idade avançada, com presença de fragilidade, doença renal crônica e irregularidade alimentar, são fatores de risco para hipoglicemia e devem ser cuidadosamente avaliados antes e durante o processo de transição. Para idosos saudáveis, a meta de HbA1c pode ser individualizada em  30 kg/m² (aumento de 8,4% ao final de 24 semanas; p = 0,0057). Essa descoberta sugere que a transição para insulina glargina pode oferecer benefícios metabólicos adicionais em pacientes com maior peso corporal, provavelmente pela redução da variabilidade glicêmica e menor necessidade de ajustes frequentes de dose.</w:t>
      </w:r>
    </w:p>
    <w:p>
      <w:pPr>
        <w:spacing w:after="200"/>
      </w:pPr>
      <w:r>
        <w:rPr>
          <w:rFonts w:ascii="맑은 고딕" w:cs="맑은 고딕" w:eastAsia="맑은 고딕" w:hAnsi="맑은 고딕"/>
        </w:rPr>
        <w:t xml:space="preserve">A abordagem de transição deve também considerar a perspectiva do paciente em termos de qualidade de vida e adesão terapêutica. Estudos demonstram que a insulina glargina está associada a maior satisfação com o tratamento, maior flexibilidade de horário de administração e menor carga injetável. O questionário ITSQ (Insulin Treatment Satisfaction Questionnaire) utilizado no estudo ToUPGRADE demonstrou aumento significativo da pontuação global de 53,2 para 78,2 pontos (p &lt; 0,001) após a transição para Gla-300, indicando melhoria substancial na percepção do paciente sobre o tratamento.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IV. CONSIDERAÇÕES FINAIS</w:t>
      </w:r>
    </w:p>
    <w:p>
      <w:pPr>
        <w:spacing w:after="200"/>
      </w:pPr>
      <w:r>
        <w:rPr>
          <w:rFonts w:ascii="맑은 고딕" w:cs="맑은 고딕" w:eastAsia="맑은 고딕" w:hAnsi="맑은 고딕"/>
        </w:rPr>
        <w:t xml:space="preserve">A transição da insulina humana NPH para a insulina glargina representa uma estratégia terapêutica clinicamente eficaz e segura para o manejo de pacientes insulino-dependente, fundamentada em uma robusta cadeia de evidências científicas provenientes de estudos observacionais prospectivos, meta-análises e diretrizes oficiais. A redução significativa da hemoglobina glicada, observada consistentemente entre diferentes populações e contextos geográficos (Europa, América do Sul e América do Norte), com reduções variando de 0,70% a 1,01% em 24 semanas, demonstra a eficácia metabólica dessa abordagem. A redução da incidência de hipoglicemia, particularmente noturna, aliada à estabilidade ponderal e à redução do risco de ganho de peso, confere à insulina glargina um perfil de segurança superior quando comparada à insulina humana NPH.</w:t>
      </w:r>
    </w:p>
    <w:p>
      <w:pPr>
        <w:spacing w:after="200"/>
      </w:pPr>
      <w:r>
        <w:rPr>
          <w:rFonts w:ascii="맑은 고딕" w:cs="맑은 고딕" w:eastAsia="맑은 고딕" w:hAnsi="맑은 고딕"/>
        </w:rPr>
        <w:t xml:space="preserve">A implementação da estratégia de transição no âmbito do SUS brasileiro, regulamentada pelas Notas Técnicas Conjuntas nº 32/2026 e nº 169/2026, constitui avanço significativo na qualificação da assistência à saúde das pessoas com diabetes. A estratégia de transição gradual, com priorização dos grupos mais vulneráveis e ampliação progressiva do público elegível, demonstra responsabilidade técnica e assistencial, permitindo a avaliação de aspectos operacionais e assistenciais antes da expansão nacional. A disponibilização da insulina glargina por meio de Parceria para o Desenvolvimento Produtivo (PDP) com o laboratório Bio-Manguinhos/Fiocruz, Biomm e Gan &amp; Lee garante a sustentabilidade do abastecimento e a soberania tecnológica no SUS.</w:t>
      </w:r>
    </w:p>
    <w:p>
      <w:pPr>
        <w:spacing w:after="200"/>
      </w:pPr>
      <w:r>
        <w:rPr>
          <w:rFonts w:ascii="맑은 고딕" w:cs="맑은 고딕" w:eastAsia="맑은 고딕" w:hAnsi="맑은 고딕"/>
        </w:rPr>
        <w:t xml:space="preserve">Entretanto, os achados desta revisão também apontam para limitações e desafios que devem ser considerados na prática clínica. A interpretação cautelosa da dose prévia de NPH durante a transição é essencial, particularmente em pacientes com esquemas basal-bolus nos quais a insulina basal pode estar sendo utilizada para compensar necessidades prandiais não cobertas. A conversão automática da dose total de NPH para glargina, mesmo com a redução de 20% preconizada nas diretrizes, pode perpetuar excesso de insulina basal e aumentar o risco de hipoglicemia, especialmente no período noturno. A transição deve ser utilizada como oportunidade para reavaliar a necessidade basal real, reorganizar a proporção basal/prandial e ajustar a insulina das refeições quando indicado.</w:t>
      </w:r>
    </w:p>
    <w:p>
      <w:pPr>
        <w:spacing w:after="200"/>
      </w:pPr>
      <w:r>
        <w:rPr>
          <w:rFonts w:ascii="맑은 고딕" w:cs="맑은 고딕" w:eastAsia="맑은 고딕" w:hAnsi="맑은 고딕"/>
        </w:rPr>
        <w:t xml:space="preserve">A importância do monitoramento intensificado nas primeiras semanas após a transição não pode ser subestimada. O período de adaptação ao novo perfil farmacocinético da insulina glargina requer acompanhamento clínico próximo, com ajustes individualizados de dose baseados na glicemia de jejum e na resposta metabólica global. O registro eletrônico das decisões clínicas e eventos adversos fortalece a continuidade do cuidado e permite a análise retrospectiva dos resultados assistenciais.</w:t>
      </w:r>
    </w:p>
    <w:p>
      <w:pPr>
        <w:spacing w:after="200"/>
      </w:pPr>
      <w:r>
        <w:rPr>
          <w:rFonts w:ascii="맑은 고딕" w:cs="맑은 고딕" w:eastAsia="맑은 고딕" w:hAnsi="맑은 고딕"/>
        </w:rPr>
        <w:t xml:space="preserve">As limitações desta revisão incluem o caráter narrativo da abordagem, a predominância de estudos observacionais na literatura disponível sobre transição direta de NPH para glargina (com relativa escassez de ensaios clínicos randomizados específicos para essa indicação) e a necessidade de estudos de longo prazo que avaliem o impacto da transição sobre complicações crônicas micro e macrovasculares. Além disso, a maioria dos estudos incluídos foi conduzida em populações de países desenvolvidos, sendo necessário maior investigação sobre a efetividade e segurança da transição em populações de baixa e média renda, com diferentes perfis epidemiológicos e nutricionais.</w:t>
      </w:r>
    </w:p>
    <w:p>
      <w:pPr>
        <w:spacing w:after="200"/>
      </w:pPr>
      <w:r>
        <w:rPr>
          <w:rFonts w:ascii="맑은 고딕" w:cs="맑은 고딕" w:eastAsia="맑은 고딕" w:hAnsi="맑은 고딕"/>
        </w:rPr>
        <w:t xml:space="preserve">As perspectivas futuras para o manejo da transição da insulina humana para glargina incluem o desenvolvimento de protocolos de titulação mais sofisticados baseados em monitoramento contínuo de glicose (CGM), a investigação de estratégias de transição em populações pediátricas mais amplas e a avaliação do impacto econômico-assistencial da estratégia no SUS. A integração entre Atenção Primária à Saúde, Atenção Especializada e Assistência Farmacêutica é fundamental para o sucesso da transição, com a APS desempenhando papel central no acompanhamento longitudinal e na educação do paciente. A implementação de programas de capacitação continuada para profissionais de saúde, conforme realizado durante o projeto-piloto federal, é essencial para garantir a qualidade e a segurança do processo de transição em escala nacional.</w:t>
      </w:r>
    </w:p>
    <w:p>
      <w:pPr>
        <w:spacing w:after="200"/>
      </w:pPr>
      <w:r>
        <w:rPr>
          <w:rFonts w:ascii="맑은 고딕" w:cs="맑은 고딕" w:eastAsia="맑은 고딕" w:hAnsi="맑은 고딕"/>
        </w:rPr>
        <w:t xml:space="preserve">Em síntese, a transição da insulina humana NPH para a insulina glargina constitui estratégia de qualificação do cuidado com foco na redução de hipoglicemia, maior estabilidade glicêmica, segurança clínica baseada em evidências e fortalecimento da Atenção Primária à Saúde como coordenadora do cuidado. Os profissionais de saúde devem estar preparados para conduzir esse processo com base em protocolos individualizados, monitoramento criterioso e orientação estruturada ao paciente, assegurando que a transição terapêutica seja realizada com a segurança e a eficácia exigidas pelo cuidado integral à pessoa com diabetes.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Agradecimentos</w:t>
      </w:r>
    </w:p>
    <w:p>
      <w:pPr>
        <w:spacing w:after="200"/>
      </w:pPr>
      <w:r>
        <w:rPr>
          <w:rFonts w:ascii="맑은 고딕" w:cs="맑은 고딕" w:eastAsia="맑은 고딕" w:hAnsi="맑은 고딕"/>
        </w:rPr>
        <w:t xml:space="preserve">Ao Ministério da Saúde do Brasil e à Sociedade Brasileira de Diabetes pelas orientações técnicas que subsidiaram a elaboração desta revisão.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REFERÊNCIAS</w:t>
      </w:r>
    </w:p>
    <w:p>
      <w:pPr>
        <w:spacing w:after="200"/>
      </w:pPr>
      <w:r>
        <w:rPr>
          <w:rFonts w:ascii="맑은 고딕" w:cs="맑은 고딕" w:eastAsia="맑은 고딕" w:hAnsi="맑은 고딕"/>
        </w:rPr>
        <w:t xml:space="preserve">1. WOLNIK B, de WIZA D, SZCZEPANIK T, et al. Switching from Neutral Protamine Hagedorn Insulin to Insulin Glargine 300 U/mL Improves Glycaemic Control and Reduces Hypoglycaemia Risk: Results of a Multicentre, Prospective, Observational Study.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2020;11:2835-2849. DOI: 10.1155/2020/8751348.</w:t>
      </w:r>
    </w:p>
    <w:p>
      <w:pPr>
        <w:spacing w:after="200"/>
      </w:pPr>
      <w:r>
        <w:rPr>
          <w:rFonts w:ascii="맑은 고딕" w:cs="맑은 고딕" w:eastAsia="맑은 고딕" w:hAnsi="맑은 고딕"/>
        </w:rPr>
        <w:t xml:space="preserve">2. KAMENOV Z, PEHLIVANOVA V, KUNEVA T, et al. Real-World Effectiveness and Safety of Insulin Glargine 300 U/mL in Patients with T2D Uncontrolled on NPH or Premixed Insulins as Part of Routine Clinical Practice in Bulgaria: ToUPGRADE Study.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2021;12:875-888. DOI: 10.1007/s13300-021-01022-0.</w:t>
      </w:r>
    </w:p>
    <w:p>
      <w:pPr>
        <w:spacing w:after="200"/>
      </w:pPr>
      <w:r>
        <w:rPr>
          <w:rFonts w:ascii="맑은 고딕" w:cs="맑은 고딕" w:eastAsia="맑은 고딕" w:hAnsi="맑은 고딕"/>
        </w:rPr>
        <w:t xml:space="preserve">3. FRÖLICH M, MAADE A, KÖNIG A, et al. Glycaemic Control in People with Type 2 Diabetes Mellitus Switching from Basal Insulin to Insulin Glargine 300 U/ml (Gla-300): Results from the REALI Pooled Database.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2023;14:123-138. DOI: 10.1007/s13300-022-01354-w.</w:t>
      </w:r>
    </w:p>
    <w:p>
      <w:pPr>
        <w:spacing w:after="200"/>
      </w:pPr>
      <w:r>
        <w:rPr>
          <w:rFonts w:ascii="맑은 고딕" w:cs="맑은 고딕" w:eastAsia="맑은 고딕" w:hAnsi="맑은 고딕"/>
        </w:rPr>
        <w:t xml:space="preserve">4. GÖLZ S, MADE J K, BILZ S, et al. Safety and Effectiveness of Glargine 300 U/ml After Switching from Basal Insulins in Patients with Type 1 Diabetes: COMET-T Study.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2024;15:2051-2062. DOI: 10.1007/s13300-024-01670-y.</w:t>
      </w:r>
    </w:p>
    <w:p>
      <w:pPr>
        <w:spacing w:after="200"/>
      </w:pPr>
      <w:r>
        <w:rPr>
          <w:rFonts w:ascii="맑은 고딕" w:cs="맑은 고딕" w:eastAsia="맑은 고딕" w:hAnsi="맑은 고딕"/>
        </w:rPr>
        <w:t xml:space="preserve">5. SEMIZ GG, ÜNAL MC, SELIMOĞLU İ, et al. Clinical Outcomes of Insulin Glargine U300 on Glycemic Control and Hypoglycemia: A Retrospective Observational Study. </w:t>
      </w:r>
      <w:r>
        <w:rPr>
          <w:rFonts w:ascii="맑은 고딕" w:cs="맑은 고딕" w:eastAsia="맑은 고딕" w:hAnsi="맑은 고딕"/>
          <w:i/>
          <w:iCs/>
        </w:rPr>
        <w:t xml:space="preserve">Journal of Clinical Medicine</w:t>
      </w:r>
      <w:r>
        <w:rPr>
          <w:rFonts w:ascii="맑은 고딕" w:cs="맑은 고딕" w:eastAsia="맑은 고딕" w:hAnsi="맑은 고딕"/>
        </w:rPr>
        <w:t xml:space="preserve">. 2026;15(9):3529. DOI: 10.3390/jcm15093529.</w:t>
      </w:r>
    </w:p>
    <w:p>
      <w:pPr>
        <w:spacing w:after="200"/>
      </w:pPr>
      <w:r>
        <w:rPr>
          <w:rFonts w:ascii="맑은 고딕" w:cs="맑은 고딕" w:eastAsia="맑은 고딕" w:hAnsi="맑은 고딕"/>
        </w:rPr>
        <w:t xml:space="preserve">6. BRASIL. Ministério da Saúde. Nota Técnica Conjunta nº 169/2026-DAF/SCTIE/DEPROS/SAPS/DAET/SAES/MS. Orientações para transição da insulina humana (NPH) para insulina análoga de ação prolongada (glargina) no âmbito da Atenção Primária à Saúde. Brasília: Ministério da Saúde; 2026. Disponível em: https://www.gov.br/saude/pt-br/centrais-de-conteudo/publicacoes/notas-tecnicas/2026/nota-tecnica-conjunta-no-169-2026-dafsctie-deprossaps-daetsaes-ms.pdf</w:t>
      </w:r>
    </w:p>
    <w:p>
      <w:pPr>
        <w:spacing w:after="200"/>
      </w:pPr>
      <w:r>
        <w:rPr>
          <w:rFonts w:ascii="맑은 고딕" w:cs="맑은 고딕" w:eastAsia="맑은 고딕" w:hAnsi="맑은 고딕"/>
        </w:rPr>
        <w:t xml:space="preserve">7. BRASIL. Ministério da Saúde. Nota Técnica Conjunta nº 32/2026-DEPROS/SAPS/DAET/SAES/MS. Orientações para a transição da insulina humana NPH para a insulina glargina no âmbito do projeto-piloto no Sistema Único de Saúde (SUS). Brasília: Ministério da Saúde; 2026. Disponível em: https://www.gov.br/saude/pt-br/centrais-de-conteudo/publicacoes/notas-tecnicas/2026/nota-tecnica-conjunta-no-32-2026-depros-saps-daet-saes-ms.pdf</w:t>
      </w:r>
    </w:p>
    <w:p>
      <w:pPr>
        <w:spacing w:after="200"/>
      </w:pPr>
      <w:r>
        <w:rPr>
          <w:rFonts w:ascii="맑은 고딕" w:cs="맑은 고딕" w:eastAsia="맑은 고딕" w:hAnsi="맑은 고딕"/>
        </w:rPr>
        <w:t xml:space="preserve">8. FREEMANTLE N, GERSTEIN HC, SCHERNTHANER G, et al. Efficacy and safety of basal insulins in people with type 2 diabetes mellitus: a systematic review and network meta-analysis of randomized clinical trials. </w:t>
      </w:r>
      <w:r>
        <w:rPr>
          <w:rFonts w:ascii="맑은 고딕" w:cs="맑은 고딕" w:eastAsia="맑은 고딕" w:hAnsi="맑은 고딕"/>
          <w:i/>
          <w:iCs/>
        </w:rPr>
        <w:t xml:space="preserve">Frontiers in Endocrinology</w:t>
      </w:r>
      <w:r>
        <w:rPr>
          <w:rFonts w:ascii="맑은 고딕" w:cs="맑은 고딕" w:eastAsia="맑은 고딕" w:hAnsi="맑은 고딕"/>
        </w:rPr>
        <w:t xml:space="preserve">. 2024;15:1286827. DOI: 10.3389/fendo.2024.1286827.</w:t>
      </w:r>
    </w:p>
    <w:p>
      <w:pPr>
        <w:spacing w:after="200"/>
      </w:pPr>
      <w:r>
        <w:rPr>
          <w:rFonts w:ascii="맑은 고딕" w:cs="맑은 고딕" w:eastAsia="맑은 고딕" w:hAnsi="맑은 고딕"/>
        </w:rPr>
        <w:t xml:space="preserve">9. RAGONESE M, et al. Clinical Outcomes of Switching to Insulin Glargine 300 U/ml from Other Basal Insulins in People with Type 2 Diabetes in Italy: A Real-World Study.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2021;12:1095-1111. DOI: 10.1007/s13300-020-00902-1.</w:t>
      </w:r>
    </w:p>
    <w:p>
      <w:pPr>
        <w:spacing w:after="200"/>
      </w:pPr>
      <w:r>
        <w:rPr>
          <w:rFonts w:ascii="맑은 고딕" w:cs="맑은 고딕" w:eastAsia="맑은 고딕" w:hAnsi="맑은 고딕"/>
        </w:rPr>
        <w:t xml:space="preserve">10. SWINNEN SG, SIMON ACR, HOLLEMAN F, et al. Insulin detemir versus insulin glargine for type 2 diabetes mellitus. </w:t>
      </w:r>
      <w:r>
        <w:rPr>
          <w:rFonts w:ascii="맑은 고딕" w:cs="맑은 고딕" w:eastAsia="맑은 고딕" w:hAnsi="맑은 고딕"/>
          <w:i/>
          <w:iCs/>
        </w:rPr>
        <w:t xml:space="preserve">Cochrane Database of Systematic Reviews</w:t>
      </w:r>
      <w:r>
        <w:rPr>
          <w:rFonts w:ascii="맑은 고딕" w:cs="맑은 고딕" w:eastAsia="맑은 고딕" w:hAnsi="맑은 고딕"/>
        </w:rPr>
        <w:t xml:space="preserve">. 2011;(7):CD006383. DOI: 10.1002/14651858.CD006383.pub2.</w:t>
      </w:r>
    </w:p>
    <w:p>
      <w:pPr>
        <w:spacing w:after="200"/>
      </w:pPr>
      <w:r>
        <w:rPr>
          <w:rFonts w:ascii="맑은 고딕" w:cs="맑은 고딕" w:eastAsia="맑은 고딕" w:hAnsi="맑은 고딕"/>
        </w:rPr>
        <w:t xml:space="preserve">11. RYS P, WOJCIECHOWSKI P, ROGOZ-SITEK A, et al. Systematic review and meta-analysis of randomized clinical trials comparing efficacy and safety outcomes of insulin glargine with NPH insulin, premixed insulin preparations or with insulin detemir in type 2 diabetes mellitus. </w:t>
      </w:r>
      <w:r>
        <w:rPr>
          <w:rFonts w:ascii="맑은 고딕" w:cs="맑은 고딕" w:eastAsia="맑은 고딕" w:hAnsi="맑은 고딕"/>
          <w:i/>
          <w:iCs/>
        </w:rPr>
        <w:t xml:space="preserve">Journal of Diabetes and Metabolic Disorders</w:t>
      </w:r>
      <w:r>
        <w:rPr>
          <w:rFonts w:ascii="맑은 고딕" w:cs="맑은 고딕" w:eastAsia="맑은 고딕" w:hAnsi="맑은 고딕"/>
        </w:rPr>
        <w:t xml:space="preserve">. 2015;14:13. DOI: 10.1007/s00592-014-0698-4.</w:t>
      </w:r>
    </w:p>
    <w:p>
      <w:pPr>
        <w:spacing w:after="200"/>
      </w:pPr>
      <w:r>
        <w:rPr>
          <w:rFonts w:ascii="맑은 고딕" w:cs="맑은 고딕" w:eastAsia="맑은 고딕" w:hAnsi="맑은 고딕"/>
        </w:rPr>
        <w:t xml:space="preserve">12. AGÊNCIA BRASIL. SUS inicia transição de insulina humana para a de ação prolongada. 2026. Disponível em: https://agenciabrasil.ebc.com.br/saude/noticia/2026-02/sus-inicia-transicao-de-insulina-humana-para-de-acao-prolongada</w:t>
      </w:r>
    </w:p>
    <w:p>
      <w:pPr>
        <w:spacing w:after="200"/>
      </w:pPr>
      <w:r>
        <w:rPr>
          <w:rFonts w:ascii="맑은 고딕" w:cs="맑은 고딕" w:eastAsia="맑은 고딕" w:hAnsi="맑은 고딕"/>
        </w:rPr>
        <w:t xml:space="preserve">13. MINISTÉRIO DA SAÚDE. Ministério da Saúde amplia acesso à insulina glargina no SUS e orienta transição terapêutica na Atenção Primária. 2026. Disponível em: https://www.gov.br/saude/pt-br/assuntos/noticias-ms/2026/julho/ministerio-da-saude-detalha-processo-de-transicao-de-insulina-glargina-para-secretarios-municipais</w:t>
      </w:r>
    </w:p>
    <w:p>
      <w:pPr>
        <w:spacing w:after="200"/>
      </w:pPr>
      <w:r>
        <w:rPr>
          <w:rFonts w:ascii="맑은 고딕" w:cs="맑은 고딕" w:eastAsia="맑은 고딕" w:hAnsi="맑은 고딕"/>
        </w:rPr>
        <w:t xml:space="preserve">14. COSEMS RJ. Nota Orientativa COSEMS RJ — Transição da Insulina Humana NPH para Insulina Glargina no SUS. 2026. Disponível em: http://www.cosemsrj.org.br/wp-content/uploads/2026/05/NOTA-ORIENTATIVA</w:t>
      </w:r>
      <w:r>
        <w:rPr>
          <w:rFonts w:ascii="맑은 고딕" w:cs="맑은 고딕" w:eastAsia="맑은 고딕" w:hAnsi="맑은 고딕"/>
        </w:rPr>
        <w:t xml:space="preserve">_insulinoterapia</w:t>
      </w:r>
      <w:r>
        <w:rPr>
          <w:rFonts w:ascii="맑은 고딕" w:cs="맑은 고딕" w:eastAsia="맑은 고딕" w:hAnsi="맑은 고딕"/>
        </w:rPr>
        <w:t xml:space="preserve">_final</w:t>
      </w:r>
      <w:r>
        <w:rPr>
          <w:rFonts w:ascii="맑은 고딕" w:cs="맑은 고딕" w:eastAsia="맑은 고딕" w:hAnsi="맑은 고딕"/>
        </w:rPr>
        <w:t xml:space="preserve">_23fev2026.pdf</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NOTA METODOLÓGICA</w:t>
      </w:r>
    </w:p>
    <w:p>
      <w:pPr>
        <w:spacing w:after="200"/>
      </w:pPr>
      <w:r>
        <w:rPr>
          <w:rFonts w:ascii="맑은 고딕" w:cs="맑은 고딕" w:eastAsia="맑은 고딕" w:hAnsi="맑은 고딕"/>
          <w:b/>
          <w:bCs/>
        </w:rPr>
        <w:t xml:space="preserve">Dados incertos que requerem verificação antes da submissão:</w:t>
      </w:r>
    </w:p>
    <w:p>
      <w:pPr>
        <w:spacing w:after="200"/>
      </w:pPr>
      <w:r>
        <w:rPr>
          <w:rFonts w:ascii="맑은 고딕" w:cs="맑은 고딕" w:eastAsia="맑은 고딕" w:hAnsi="맑은 고딕"/>
        </w:rPr>
        <w:t xml:space="preserve">1. Os valores exatos de redução de HbA1c do estudo REALI pool podem variar conforme a análise específica do subgrupo NPH. Recomenda-se verificar os dados primários no manuscrito original de Frölich et al. (2023).</w:t>
      </w:r>
    </w:p>
    <w:p>
      <w:pPr>
        <w:spacing w:after="200"/>
      </w:pPr>
      <w:r>
        <w:rPr>
          <w:rFonts w:ascii="맑은 고딕" w:cs="맑은 고딕" w:eastAsia="맑은 고딕" w:hAnsi="맑은 고딕"/>
        </w:rPr>
        <w:t xml:space="preserve">2. A taxa de hipoglicemia do estudo ToUPGRADE (7,7%) refere-se a hipoglicemia confirmada (≥3,9 mmol/L); a classificação de eventos pode diferir entre os critérios de cada estudo.</w:t>
      </w:r>
    </w:p>
    <w:p>
      <w:pPr>
        <w:spacing w:after="200"/>
      </w:pPr>
      <w:r>
        <w:rPr>
          <w:rFonts w:ascii="맑은 고딕" w:cs="맑은 고딕" w:eastAsia="맑은 고딕" w:hAnsi="맑은 고딕"/>
        </w:rPr>
        <w:t xml:space="preserve">3. As datas exatas de publicação dos documentos oficiais do Ministério da Saúde (Notas Técnicas 32/2026 e 169/2026) devem ser confirmadas no Diário Oficial da União para verificação da numeração e conteúdo vigente no momento da submissão.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2026-09-18T19:01:59.505Z</dcterms:created>
  <dcterms:modified xsi:type="dcterms:W3CDTF">2026-09-18T19:01:59.545Z</dcterms:modified>
</cp:coreProperties>
</file>

<file path=docProps/custom.xml><?xml version="1.0" encoding="utf-8"?>
<Properties xmlns="http://schemas.openxmlformats.org/officeDocument/2006/custom-properties" xmlns:vt="http://schemas.openxmlformats.org/officeDocument/2006/docPropsVTypes"/>
</file>