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맑은 고딕" w:cs="맑은 고딕" w:eastAsia="맑은 고딕" w:hAnsi="맑은 고딕"/>
        </w:rPr>
        <w:t xml:space="preserve">Segurança da Transição Terapêutica da Insulina Humana para Glargina: Redução de Hipoglicemia e Impacto Clínico em Pacientes Insulino-Dependente</w:t>
      </w:r>
    </w:p>
    <w:p>
      <w:pPr>
        <w:pStyle w:val="Heading2"/>
      </w:pPr>
      <w:r>
        <w:rPr>
          <w:rFonts w:ascii="맑은 고딕" w:cs="맑은 고딕" w:eastAsia="맑은 고딕" w:hAnsi="맑은 고딕"/>
        </w:rPr>
        <w:t xml:space="preserve">Metadados</w:t>
      </w:r>
    </w:p>
    <w:p>
      <w:pPr>
        <w:pStyle w:val="ListParagraph"/>
        <w:numPr>
          <w:ilvl w:val="0"/>
          <w:numId w:val="2"/>
        </w:numPr>
        <w:spacing w:after="80" w:before="40"/>
      </w:pPr>
      <w:r>
        <w:rPr>
          <w:rFonts w:ascii="맑은 고딕" w:cs="맑은 고딕" w:eastAsia="맑은 고딕" w:hAnsi="맑은 고딕"/>
          <w:b/>
          <w:bCs/>
        </w:rPr>
        <w:t xml:space="preserve">Título:</w:t>
      </w:r>
      <w:r>
        <w:rPr>
          <w:rFonts w:ascii="맑은 고딕" w:cs="맑은 고딕" w:eastAsia="맑은 고딕" w:hAnsi="맑은 고딕"/>
        </w:rPr>
        <w:t xml:space="preserve"> Segurança da transição terapêutica da insulina humana para glargina: redução de hipoglicemia e impacto clínico</w:t>
      </w:r>
    </w:p>
    <w:p>
      <w:pPr>
        <w:pStyle w:val="ListParagraph"/>
        <w:numPr>
          <w:ilvl w:val="0"/>
          <w:numId w:val="2"/>
        </w:numPr>
        <w:spacing w:after="80" w:before="40"/>
      </w:pPr>
      <w:r>
        <w:rPr>
          <w:rFonts w:ascii="맑은 고딕" w:cs="맑은 고딕" w:eastAsia="맑은 고딕" w:hAnsi="맑은 고딕"/>
          <w:b/>
          <w:bCs/>
        </w:rPr>
        <w:t xml:space="preserve">Autor:</w:t>
      </w:r>
      <w:r>
        <w:rPr>
          <w:rFonts w:ascii="맑은 고딕" w:cs="맑은 고딕" w:eastAsia="맑은 고딕" w:hAnsi="맑은 고딕"/>
        </w:rPr>
        <w:t xml:space="preserve"> Paulo Henrique Campos da Silva</w:t>
      </w:r>
    </w:p>
    <w:p>
      <w:pPr>
        <w:pStyle w:val="ListParagraph"/>
        <w:numPr>
          <w:ilvl w:val="0"/>
          <w:numId w:val="2"/>
        </w:numPr>
        <w:spacing w:after="80" w:before="40"/>
      </w:pPr>
      <w:r>
        <w:rPr>
          <w:rFonts w:ascii="맑은 고딕" w:cs="맑은 고딕" w:eastAsia="맑은 고딕" w:hAnsi="맑은 고딕"/>
          <w:b/>
          <w:bCs/>
        </w:rPr>
        <w:t xml:space="preserve">Afiliação:</w:t>
      </w:r>
      <w:r>
        <w:rPr>
          <w:rFonts w:ascii="맑은 고딕" w:cs="맑은 고딕" w:eastAsia="맑은 고딕" w:hAnsi="맑은 고딕"/>
        </w:rPr>
        <w:t xml:space="preserve"> FACIMED — Cacoal, RO, Brasil</w:t>
      </w:r>
    </w:p>
    <w:p>
      <w:pPr>
        <w:pStyle w:val="ListParagraph"/>
        <w:numPr>
          <w:ilvl w:val="0"/>
          <w:numId w:val="2"/>
        </w:numPr>
        <w:spacing w:after="80" w:before="40"/>
      </w:pPr>
      <w:r>
        <w:rPr>
          <w:rFonts w:ascii="맑은 고딕" w:cs="맑은 고딕" w:eastAsia="맑은 고딕" w:hAnsi="맑은 고딕"/>
          <w:b/>
          <w:bCs/>
        </w:rPr>
        <w:t xml:space="preserve">Data:</w:t>
      </w:r>
      <w:r>
        <w:rPr>
          <w:rFonts w:ascii="맑은 고딕" w:cs="맑은 고딕" w:eastAsia="맑은 고딕" w:hAnsi="맑은 고딕"/>
        </w:rPr>
        <w:t xml:space="preserve"> 2026-09-18</w:t>
      </w:r>
    </w:p>
    <w:p>
      <w:pPr>
        <w:pStyle w:val="ListParagraph"/>
        <w:numPr>
          <w:ilvl w:val="0"/>
          <w:numId w:val="2"/>
        </w:numPr>
        <w:spacing w:after="80" w:before="40"/>
      </w:pPr>
      <w:r>
        <w:rPr>
          <w:rFonts w:ascii="맑은 고딕" w:cs="맑은 고딕" w:eastAsia="맑은 고딕" w:hAnsi="맑은 고딕"/>
          <w:b/>
          <w:bCs/>
        </w:rPr>
        <w:t xml:space="preserve">Palavras-chave:</w:t>
      </w:r>
      <w:r>
        <w:rPr>
          <w:rFonts w:ascii="맑은 고딕" w:cs="맑은 고딕" w:eastAsia="맑은 고딕" w:hAnsi="맑은 고딕"/>
        </w:rPr>
        <w:t xml:space="preserve"> Hipoglicemia; Transição terapêutica; Insulina glargina; Insulina NPH; Segurança do paciente; Farmacocinética</w:t>
      </w:r>
    </w:p>
    <w:p>
      <w:pPr>
        <w:pStyle w:val="ListParagraph"/>
        <w:numPr>
          <w:ilvl w:val="0"/>
          <w:numId w:val="2"/>
        </w:numPr>
        <w:spacing w:after="80" w:before="40"/>
      </w:pPr>
      <w:r>
        <w:rPr>
          <w:rFonts w:ascii="맑은 고딕" w:cs="맑은 고딕" w:eastAsia="맑은 고딕" w:hAnsi="맑은 고딕"/>
          <w:b/>
          <w:bCs/>
        </w:rPr>
        <w:t xml:space="preserve">Revista-alvo:</w:t>
      </w:r>
      <w:r>
        <w:rPr>
          <w:rFonts w:ascii="맑은 고딕" w:cs="맑은 고딕" w:eastAsia="맑은 고딕" w:hAnsi="맑은 고딕"/>
        </w:rPr>
        <w:t xml:space="preserve"> IJAERS — International Journal of Advanced Engineering Research and Science (ISSN 2349-6495/2456-1908, Qualis A2)</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Resumo</w:t>
      </w:r>
    </w:p>
    <w:p>
      <w:pPr>
        <w:spacing w:after="200"/>
      </w:pPr>
      <w:r>
        <w:rPr>
          <w:rFonts w:ascii="맑은 고딕" w:cs="맑은 고딕" w:eastAsia="맑은 고딕" w:hAnsi="맑은 고딕"/>
        </w:rPr>
        <w:t xml:space="preserve">A hipoglicemia constitui um dos eventos adversos mais temidos na insulinoterapia, sendo associada a morbidade, mortalidade e redução da qualidade de vida. A transição da insulina humana neutralizada por protamina de Hagedorn (NPH) para análogos de ação prolongada, como a insulina glargina, tem sido apontada como estratégia capaz de reduzir significativamente a incidência de episódios hipoglicêmicos. O objetivo desta revisão narrativa foi analisar a evidência científica disponível sobre o perfil de segurança da transição terapêutica da insulina humana para glargina, com foco na redução de hipoglicemia e seus impactos clínicos associados. Foram consultadas as bases PubMed, SciELO, LILACS e Google Scholar, com ênfase em publicações dos anos de 2021 a 2026. Os resultados demonstram consistentemente que a transição para insulina glargina está associada a redução significativa da incidência de hipoglicemia, particularmente noturna, com taxas de eventos graves próximas de zero na prática clínica real. Estudos prospectivos observacionais, incluindo o ToUPGRADE e o REALI, relataram incidência de hipoglicemia confirmada entre 7,7% e 12,7%, com redução de 43% na frequência de episódios noturnos sintomáticos. A meta-análise em rede de 2024 confirmou que a insulina glargina 300 U/mL está associada a menores odds de eventos hipoglicêmicos em comparação com NPH. As diretrizes brasileiras recomendam monitoramento intensificado nas primeiras semanas após a transição, com atenção especial aos sinais de excesso de insulina basal. Os achados reforçam que a transição para insulina glargina representa uma estratégia segura e clinicamente relevante para a redução do risco hipoglicêmico em pacientes insulino-dependente.</w:t>
      </w:r>
    </w:p>
    <w:p>
      <w:pPr>
        <w:spacing w:after="200"/>
      </w:pPr>
      <w:r>
        <w:rPr>
          <w:rFonts w:ascii="맑은 고딕" w:cs="맑은 고딕" w:eastAsia="맑은 고딕" w:hAnsi="맑은 고딕"/>
          <w:b/>
          <w:bCs/>
        </w:rPr>
        <w:t xml:space="preserve">Palavras-chave:</w:t>
      </w:r>
      <w:r>
        <w:rPr>
          <w:rFonts w:ascii="맑은 고딕" w:cs="맑은 고딕" w:eastAsia="맑은 고딕" w:hAnsi="맑은 고딕"/>
        </w:rPr>
        <w:t xml:space="preserve"> Hipoglicemia; Transição terapêutica; Insulina glargina; Insulina NPH; Segurança do paciente; Farmacocinética.</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ABSTRACT</w:t>
      </w:r>
    </w:p>
    <w:p>
      <w:pPr>
        <w:spacing w:after="200"/>
      </w:pPr>
      <w:r>
        <w:rPr>
          <w:rFonts w:ascii="맑은 고딕" w:cs="맑은 고딕" w:eastAsia="맑은 고딕" w:hAnsi="맑은 고딕"/>
        </w:rPr>
        <w:t xml:space="preserve">Hypoglycemia constitutes one of the most feared adverse events in insulin therapy, being associated with morbidity, mortality, and reduced quality of life. The transition from neutral protamine Hagedorn (NPH) human insulin to long-acting analogues such as insulin glargine has been pointed out as a strategy capable of significantly reducing the incidence of hypoglycemic episodes. This narrative review aimed to analyze the scientific evidence on the safety profile of the therapeutic transition from human insulin to glargine, focusing on hypoglycemia reduction and its associated clinical impacts. The PubMed, SciELO, LILACS, and Google Scholar databases were consulted, emphasizing publications from 2021 to 2026. The results consistently demonstrate that the transition to insulin glargine is associated with a significant reduction in hypoglycemia incidence, particularly nocturnal, with rates of severe events approaching zero in real-world clinical practice. Prospective observational studies, including ToUPGRADE and REALI, reported confirmed hypoglycemia incidence between 7.7% and 12.7%, with a 43% reduction in nocturnal symptomatic episodes. The 2024 network meta-analysis confirmed that insulin glargine 300 U/mL is associated with lower odds of hypoglycemic events compared to NPH. Brazilian guidelines recommend intensified monitoring during the first weeks after transition, with special attention to signs of excess basal insulin. The findings reinforce that the transition to insulin glargine represents a safe and clinically relevant strategy for reducing hypoglycemic risk in insulin-dependent patients.</w:t>
      </w:r>
    </w:p>
    <w:p>
      <w:pPr>
        <w:spacing w:after="200"/>
      </w:pPr>
      <w:r>
        <w:rPr>
          <w:rFonts w:ascii="맑은 고딕" w:cs="맑은 고딕" w:eastAsia="맑은 고딕" w:hAnsi="맑은 고딕"/>
          <w:b/>
          <w:bCs/>
        </w:rPr>
        <w:t xml:space="preserve">Keywords:</w:t>
      </w:r>
      <w:r>
        <w:rPr>
          <w:rFonts w:ascii="맑은 고딕" w:cs="맑은 고딕" w:eastAsia="맑은 고딕" w:hAnsi="맑은 고딕"/>
        </w:rPr>
        <w:t xml:space="preserve"> Hypoglycemia; Therapeutic transition; Insulin glargine; NPH insulin; Patient safety; Pharmacokinetics.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I. INTRODUÇÃO</w:t>
      </w:r>
    </w:p>
    <w:p>
      <w:pPr>
        <w:spacing w:after="200"/>
      </w:pPr>
      <w:r>
        <w:rPr>
          <w:rFonts w:ascii="맑은 고딕" w:cs="맑은 고딕" w:eastAsia="맑은 고딕" w:hAnsi="맑은 고딕"/>
        </w:rPr>
        <w:t xml:space="preserve">A hipoglicemia é considerada um dos eventos adversos mais graves e temidos na insulinoterapia, representando uma das principais barreiras para o alcance de metas glicêmicas otimizadas e um fator de risco significativo para complicações cardiovasculares e mortalidade. A insulina humana neutralizada por protamina de Hagedorn (NPH), amplamente utilizada historicamente no tratamento da diabetes mellitus, apresenta um perfil farmacocinético caracterizado por pico de ação entre 4 e 12 horas, o que predispõe pacientes a episódios de hipoglicemia, particularmente durante o período noturno e de madrugada. Essa característica tem sido identificada como uma limitação significativa que compromete tanto a segurança quanto a qualidade de vida dos pacientes insulinodependentes.</w:t>
      </w:r>
    </w:p>
    <w:p>
      <w:pPr>
        <w:spacing w:after="200"/>
      </w:pPr>
      <w:r>
        <w:rPr>
          <w:rFonts w:ascii="맑은 고딕" w:cs="맑은 고딕" w:eastAsia="맑은 고딕" w:hAnsi="맑은 고딕"/>
        </w:rPr>
        <w:t xml:space="preserve">A insulina glargina, um análogo de ação prolongada de segunda geração, foi desenvolvida com o objetivo de proporcionar um perfil farmacocinético-farmacodinâmico mais previsível e plano ao longo de 24 horas, minimizando os picos de ação que predispõem à hipoglicemia. Estudos clínicos demonstraram que a transição de NPH para insulina glargina resulta não apenas em melhoria do controle glicêmico, mas também em redução significativa da incidência e frequência de episódios hipoglicêmicos, com taxas de hipoglicemia grave frequentemente próximas de zero na prática clínica real.</w:t>
      </w:r>
    </w:p>
    <w:p>
      <w:pPr>
        <w:spacing w:after="200"/>
      </w:pPr>
      <w:r>
        <w:rPr>
          <w:rFonts w:ascii="맑은 고딕" w:cs="맑은 고딕" w:eastAsia="맑은 고딕" w:hAnsi="맑은 고딕"/>
        </w:rPr>
        <w:t xml:space="preserve">O cenário internacional de restrição na produção de insulina humana, somado às evidências de superior perfil de segurança dos análogos de ação prolongada, impulsionou a estratégia de transição terapêutica em diversos países, incluindo o Brasil. O Ministério da Saúde publicou as Notas Técnicas Conjuntas nº 32/2026 e nº 169/2026, estabelecendo diretrizes para a transição da insulina NPH para glargina no âmbito do Sistema Único de Saúde (SUS), com foco na redução de eventos adversos e na qualificação do cuidado assistencial. A transição é particularmente relevante para populações vulneráveis, como idosos e crianças, nos quais a hipoglicemia apresenta consequências mais graves e potencialmente fatais.</w:t>
      </w:r>
    </w:p>
    <w:p>
      <w:pPr>
        <w:spacing w:after="200"/>
      </w:pPr>
      <w:r>
        <w:rPr>
          <w:rFonts w:ascii="맑은 고딕" w:cs="맑은 고딕" w:eastAsia="맑은 고딕" w:hAnsi="맑은 고딕"/>
        </w:rPr>
        <w:t xml:space="preserve">Apesar da crescente quantidade de evidências disponíveis, persiste uma lacuna na literatura quanto à consolidação sistemática dos dados de segurança da transição terapêutica, incluindo análise comparativa entre diferentes tipos de NPH, variáveis de dose e fatores de risco individuais para hipoglicemia. O presente estudo busca preencher essa lacuna ao realizar uma revisão narrativa focada especificamente no perfil de segurança da transição da insulina humana para glargina, com ênfase na redução de hipoglicemia e seus impactos clínicos.</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II. MATERIAIS E MÉTODOS</w:t>
      </w:r>
    </w:p>
    <w:p>
      <w:pPr>
        <w:pStyle w:val="Heading3"/>
      </w:pPr>
      <w:r>
        <w:rPr>
          <w:rFonts w:ascii="맑은 고딕" w:cs="맑은 고딕" w:eastAsia="맑은 고딕" w:hAnsi="맑은 고딕"/>
        </w:rPr>
        <w:t xml:space="preserve">2.1. Tipo de Estudo e Fontes de Informação</w:t>
      </w:r>
    </w:p>
    <w:p>
      <w:pPr>
        <w:spacing w:after="200"/>
      </w:pPr>
      <w:r>
        <w:rPr>
          <w:rFonts w:ascii="맑은 고딕" w:cs="맑은 고딕" w:eastAsia="맑은 고딕" w:hAnsi="맑은 고딕"/>
        </w:rPr>
        <w:t xml:space="preserve">Foi realizada uma revisão narrativa da literatura científica, com abordagem qualitativa e analítica, fundamentada em evidências primárias e diretrizes institucionais. Foram consultadas as bases de dados eletrônicas PubMed, SciELO, LILACS e Google Scholar, utilizando os descritores DeCS/MeSH: "Hypoglycemia", "Insulin Glargine", "Insulin NPH", "Drug Substitution", "Patient Safety", "Pharmacokinetics" e "Diabetes Mellitus".</w:t>
      </w:r>
    </w:p>
    <w:p>
      <w:pPr>
        <w:pStyle w:val="Heading3"/>
      </w:pPr>
      <w:r>
        <w:rPr>
          <w:rFonts w:ascii="맑은 고딕" w:cs="맑은 고딕" w:eastAsia="맑은 고딕" w:hAnsi="맑은 고딕"/>
        </w:rPr>
        <w:t xml:space="preserve">2.2. Critérios de Inclusão e Exclusão</w:t>
      </w:r>
    </w:p>
    <w:p>
      <w:pPr>
        <w:spacing w:after="200"/>
      </w:pPr>
      <w:r>
        <w:rPr>
          <w:rFonts w:ascii="맑은 고딕" w:cs="맑은 고딕" w:eastAsia="맑은 고딕" w:hAnsi="맑은 고딕"/>
        </w:rPr>
        <w:t xml:space="preserve">Foram incluídos estudos publicados entre 2021 e 2026, incluindo ensaios clínicos randomizados, estudos observacionais prospectivos e retrospectivos, meta-análises, revisões sistemáticas e documentos oficiais de órgãos governamentais e sociedades científicas. Foram excluídos artigos em idiomas diferentes do português e inglês, publicações sem dados primários sobre a transição terapêutica e estudos focados exclusivamente em insulinas de ação ultrarrápida ou mistas, sem componente basal.</w:t>
      </w:r>
    </w:p>
    <w:p>
      <w:pPr>
        <w:pStyle w:val="Heading3"/>
      </w:pPr>
      <w:r>
        <w:rPr>
          <w:rFonts w:ascii="맑은 고딕" w:cs="맑은 고딕" w:eastAsia="맑은 고딕" w:hAnsi="맑은 고딕"/>
        </w:rPr>
        <w:t xml:space="preserve">2.3. Critérios de Avaliação</w:t>
      </w:r>
    </w:p>
    <w:p>
      <w:pPr>
        <w:spacing w:after="200"/>
      </w:pPr>
      <w:r>
        <w:rPr>
          <w:rFonts w:ascii="맑은 고딕" w:cs="맑은 고딕" w:eastAsia="맑은 고딕" w:hAnsi="맑은 고딕"/>
        </w:rPr>
        <w:t xml:space="preserve">A análise dos estudos incluiu a avaliação de desfechos primários relacionados à segurança: incidência de hipoglicemia confirmada e grave, frequência de episódios hipoglicêmicos noturnos, taxa de eventos hipoglicêmicos por paciente-ano, alterações no peso corporal e doses de insulina. As diretrizes oficiais do Ministério da Saúde do Brasil foram analisadas quanto às recomendações sobre protocolos de transição e critérios de alerta para excesso de insulina basal.</w:t>
      </w:r>
    </w:p>
    <w:p>
      <w:pPr>
        <w:pStyle w:val="Heading3"/>
      </w:pPr>
      <w:r>
        <w:rPr>
          <w:rFonts w:ascii="맑은 고딕" w:cs="맑은 고딕" w:eastAsia="맑은 고딕" w:hAnsi="맑은 고딕"/>
        </w:rPr>
        <w:t xml:space="preserve">2.4. Verificação de Referências</w:t>
      </w:r>
    </w:p>
    <w:p>
      <w:pPr>
        <w:spacing w:after="200"/>
      </w:pPr>
      <w:r>
        <w:rPr>
          <w:rFonts w:ascii="맑은 고딕" w:cs="맑은 고딕" w:eastAsia="맑은 고딕" w:hAnsi="맑은 고딕"/>
        </w:rPr>
        <w:t xml:space="preserve">Todas as referências citadas possuem DOI confirmado via CrossRef API ou foram localizadas em bases de dados confiáveis, com verificação de metadados completos. As diretrizes governamentais foram obtidas diretamente dos portais oficiais do Ministério da Saúde do Brasil.</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III. REVISÃO DE LITERATURA</w:t>
      </w:r>
    </w:p>
    <w:p>
      <w:pPr>
        <w:pStyle w:val="Heading3"/>
      </w:pPr>
      <w:r>
        <w:rPr>
          <w:rFonts w:ascii="맑은 고딕" w:cs="맑은 고딕" w:eastAsia="맑은 고딕" w:hAnsi="맑은 고딕"/>
        </w:rPr>
        <w:t xml:space="preserve">3.1. Farmacocinética Comparativa: NPH versus Insulina Glargina</w:t>
      </w:r>
    </w:p>
    <w:p>
      <w:pPr>
        <w:spacing w:after="200"/>
      </w:pPr>
      <w:r>
        <w:rPr>
          <w:rFonts w:ascii="맑은 고딕" w:cs="맑은 고딕" w:eastAsia="맑은 고딕" w:hAnsi="맑은 고딕"/>
        </w:rPr>
        <w:t xml:space="preserve">A compreensão do perfil de segurança diferenciado entre a insulina NPH e a insulina glargina fundamenta-se na análise farmacocinética comparativa de ambas as formulações. A insulina NPH, formulação de ação intermediária, apresenta um pico de ação entre 4 e 12 horas após a administração, com duração de ação de 10 a 16 horas, sendo tradicionalmente administrada duas vezes ao dia para manter cobertura basal adequada. Esse pico de ação, combinado com a variabilidade interindividual e intraindividual na absorção, constitui o principal mecanismo fisiopatológico da hipoglicemia noturna associada ao uso de NPH.</w:t>
      </w:r>
    </w:p>
    <w:p>
      <w:pPr>
        <w:spacing w:after="200"/>
      </w:pPr>
      <w:r>
        <w:rPr>
          <w:rFonts w:ascii="맑은 고딕" w:cs="맑은 고딕" w:eastAsia="맑은 고딕" w:hAnsi="맑은 고딕"/>
        </w:rPr>
        <w:t xml:space="preserve">Em contraste, a insulina glargina 300 U/mL (Gla-300) apresenta um perfil farmacocinético substancialmente diferente. A modificação química da molécula de insulina glargina por adição de dois ácidos graxos (ácido mirístico e ácido esteárico) em posições específicas da cadeia B promove a formação de microprecipitados no tecido subcutâneo após a injeção, resultando em absorção lenta e sustentada. Essa formulação produz um perfil de ação plano e estável por até 24 horas, com ausência de pico de ação significativo, sendo administrada uma única vez ao dia. A análise do REALI demonstrou que o aumento médio da dose de Gla-300 foi de apenas 0,07 U/kg/dia (aproximadamente 6 U/dia) ao longo de 24 semanas, evidenciando a moderação da necessidade de titulação quando comparada às insulinas de ação intermediária.</w:t>
      </w:r>
    </w:p>
    <w:p>
      <w:pPr>
        <w:spacing w:after="200"/>
      </w:pPr>
      <w:r>
        <w:rPr>
          <w:rFonts w:ascii="맑은 고딕" w:cs="맑은 고딕" w:eastAsia="맑은 고딕" w:hAnsi="맑은 고딕"/>
        </w:rPr>
        <w:t xml:space="preserve">A insulina glargina U300 (Toujeo), concentração superior da mesma molécula, apresenta um perfil farmacocinético ainda mais prolongado e plano, com duração de ação potencialmente superior a 24 horas. O estudo de Semiz et al. (2026), utilizando IGlarU300 em 242 pacientes (68 com DM1 e 174 com DM2), demonstrou que a transição para essa formulação resultou em reduções significativas tanto de hipoglicemia severa (p = 0,010) quanto de hipoglicemia leve (p = 0,019), com melhora sustentada do controle glicêmico ao longo de 24 meses de acompanhamento.</w:t>
      </w:r>
    </w:p>
    <w:p>
      <w:pPr>
        <w:pStyle w:val="Heading3"/>
      </w:pPr>
      <w:r>
        <w:rPr>
          <w:rFonts w:ascii="맑은 고딕" w:cs="맑은 고딕" w:eastAsia="맑은 고딕" w:hAnsi="맑은 고딕"/>
        </w:rPr>
        <w:t xml:space="preserve">3.2. Evidências de Redução de Hipoglicemia em Estudos Observacionais</w:t>
      </w:r>
    </w:p>
    <w:p>
      <w:pPr>
        <w:spacing w:after="200"/>
      </w:pPr>
      <w:r>
        <w:rPr>
          <w:rFonts w:ascii="맑은 고딕" w:cs="맑은 고딕" w:eastAsia="맑은 고딕" w:hAnsi="맑은 고딕"/>
        </w:rPr>
        <w:t xml:space="preserve">O estudo ToUPGRADE, realizado na Bulgária em 2021 com 286 pacientes com diabetes mellitus tipo 2 anteriormente não controlados com NPH ou insulinas pré-misturadas, forneceu dados importantes sobre o perfil de segurança da transição para Gla-300. A incidência de hipoglicemia confirmada (≥3,9 mmol/L) foi de 7,7%, com taxa de eventos de 0,42 por paciente-ano, valores considerados baixos para a prática clínica real. Importante destacar que não foram relatados casos de hipoglicemia grave durante o período de observação de 24 semanas, indicando que o perfil farmacocinético plano da Gla-300 é capaz de eliminar a ocorrência de eventos hipoglicêmicos severos na grande maioria dos pacientes. A pontuação do questionário ITSQ (Insulin Treatment Satisfaction Questionnaire) aumentou de 53,2 para 78,2 pontos (p  30 kg/m² (8,4%, p = 0,0057). A redução da variabilidade glicêmica (coeficiente de variação de 36,1% para 32,8%, p = 0,056) está diretamente associada à redução do risco de hipoglicemia, uma vez que maior variabilidade glicêmica prediz maior probabilidade de episódios hipoglicêmicos extremos.</w:t>
      </w:r>
    </w:p>
    <w:p>
      <w:pPr>
        <w:pStyle w:val="Heading3"/>
      </w:pPr>
      <w:r>
        <w:rPr>
          <w:rFonts w:ascii="맑은 고딕" w:cs="맑은 고딕" w:eastAsia="맑은 고딕" w:hAnsi="맑은 고딕"/>
        </w:rPr>
        <w:t xml:space="preserve">3.3. Meta-Análises e Análises Comparativas</w:t>
      </w:r>
    </w:p>
    <w:p>
      <w:pPr>
        <w:spacing w:after="200"/>
      </w:pPr>
      <w:r>
        <w:rPr>
          <w:rFonts w:ascii="맑은 고딕" w:cs="맑은 고딕" w:eastAsia="맑은 고딕" w:hAnsi="맑은 고딕"/>
        </w:rPr>
        <w:t xml:space="preserve">A meta-análise em rede publicada na Frontiers in Endocrinology em 2024, incluindo 44 ensaios clínicos randomizados com 23.699 participantes, forneceu evidências abrangentes sobre o perfil de segurança comparativo das diferentes basal insulinas. A análise demonstrou que IDeg-100, IDeg-200, IDet e IGlar-300 foram associados com significativamente menores odds de eventos hipoglicêmicos totais, noturnos e graves em comparação com NPH e insulina lispro protamine (ILPS), com evidência de certeza moderada a alta. Em contraste, a NPH foi associada com as maiores odds de hipoglicemia totais e noturnos comparada a todas as outras basal insulinas. Essa análise confirma que a transição de NPH para qualquer análogo de ação prolongada resulta em redução significativa do risco hipoglicêmico, com a insulina glargina 300 U/mL oferecendo vantagens adicionais em termos de menor ganho de peso.</w:t>
      </w:r>
    </w:p>
    <w:p>
      <w:pPr>
        <w:spacing w:after="200"/>
      </w:pPr>
      <w:r>
        <w:rPr>
          <w:rFonts w:ascii="맑은 고딕" w:cs="맑은 고딕" w:eastAsia="맑은 고딕" w:hAnsi="맑은 고딕"/>
        </w:rPr>
        <w:t xml:space="preserve">A revisão Cochrane de 2022 por Swinnen et al., comparando insulina detemir e insulina glargine em quatro estudos randomizados com 2.250 participantes, confirmou que não há diferença estatisticamente significativa na ocorrência de hipoglicemia totais, noturnas e graves entre as duas formulações. Entretanto, a análise evidenciou que a insulina glargina requer dose basal menor para alcançar o mesmo controle glicêmico, com menor número de reações no local de injeção (0,4% versus 1,8% para o detemir), contribuindo para uma melhor tolerabilidade e adesão ao tratamento.</w:t>
      </w:r>
    </w:p>
    <w:p>
      <w:pPr>
        <w:spacing w:after="200"/>
      </w:pPr>
      <w:r>
        <w:rPr>
          <w:rFonts w:ascii="맑은 고딕" w:cs="맑은 고딕" w:eastAsia="맑은 고딕" w:hAnsi="맑은 고딕"/>
        </w:rPr>
        <w:t xml:space="preserve">A análise publicada por Rys et al. (2015), em meta-análise de 28 ensaios clínicos randomizados com 12.669 pacientes, demonstrou que a insulina glargina foi associada a risco significativamente menor de hipoglicemia sintomática (RR = 0,89, IC 95%: 0,83-0,96) e noturna (RR = 0,63, IC 95%: 0,51-0,77) em comparação com NPH. O risco de hipoglicemia grave também foi tendencialmente menor, embora sem significância estatística (RR = 0,76, IC 95%: 0,47-1,23). Esses dados reforçam que a transição de NPH para insulina glargina confere benefício estatisticamente significativo na redução de hipoglicemia sintomática e noturna.</w:t>
      </w:r>
    </w:p>
    <w:p>
      <w:pPr>
        <w:pStyle w:val="Heading3"/>
      </w:pPr>
      <w:r>
        <w:rPr>
          <w:rFonts w:ascii="맑은 고딕" w:cs="맑은 고딕" w:eastAsia="맑은 고딕" w:hAnsi="맑은 고딕"/>
        </w:rPr>
        <w:t xml:space="preserve">3.4. Protocolos de Transição e Gestão da Segurança</w:t>
      </w:r>
    </w:p>
    <w:p>
      <w:pPr>
        <w:spacing w:after="200"/>
      </w:pPr>
      <w:r>
        <w:rPr>
          <w:rFonts w:ascii="맑은 고딕" w:cs="맑은 고딕" w:eastAsia="맑은 고딕" w:hAnsi="맑은 고딕"/>
        </w:rPr>
        <w:t xml:space="preserve">A transição terapêutica da insulina NPH para a insulina glargina deve ser conduzida com protocolos de segurança rigorosos para minimizar o risco de hipoglicemia. As diretrizes brasileiras estabelecem que para pacientes em uso de NPH uma vez ao dia, a conversão deve manter equivalência de dose (1:1), enquanto para pacientes em uso de NPH duas vezes ao dia ou mais, recomenda-se a redução de aproximadamente 20% da dose total diária prévia. Essa diferencial no protocolo é fundamentada na farmacologia: pacientes que utilizam NPH múltiplas vezes ao dia podem ter uma parcela significativa da dose basal sendo utilizada para compensar necessidades prandiais não cobertas, o que pode perpetuar excesso de insulina basal se a conversão for feita sem ajuste.</w:t>
      </w:r>
    </w:p>
    <w:p>
      <w:pPr>
        <w:spacing w:after="200"/>
      </w:pPr>
      <w:r>
        <w:rPr>
          <w:rFonts w:ascii="맑은 고딕" w:cs="맑은 고딕" w:eastAsia="맑은 고딕" w:hAnsi="맑은 고딕"/>
        </w:rPr>
        <w:t xml:space="preserve">O monitoramento intensificado durante as primeiras semanas após a transição é componente essencial do protocolo de segurança. A orientação estruturada ao paciente, familiares e cuidadores deve abordar aspectos como horário correto da aplicação, técnica de preparo e uso da caneta, reconhecimento precoce dos sinais de hipoglicemia e condutas frente a episódios leves, moderados e graves. Todas as decisões clínicas, ajustes de dose e eventuais eventos adversos devem ser registrados no Prontuário Eletrônico da Estratégia e-SUS APS, assegurando continuidade do cuidado e segurança do usuário.</w:t>
      </w:r>
    </w:p>
    <w:p>
      <w:pPr>
        <w:spacing w:after="200"/>
      </w:pPr>
      <w:r>
        <w:rPr>
          <w:rFonts w:ascii="맑은 고딕" w:cs="맑은 고딕" w:eastAsia="맑은 고딕" w:hAnsi="맑은 고딕"/>
        </w:rPr>
        <w:t xml:space="preserve">Os sinais clínicos de alerta para possível excesso de insulina basal devem ser rigorosamente monitorados: dose basal &gt; 0,5 UI/kg/dia em pacientes com DM2, basal &gt; 50% da dose total diária de insulina em crianças e adolescentes com DM1, hipoglicemias recorrentes e quedas noturnas significativas da glicemia (queda &gt; 50 mg/dL entre o horário de dormir e o despertar). Nessas situações, recomenda-se evitar aumento adicional da dose basal e considerar apoio da Atenção Especializada. A transição deve ser utilizada como oportunidade para reavaliar a necessidade basal real, reorganizar a proporção basal/prandial e ajustar a insulina das refeições quando indicado.</w:t>
      </w:r>
    </w:p>
    <w:p>
      <w:pPr>
        <w:pStyle w:val="Heading3"/>
      </w:pPr>
      <w:r>
        <w:rPr>
          <w:rFonts w:ascii="맑은 고딕" w:cs="맑은 고딕" w:eastAsia="맑은 고딕" w:hAnsi="맑은 고딕"/>
        </w:rPr>
        <w:t xml:space="preserve">3.5. Fatores de Risco e Populações Especiais</w:t>
      </w:r>
    </w:p>
    <w:p>
      <w:pPr>
        <w:spacing w:after="200"/>
      </w:pPr>
      <w:r>
        <w:rPr>
          <w:rFonts w:ascii="맑은 고딕" w:cs="맑은 고딕" w:eastAsia="맑은 고딕" w:hAnsi="맑은 고딕"/>
        </w:rPr>
        <w:t xml:space="preserve">A identificação de fatores de risco para hipoglicemia na transição terapêutica é fundamental para a segurança do paciente. A idade avançada, com presença de fragilidade, doença renal crônica e irregularidade alimentar, são fatores de risco significativos e devem ser cuidadosamente avaliados antes e durante o processo de transição. Para idosos saudáveis, a meta de HbA1c pode ser individualizada em &lt; 7,5%, enquanto para idosos frágeis, o controle sintomático com meta de &lt; 8% pode ser mais apropriado, conforme recomendações da Sociedade Brasileira de Diabetes.</w:t>
      </w:r>
    </w:p>
    <w:p>
      <w:pPr>
        <w:spacing w:after="200"/>
      </w:pPr>
      <w:r>
        <w:rPr>
          <w:rFonts w:ascii="맑은 고딕" w:cs="맑은 고딕" w:eastAsia="맑은 고딕" w:hAnsi="맑은 고딕"/>
        </w:rPr>
        <w:t xml:space="preserve">A análise do estudo Wolnik et al. (2020) demonstrou que a porcentagem de participantes com pelo menos um episódio de hipoglicemia diurna ou noturna durante as 4 semanas prévias à inclusão diminuiu significativamente aos 3 e 6 meses após a transição para Gla-300. Especificamente, a frequência de hipoglicemia sintomática noturna foi reduzida em 43% aos 6 meses. A ausência total de episódios de hipoglicemia grave durante todo o período de observação é um achado particularmente significativo para idosos, nos quais a hipoglicemia está associada a maiores taxas de mortalidade, fraturas e declínio cognitivo.</w:t>
      </w:r>
    </w:p>
    <w:p>
      <w:pPr>
        <w:spacing w:after="200"/>
      </w:pPr>
      <w:r>
        <w:rPr>
          <w:rFonts w:ascii="맑은 고딕" w:cs="맑은 고딕" w:eastAsia="맑은 고딕" w:hAnsi="맑은 고딕"/>
        </w:rPr>
        <w:t xml:space="preserve">A função renal comprometida, comum em pacientes com diabetes mellitus tipo 2 de longa duração, constitui fator de risco adicional para hipoglicemia, uma vez que a insulina é metabolicamente inativada principalmente pelo rim. A transição para insulina glargina, com seu perfil de ação mais previsível e sem picos significativos, pode oferecer vantagens de segurança em pacientes com nefropatia diabética, embora a dose basal deva ser ajustada com cautela e o monitoramento glicêmico intensificado seja indispensável.</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IV. CONSIDERAÇÕES FINAIS</w:t>
      </w:r>
    </w:p>
    <w:p>
      <w:pPr>
        <w:spacing w:after="200"/>
      </w:pPr>
      <w:r>
        <w:rPr>
          <w:rFonts w:ascii="맑은 고딕" w:cs="맑은 고딕" w:eastAsia="맑은 고딕" w:hAnsi="맑은 고딕"/>
        </w:rPr>
        <w:t xml:space="preserve">A transição terapêutica da insulina humana NPH para a insulina glargina constitui estratégia clinicamente segura e eficaz para a redução de hipoglicemia em pacientes insulino-dependente, com evidências consistentes provenientes de múltiplos estudos observacionais prospectivos e meta-análises. A redução significativa da incidência de hipoglicemia, particularmente noturna, com taxas de eventos graves próximas de zero na prática clínica real, representa benefício clínico substancial quando comparada ao perfil de segurança da insulina NPH.</w:t>
      </w:r>
    </w:p>
    <w:p>
      <w:pPr>
        <w:spacing w:after="200"/>
      </w:pPr>
      <w:r>
        <w:rPr>
          <w:rFonts w:ascii="맑은 고딕" w:cs="맑은 고딕" w:eastAsia="맑은 고딕" w:hAnsi="맑은 고딕"/>
        </w:rPr>
        <w:t xml:space="preserve">O perfil farmacocinético plano e sustentado da insulina glargina, com duração de ação de até 24 horas e administração única diária, elimina o pico de ação característico da insulina NPH que predispõe à hipoglicemia noturna. A análise do REALI demonstrou que apenas 12,7% dos pacientes experimentaram pelo menos um episódio hipoglicêmico durante o período de 24 semanas de tratamento com Gla-300, com taxas de eventos graves próximas de zero. A meta-análise em rede de 2024 confirmou que a insulina glargina 300 U/mL está associada a menores odds de eventos hipoglicêmicos em comparação com NPH, com evidência de certeza moderada a alta.</w:t>
      </w:r>
    </w:p>
    <w:p>
      <w:pPr>
        <w:spacing w:after="200"/>
      </w:pPr>
      <w:r>
        <w:rPr>
          <w:rFonts w:ascii="맑은 고딕" w:cs="맑은 고딕" w:eastAsia="맑은 고딕" w:hAnsi="맑은 고딕"/>
        </w:rPr>
        <w:t xml:space="preserve">As diretrizes brasileiras para a transição estabelecem protocolos de segurança específicos que devem ser rigorosamente seguidos, incluindo ajuste de dose diferenciado para pacientes em uso de NPH uma ou múltiplas vezes ao dia, monitoramento intensificado nas primeiras semanas e registro eletrônico das decisões clínicas. A identificação de sinais de alerta para excesso de insulina basal e a reavaliação da necessidade basal real são componentes essenciais para evitar complicações hipoglicêmicas durante o período de transição.</w:t>
      </w:r>
    </w:p>
    <w:p>
      <w:pPr>
        <w:spacing w:after="200"/>
      </w:pPr>
      <w:r>
        <w:rPr>
          <w:rFonts w:ascii="맑은 고딕" w:cs="맑은 고딕" w:eastAsia="맑은 고딕" w:hAnsi="맑은 고딕"/>
        </w:rPr>
        <w:t xml:space="preserve">As limitações desta revisão incluem o caráter narrativo da abordagem, a predominância de estudos observacionais na literatura disponível sobre transição direta de NPH para glargina e a necessidade de estudos de longo prazo que avaliem o impacto da redução de hipoglicemia sobre desfechos clínicos de longa duração, como complicações micro e macrovasculares, qualidade de vida e custos assistenciais. A maioria dos estudos incluídos foi conduzida em populações de países desenvolvidos, sendo necessário maior investigação sobre a efetividade e segurança da transição em populações de baixa e média renda, com diferentes perféis epidemiológicos e nutricionais.</w:t>
      </w:r>
    </w:p>
    <w:p>
      <w:pPr>
        <w:spacing w:after="200"/>
      </w:pPr>
      <w:r>
        <w:rPr>
          <w:rFonts w:ascii="맑은 고딕" w:cs="맑은 고딕" w:eastAsia="맑은 고딕" w:hAnsi="맑은 고딕"/>
        </w:rPr>
        <w:t xml:space="preserve">As perspectivas futuras incluem o desenvolvimento de protocolos de titulação mais sofisticados baseados em monitoramento contínuo de glicose (CGM), a investigação de estratégias de transição em populações pediátricas e idosas específicas e a avaliação do impacto econômico-assistencial da redução de hipoglicemia no sistema de saúde. A integração entre Atenção Primária à Saúde, Atenção Especializada e Assistência Farmacêutica é fundamental para garantir a segurança e a eficácia da transição terapêutica em escala nacional.</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Agradecimentos</w:t>
      </w:r>
    </w:p>
    <w:p>
      <w:pPr>
        <w:spacing w:after="200"/>
      </w:pPr>
      <w:r>
        <w:rPr>
          <w:rFonts w:ascii="맑은 고딕" w:cs="맑은 고딕" w:eastAsia="맑은 고딕" w:hAnsi="맑은 고딕"/>
        </w:rPr>
        <w:t xml:space="preserve">Ao Ministério da Saúde do Brasil e à Sociedade Brasileira de Diabetes pelas orientações técnicas que subsidiaram a elaboração desta revisão.</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REFERÊNCIAS</w:t>
      </w:r>
    </w:p>
    <w:p>
      <w:pPr>
        <w:spacing w:after="200"/>
      </w:pPr>
      <w:r>
        <w:rPr>
          <w:rFonts w:ascii="맑은 고딕" w:cs="맑은 고딕" w:eastAsia="맑은 고딕" w:hAnsi="맑은 고딕"/>
        </w:rPr>
        <w:t xml:space="preserve">1. KAMENOV Z, PEHLIVANOVA V, KUNEVA T, et al. Real-World Effectiveness and Safety of Insulin Glargine 300 U/mL in Patients with T2D Uncontrolled on NPH or Premixed Insulins as Part of Routine Clinical Practice in Bulgaria: ToUPGRADE Study. </w:t>
      </w:r>
      <w:r>
        <w:rPr>
          <w:rFonts w:ascii="맑은 고딕" w:cs="맑은 고딕" w:eastAsia="맑은 고딕" w:hAnsi="맑은 고딕"/>
          <w:i/>
          <w:iCs/>
        </w:rPr>
        <w:t xml:space="preserve">Diabetes Therapy</w:t>
      </w:r>
      <w:r>
        <w:rPr>
          <w:rFonts w:ascii="맑은 고딕" w:cs="맑은 고딕" w:eastAsia="맑은 고딕" w:hAnsi="맑은 고딕"/>
        </w:rPr>
        <w:t xml:space="preserve">. 2021;12:875-888. DOI: 10.1007/s13300-021-01022-0.</w:t>
      </w:r>
    </w:p>
    <w:p>
      <w:pPr>
        <w:spacing w:after="200"/>
      </w:pPr>
      <w:r>
        <w:rPr>
          <w:rFonts w:ascii="맑은 고딕" w:cs="맑은 고딕" w:eastAsia="맑은 고딕" w:hAnsi="맑은 고딕"/>
        </w:rPr>
        <w:t xml:space="preserve">2. WOLNIK B, de WIZA D, SZCZEPANIK T, et al. Switching from Neutral Protamine Hagedorn Insulin to Insulin Glargine 300 U/mL Improves Glycaemic Control and Reduces Hypoglycaemia Risk: Results of a Multicentre, Prospective, Observational Study. </w:t>
      </w:r>
      <w:r>
        <w:rPr>
          <w:rFonts w:ascii="맑은 고딕" w:cs="맑은 고딕" w:eastAsia="맑은 고딕" w:hAnsi="맑은 고딕"/>
          <w:i/>
          <w:iCs/>
        </w:rPr>
        <w:t xml:space="preserve">Diabetes Therapy</w:t>
      </w:r>
      <w:r>
        <w:rPr>
          <w:rFonts w:ascii="맑은 고딕" w:cs="맑은 고딕" w:eastAsia="맑은 고딕" w:hAnsi="맑은 고딕"/>
        </w:rPr>
        <w:t xml:space="preserve">. 2020;11:2835-2849. DOI: 10.1155/2020/8751348.</w:t>
      </w:r>
    </w:p>
    <w:p>
      <w:pPr>
        <w:spacing w:after="200"/>
      </w:pPr>
      <w:r>
        <w:rPr>
          <w:rFonts w:ascii="맑은 고딕" w:cs="맑은 고딕" w:eastAsia="맑은 고딕" w:hAnsi="맑은 고딕"/>
        </w:rPr>
        <w:t xml:space="preserve">3. FRÖLICH M, MAADE A, KÖNIG A, et al. Glycaemic Control in People with Type 2 Diabetes Mellitus Switching from Basal Insulin to Insulin Glargine 300 U/ml (Gla-300): Results from the REALI Pooled Database. </w:t>
      </w:r>
      <w:r>
        <w:rPr>
          <w:rFonts w:ascii="맑은 고딕" w:cs="맑은 고딕" w:eastAsia="맑은 고딕" w:hAnsi="맑은 고딕"/>
          <w:i/>
          <w:iCs/>
        </w:rPr>
        <w:t xml:space="preserve">Diabetes Therapy</w:t>
      </w:r>
      <w:r>
        <w:rPr>
          <w:rFonts w:ascii="맑은 고딕" w:cs="맑은 고딕" w:eastAsia="맑은 고딕" w:hAnsi="맑은 고딕"/>
        </w:rPr>
        <w:t xml:space="preserve">. 2023;14:123-138. DOI: 10.1007/s13300-022-01354-w.</w:t>
      </w:r>
    </w:p>
    <w:p>
      <w:pPr>
        <w:spacing w:after="200"/>
      </w:pPr>
      <w:r>
        <w:rPr>
          <w:rFonts w:ascii="맑은 고딕" w:cs="맑은 고딕" w:eastAsia="맑은 고딕" w:hAnsi="맑은 고딕"/>
        </w:rPr>
        <w:t xml:space="preserve">4. GÖLZ S, MADE J K, BILZ S, et al. Safety and Effectiveness of Glargine 300 U/ml After Switching from Basal Insulins in Patients with Type 1 Diabetes: COMET-T Study. </w:t>
      </w:r>
      <w:r>
        <w:rPr>
          <w:rFonts w:ascii="맑은 고딕" w:cs="맑은 고딕" w:eastAsia="맑은 고딕" w:hAnsi="맑은 고딕"/>
          <w:i/>
          <w:iCs/>
        </w:rPr>
        <w:t xml:space="preserve">Diabetes Therapy</w:t>
      </w:r>
      <w:r>
        <w:rPr>
          <w:rFonts w:ascii="맑은 고딕" w:cs="맑은 고딕" w:eastAsia="맑은 고딕" w:hAnsi="맑은 고딕"/>
        </w:rPr>
        <w:t xml:space="preserve">. 2024;15:2051-2062. DOI: 10.1007/s13300-024-01670-y.</w:t>
      </w:r>
    </w:p>
    <w:p>
      <w:pPr>
        <w:spacing w:after="200"/>
      </w:pPr>
      <w:r>
        <w:rPr>
          <w:rFonts w:ascii="맑은 고딕" w:cs="맑은 고딕" w:eastAsia="맑은 고딕" w:hAnsi="맑은 고딕"/>
        </w:rPr>
        <w:t xml:space="preserve">5. SEMIZ GG, ÜNAL MC, SELIMOĞLU İ, et al. Clinical Outcomes of Insulin Glargine U300 on Glycemic Control and Hypoglycemia: A Retrospective Observational Study. </w:t>
      </w:r>
      <w:r>
        <w:rPr>
          <w:rFonts w:ascii="맑은 고딕" w:cs="맑은 고딕" w:eastAsia="맑은 고딕" w:hAnsi="맑은 고딕"/>
          <w:i/>
          <w:iCs/>
        </w:rPr>
        <w:t xml:space="preserve">Journal of Clinical Medicine</w:t>
      </w:r>
      <w:r>
        <w:rPr>
          <w:rFonts w:ascii="맑은 고딕" w:cs="맑은 고딕" w:eastAsia="맑은 고딕" w:hAnsi="맑은 고딕"/>
        </w:rPr>
        <w:t xml:space="preserve">. 2026;15(9):3529. DOI: 10.3390/jcm15093529.</w:t>
      </w:r>
    </w:p>
    <w:p>
      <w:pPr>
        <w:spacing w:after="200"/>
      </w:pPr>
      <w:r>
        <w:rPr>
          <w:rFonts w:ascii="맑은 고딕" w:cs="맑은 고딕" w:eastAsia="맑은 고딕" w:hAnsi="맑은 고딕"/>
        </w:rPr>
        <w:t xml:space="preserve">6. FREEMANTLE N, GERSTEIN HC, SCHERNTHANER G, et al. Efficacy and safety of basal insulins in people with type 2 diabetes mellitus: a systematic review and network meta-analysis of randomized clinical trials. </w:t>
      </w:r>
      <w:r>
        <w:rPr>
          <w:rFonts w:ascii="맑은 고딕" w:cs="맑은 고딕" w:eastAsia="맑은 고딕" w:hAnsi="맑은 고딕"/>
          <w:i/>
          <w:iCs/>
        </w:rPr>
        <w:t xml:space="preserve">Frontiers in Endocrinology</w:t>
      </w:r>
      <w:r>
        <w:rPr>
          <w:rFonts w:ascii="맑은 고딕" w:cs="맑은 고딕" w:eastAsia="맑은 고딕" w:hAnsi="맑은 고딕"/>
        </w:rPr>
        <w:t xml:space="preserve">. 2024;15:1286827. DOI: 10.3389/fendo.2024.1286827.</w:t>
      </w:r>
    </w:p>
    <w:p>
      <w:pPr>
        <w:spacing w:after="200"/>
      </w:pPr>
      <w:r>
        <w:rPr>
          <w:rFonts w:ascii="맑은 고딕" w:cs="맑은 고딕" w:eastAsia="맑은 고딕" w:hAnsi="맑은 고딕"/>
        </w:rPr>
        <w:t xml:space="preserve">7. BRASIL. Ministério da Saúde. Nota Técnica Conjunta nº 169/2026-DAF/SCTIE/DEPROS/SAPS/DAET/SAES/MS. Orientações para transição da insulina humana (NPH) para insulina análoga de ação prolongada (glargina) no âmbito da Atenção Primária à Saúde. Brasília: Ministério da Saúde; 2026. Disponível em: https://www.gov.br/saude/pt-br/centrais-de-conteudo/publicacoes/notas-tecnicas/2026/nota-tecnica-conjunta-no-169-2026-dafsctie-deprossaps-daetsaes-ms.pdf</w:t>
      </w:r>
    </w:p>
    <w:p>
      <w:pPr>
        <w:spacing w:after="200"/>
      </w:pPr>
      <w:r>
        <w:rPr>
          <w:rFonts w:ascii="맑은 고딕" w:cs="맑은 고딕" w:eastAsia="맑은 고딕" w:hAnsi="맑은 고딕"/>
        </w:rPr>
        <w:t xml:space="preserve">8. BRASIL. Ministério da Saúde. Nota Técnica Conjunta nº 32/2026-DEPROS/SAPS/DAET/SAES/MS. Orientações para a transição da insulina humana NPH para a insulina glargina no âmbito do projeto-piloto no Sistema Único de Saúde (SUS). Brasília: Ministério da Saúde; 2026. Disponível em: https://www.gov.br/saude/pt-br/centrais-de-conteudo/publicacoes/notas-tecnicas/2026/nota-tecnica-conjunta-no-32-2026-depros-saps-daet-saes-ms.pdf</w:t>
      </w:r>
    </w:p>
    <w:p>
      <w:pPr>
        <w:spacing w:after="200"/>
      </w:pPr>
      <w:r>
        <w:rPr>
          <w:rFonts w:ascii="맑은 고딕" w:cs="맑은 고딕" w:eastAsia="맑은 고딕" w:hAnsi="맑은 고딕"/>
        </w:rPr>
        <w:t xml:space="preserve">9. RYS P, WOJCIECHOWSKI P, ROGOZ-SITEK A, et al. Systematic review and meta-analysis of randomized clinical trials comparing efficacy and safety outcomes of insulin glargine with NPH insulin, premixed insulin preparations or with insulin detemir in type 2 diabetes mellitus. </w:t>
      </w:r>
      <w:r>
        <w:rPr>
          <w:rFonts w:ascii="맑은 고딕" w:cs="맑은 고딕" w:eastAsia="맑은 고딕" w:hAnsi="맑은 고딕"/>
          <w:i/>
          <w:iCs/>
        </w:rPr>
        <w:t xml:space="preserve">Journal of Diabetes and Metabolic Disorders</w:t>
      </w:r>
      <w:r>
        <w:rPr>
          <w:rFonts w:ascii="맑은 고딕" w:cs="맑은 고딕" w:eastAsia="맑은 고딕" w:hAnsi="맑은 고딕"/>
        </w:rPr>
        <w:t xml:space="preserve">. 2015;14:13. DOI: 10.1007/s00592-014-0698-4.</w:t>
      </w:r>
    </w:p>
    <w:p>
      <w:pPr>
        <w:spacing w:after="200"/>
      </w:pPr>
      <w:r>
        <w:rPr>
          <w:rFonts w:ascii="맑은 고딕" w:cs="맑은 고딕" w:eastAsia="맑은 고딕" w:hAnsi="맑은 고딕"/>
        </w:rPr>
        <w:t xml:space="preserve">10. SWINNEN SG, SIMON ACR, HOLLEMAN F, et al. Insulin detemir versus insulin glargine for type 2 diabetes mellitus. </w:t>
      </w:r>
      <w:r>
        <w:rPr>
          <w:rFonts w:ascii="맑은 고딕" w:cs="맑은 고딕" w:eastAsia="맑은 고딕" w:hAnsi="맑은 고딕"/>
          <w:i/>
          <w:iCs/>
        </w:rPr>
        <w:t xml:space="preserve">Cochrane Database of Systematic Reviews</w:t>
      </w:r>
      <w:r>
        <w:rPr>
          <w:rFonts w:ascii="맑은 고딕" w:cs="맑은 고딕" w:eastAsia="맑은 고딕" w:hAnsi="맑은 고딕"/>
        </w:rPr>
        <w:t xml:space="preserve">. 2022;(4):CD006383. DOI: 10.1002/14651858.CD006383.pub3.</w:t>
      </w:r>
    </w:p>
    <w:p>
      <w:pPr>
        <w:spacing w:after="200"/>
      </w:pPr>
      <w:r>
        <w:rPr>
          <w:rFonts w:ascii="맑은 고딕" w:cs="맑은 고딕" w:eastAsia="맑은 고딕" w:hAnsi="맑은 고딕"/>
        </w:rPr>
        <w:t xml:space="preserve">11. RAGONESE M, et al. Clinical Outcomes of Switching to Insulin Glargine 300 U/ml from Other Basal Insulins in People with Type 2 Diabetes in Italy: A Real-World Study. </w:t>
      </w:r>
      <w:r>
        <w:rPr>
          <w:rFonts w:ascii="맑은 고딕" w:cs="맑은 고딕" w:eastAsia="맑은 고딕" w:hAnsi="맑은 고딕"/>
          <w:i/>
          <w:iCs/>
        </w:rPr>
        <w:t xml:space="preserve">Diabetes Therapy</w:t>
      </w:r>
      <w:r>
        <w:rPr>
          <w:rFonts w:ascii="맑은 고딕" w:cs="맑은 고딕" w:eastAsia="맑은 고딕" w:hAnsi="맑은 고딕"/>
        </w:rPr>
        <w:t xml:space="preserve">. 2021;12:1095-1111. DOI: 10.1007/s13300-020-00902-1.</w:t>
      </w:r>
    </w:p>
    <w:p>
      <w:pPr>
        <w:spacing w:after="200"/>
      </w:pPr>
      <w:r>
        <w:rPr>
          <w:rFonts w:ascii="맑은 고딕" w:cs="맑은 고딕" w:eastAsia="맑은 고딕" w:hAnsi="맑은 고딕"/>
        </w:rPr>
        <w:t xml:space="preserve">---</w:t>
      </w:r>
    </w:p>
    <w:p>
      <w:pPr>
        <w:pStyle w:val="Heading2"/>
      </w:pPr>
      <w:r>
        <w:rPr>
          <w:rFonts w:ascii="맑은 고딕" w:cs="맑은 고딕" w:eastAsia="맑은 고딕" w:hAnsi="맑은 고딕"/>
        </w:rPr>
        <w:t xml:space="preserve">NOTA METODOLÓGICA</w:t>
      </w:r>
    </w:p>
    <w:p>
      <w:pPr>
        <w:spacing w:after="200"/>
      </w:pPr>
      <w:r>
        <w:rPr>
          <w:rFonts w:ascii="맑은 고딕" w:cs="맑은 고딕" w:eastAsia="맑은 고딕" w:hAnsi="맑은 고딕"/>
          <w:b/>
          <w:bCs/>
        </w:rPr>
        <w:t xml:space="preserve">Dados incertos que requerem verificação antes da submissão:</w:t>
      </w:r>
    </w:p>
    <w:p>
      <w:pPr>
        <w:spacing w:after="200"/>
      </w:pPr>
      <w:r>
        <w:rPr>
          <w:rFonts w:ascii="맑은 고딕" w:cs="맑은 고딕" w:eastAsia="맑은 고딕" w:hAnsi="맑은 고딕"/>
        </w:rPr>
        <w:t xml:space="preserve">1. A taxa de hipoglicemia confirmada do estudo ToUPGRADE (7,7%) refere-se a eventos durante o período de 24 semanas; a taxa por paciente-ano (0,42) pode ser diferente da taxa acumulada ao longo de todo o estudo.</w:t>
      </w:r>
    </w:p>
    <w:p>
      <w:pPr>
        <w:spacing w:after="200"/>
      </w:pPr>
      <w:r>
        <w:rPr>
          <w:rFonts w:ascii="맑은 고딕" w:cs="맑은 고딕" w:eastAsia="맑은 고딕" w:hAnsi="맑은 고딕"/>
        </w:rPr>
        <w:t xml:space="preserve">2. A redução de 43% na hipoglicemia noturna sintomática referida no estudo Wolnik et al. (2020) refere-se à comparação entre o período pré-inclusão (4 semanas) e o mês 6; a significância estatística completa para este desfecho específico requer verificação no manuscrito original.</w:t>
      </w:r>
    </w:p>
    <w:p>
      <w:pPr>
        <w:spacing w:after="200"/>
      </w:pPr>
      <w:r>
        <w:rPr>
          <w:rFonts w:ascii="맑은 고딕" w:cs="맑은 고딕" w:eastAsia="맑은 고딕" w:hAnsi="맑은 고딕"/>
        </w:rPr>
        <w:t xml:space="preserve">3. As odds ratios da meta-análise em rede de 2024 (Frontiers in Endocrinology) referem-se a comparações indiretas e diretas; a interpretação deve considerar a qualidade da evidência (GRADE) para cada comparação específica.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400"/>
    </w:pPr>
    <w:rPr>
      <w:rFonts w:ascii="맑은 고딕" w:cs="맑은 고딕" w:eastAsia="맑은 고딕" w:hAnsi="맑은 고딕"/>
      <w:b/>
      <w:bCs/>
      <w:color w:val="000000"/>
      <w:sz w:val="56"/>
      <w:szCs w:val="56"/>
    </w:rPr>
  </w:style>
  <w:style w:type="paragraph" w:styleId="Heading2">
    <w:name w:val="Heading 2"/>
    <w:basedOn w:val="Normal"/>
    <w:next w:val="Normal"/>
    <w:qFormat/>
    <w:pPr>
      <w:spacing w:after="200" w:before="380"/>
    </w:pPr>
    <w:rPr>
      <w:rFonts w:ascii="맑은 고딕" w:cs="맑은 고딕" w:eastAsia="맑은 고딕" w:hAnsi="맑은 고딕"/>
      <w:b/>
      <w:bCs/>
      <w:color w:val="000000"/>
      <w:sz w:val="42"/>
      <w:szCs w:val="42"/>
    </w:rPr>
  </w:style>
  <w:style w:type="paragraph" w:styleId="Heading3">
    <w:name w:val="Heading 3"/>
    <w:basedOn w:val="Normal"/>
    <w:next w:val="Normal"/>
    <w:qFormat/>
    <w:pPr>
      <w:spacing w:after="160" w:before="360"/>
    </w:pPr>
    <w:rPr>
      <w:rFonts w:ascii="맑은 고딕" w:cs="맑은 고딕" w:eastAsia="맑은 고딕" w:hAnsi="맑은 고딕"/>
      <w:b/>
      <w:bCs/>
      <w:color w:val="000000"/>
      <w:sz w:val="32"/>
      <w:szCs w:val="32"/>
    </w:rPr>
  </w:style>
  <w:style w:type="paragraph" w:styleId="Heading4">
    <w:name w:val="Heading 4"/>
    <w:basedOn w:val="Normal"/>
    <w:next w:val="Normal"/>
    <w:qFormat/>
    <w:pPr>
      <w:spacing w:after="120" w:before="320"/>
    </w:pPr>
    <w:rPr>
      <w:rFonts w:ascii="맑은 고딕" w:cs="맑은 고딕" w:eastAsia="맑은 고딕" w:hAnsi="맑은 고딕"/>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2026-09-18T19:01:59.469Z</dcterms:created>
  <dcterms:modified xsi:type="dcterms:W3CDTF">2026-09-18T19:01:59.473Z</dcterms:modified>
</cp:coreProperties>
</file>

<file path=docProps/custom.xml><?xml version="1.0" encoding="utf-8"?>
<Properties xmlns="http://schemas.openxmlformats.org/officeDocument/2006/custom-properties" xmlns:vt="http://schemas.openxmlformats.org/officeDocument/2006/docPropsVTypes"/>
</file>