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bilaga-till-styrelseprotokoll"/>
    <w:p>
      <w:pPr>
        <w:pStyle w:val="Heading1"/>
      </w:pPr>
      <w:r>
        <w:t xml:space="preserve">Bilaga till Styrelseprotokoll</w:t>
      </w:r>
    </w:p>
    <w:bookmarkStart w:id="10" w:name="effira-ab"/>
    <w:p>
      <w:pPr>
        <w:pStyle w:val="Heading2"/>
      </w:pPr>
      <w:r>
        <w:t xml:space="preserve">Effira AB</w:t>
      </w:r>
    </w:p>
    <w:bookmarkStart w:id="9" w:name="section"/>
    <w:p>
      <w:pPr>
        <w:pStyle w:val="Heading3"/>
      </w:pPr>
      <w:r>
        <w:t xml:space="preserve">2026-08-27</w:t>
      </w:r>
    </w:p>
    <w:p>
      <w:r>
        <w:pict>
          <v:rect style="width:0;height:1.5pt" o:hralign="center" o:hrstd="t" o:hr="t"/>
        </w:pict>
      </w:r>
    </w:p>
    <w:bookmarkEnd w:id="9"/>
    <w:bookmarkEnd w:id="10"/>
    <w:bookmarkEnd w:id="11"/>
    <w:bookmarkStart w:id="26" w:name="effira-prisstrategi"/>
    <w:p>
      <w:pPr>
        <w:pStyle w:val="Heading1"/>
      </w:pPr>
      <w:r>
        <w:t xml:space="preserve">Effira Prisstrategi</w:t>
      </w:r>
    </w:p>
    <w:bookmarkStart w:id="12" w:name="förslag-i-korthet"/>
    <w:p>
      <w:pPr>
        <w:pStyle w:val="Heading2"/>
      </w:pPr>
      <w:r>
        <w:t xml:space="preserve">Förslag i korthet</w:t>
      </w:r>
    </w:p>
    <w:p>
      <w:pPr>
        <w:pStyle w:val="FirstParagraph"/>
      </w:pPr>
      <w:r>
        <w:t xml:space="preserve">Effiras intäkter ska komma från:</w:t>
      </w:r>
    </w:p>
    <w:p>
      <w:pPr>
        <w:pStyle w:val="Compact"/>
        <w:numPr>
          <w:ilvl w:val="0"/>
          <w:numId w:val="1001"/>
        </w:numPr>
      </w:pPr>
      <w:r>
        <w:t xml:space="preserve">konsumentabonnemang</w:t>
      </w:r>
    </w:p>
    <w:p>
      <w:pPr>
        <w:pStyle w:val="Compact"/>
        <w:numPr>
          <w:ilvl w:val="0"/>
          <w:numId w:val="1001"/>
        </w:numPr>
      </w:pPr>
      <w:r>
        <w:t xml:space="preserve">långsiktiga kundrelationer genom återförsäljare</w:t>
      </w:r>
    </w:p>
    <w:p>
      <w:pPr>
        <w:pStyle w:val="Compact"/>
        <w:numPr>
          <w:ilvl w:val="0"/>
          <w:numId w:val="1001"/>
        </w:numPr>
      </w:pPr>
      <w:r>
        <w:t xml:space="preserve">balanstjänster/VPP genom energibolag.</w:t>
      </w:r>
    </w:p>
    <w:p>
      <w:r>
        <w:pict>
          <v:rect style="width:0;height:1.5pt" o:hralign="center" o:hrstd="t" o:hr="t"/>
        </w:pict>
      </w:r>
    </w:p>
    <w:bookmarkEnd w:id="12"/>
    <w:bookmarkStart w:id="13" w:name="hårdvara"/>
    <w:p>
      <w:pPr>
        <w:pStyle w:val="Heading2"/>
      </w:pPr>
      <w:r>
        <w:t xml:space="preserve">1. Hårdvara</w:t>
      </w:r>
    </w:p>
    <w:p>
      <w:pPr>
        <w:pStyle w:val="FirstParagraph"/>
      </w:pPr>
      <w:r>
        <w:rPr>
          <w:b/>
          <w:bCs/>
        </w:rPr>
        <w:t xml:space="preserve">Rekommendation: olika pris beroende på vem som installerar.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Kanal</w:t>
            </w:r>
          </w:p>
        </w:tc>
        <w:tc>
          <w:tcPr/>
          <w:p>
            <w:pPr>
              <w:pStyle w:val="Compact"/>
              <w:jc w:val="right"/>
            </w:pPr>
            <w:r>
              <w:t xml:space="preserve">Pris</w:t>
            </w:r>
          </w:p>
        </w:tc>
      </w:tr>
      <w:tr>
        <w:tc>
          <w:tcPr/>
          <w:p>
            <w:pPr>
              <w:pStyle w:val="Compact"/>
            </w:pPr>
            <w:r>
              <w:t xml:space="preserve">Direkt till konsument</w:t>
            </w:r>
          </w:p>
        </w:tc>
        <w:tc>
          <w:tcPr/>
          <w:p>
            <w:pPr>
              <w:pStyle w:val="Compact"/>
              <w:jc w:val="right"/>
            </w:pPr>
            <w:r>
              <w:t xml:space="preserve">3 500 kr inkl. moms</w:t>
            </w:r>
          </w:p>
        </w:tc>
      </w:tr>
      <w:tr>
        <w:tc>
          <w:tcPr/>
          <w:p>
            <w:pPr>
              <w:pStyle w:val="Compact"/>
            </w:pPr>
            <w:r>
              <w:t xml:space="preserve">Direktförsäljning, kampanj</w:t>
            </w:r>
          </w:p>
        </w:tc>
        <w:tc>
          <w:tcPr/>
          <w:p>
            <w:pPr>
              <w:pStyle w:val="Compact"/>
              <w:jc w:val="right"/>
            </w:pPr>
            <w:r>
              <w:t xml:space="preserve">2 750 kr inkl. moms</w:t>
            </w:r>
          </w:p>
        </w:tc>
      </w:tr>
      <w:tr>
        <w:tc>
          <w:tcPr/>
          <w:p>
            <w:pPr>
              <w:pStyle w:val="Compact"/>
            </w:pPr>
            <w:r>
              <w:t xml:space="preserve">Återförsäljare</w:t>
            </w:r>
          </w:p>
        </w:tc>
        <w:tc>
          <w:tcPr/>
          <w:p>
            <w:pPr>
              <w:pStyle w:val="Compact"/>
              <w:jc w:val="right"/>
            </w:pPr>
            <w:r>
              <w:t xml:space="preserve">2 000 kr exkl. moms</w:t>
            </w:r>
          </w:p>
        </w:tc>
      </w:tr>
      <w:tr>
        <w:tc>
          <w:tcPr/>
          <w:p>
            <w:pPr>
              <w:pStyle w:val="Compact"/>
            </w:pPr>
            <w:r>
              <w:t xml:space="preserve">Energibolag</w:t>
            </w:r>
          </w:p>
        </w:tc>
        <w:tc>
          <w:tcPr/>
          <w:p>
            <w:pPr>
              <w:pStyle w:val="Compact"/>
              <w:jc w:val="right"/>
            </w:pPr>
            <w:r>
              <w:t xml:space="preserve">2 000 kr exkl. moms</w:t>
            </w:r>
          </w:p>
        </w:tc>
      </w:tr>
    </w:tbl>
    <w:p>
      <w:pPr>
        <w:pStyle w:val="BodyText"/>
      </w:pPr>
      <w:r>
        <w:t xml:space="preserve">Kostnaden är cirka</w:t>
      </w:r>
      <w:r>
        <w:t xml:space="preserve"> </w:t>
      </w:r>
      <w:r>
        <w:rPr>
          <w:b/>
          <w:bCs/>
        </w:rPr>
        <w:t xml:space="preserve">1 900 kr för hårdvara</w:t>
      </w:r>
      <w:r>
        <w:t xml:space="preserve"> </w:t>
      </w:r>
      <w:r>
        <w:t xml:space="preserve">och</w:t>
      </w:r>
      <w:r>
        <w:t xml:space="preserve"> </w:t>
      </w:r>
      <w:r>
        <w:rPr>
          <w:b/>
          <w:bCs/>
        </w:rPr>
        <w:t xml:space="preserve">1 000 kr för installation</w:t>
      </w:r>
      <w:r>
        <w:t xml:space="preserve">.</w:t>
      </w:r>
    </w:p>
    <w:p>
      <w:pPr>
        <w:pStyle w:val="Compact"/>
        <w:numPr>
          <w:ilvl w:val="0"/>
          <w:numId w:val="1002"/>
        </w:numPr>
      </w:pPr>
      <w:r>
        <w:t xml:space="preserve">Vid direktförsäljning ansvarar Effira för installationen.</w:t>
      </w:r>
    </w:p>
    <w:p>
      <w:pPr>
        <w:pStyle w:val="Compact"/>
        <w:numPr>
          <w:ilvl w:val="0"/>
          <w:numId w:val="1002"/>
        </w:numPr>
      </w:pPr>
      <w:r>
        <w:t xml:space="preserve">Vid försäljning till återförsäljare eller energibolag ansvarar de för installationen.</w:t>
      </w:r>
    </w:p>
    <w:p>
      <w:pPr>
        <w:pStyle w:val="Compact"/>
        <w:numPr>
          <w:ilvl w:val="0"/>
          <w:numId w:val="1002"/>
        </w:numPr>
      </w:pPr>
      <w:r>
        <w:t xml:space="preserve">2 000 kr exkl. moms täcker i princip hårdvaran. Effira ska vara kostnadsneutral på hårdvaran.</w:t>
      </w:r>
    </w:p>
    <w:p>
      <w:r>
        <w:pict>
          <v:rect style="width:0;height:1.5pt" o:hralign="center" o:hrstd="t" o:hr="t"/>
        </w:pict>
      </w:r>
    </w:p>
    <w:bookmarkEnd w:id="13"/>
    <w:bookmarkStart w:id="14" w:name="besparingsgarantin"/>
    <w:p>
      <w:pPr>
        <w:pStyle w:val="Heading2"/>
      </w:pPr>
      <w:r>
        <w:t xml:space="preserve">2. Besparingsgarantin</w:t>
      </w:r>
    </w:p>
    <w:p>
      <w:pPr>
        <w:pStyle w:val="FirstParagraph"/>
      </w:pPr>
      <w:r>
        <w:rPr>
          <w:b/>
          <w:bCs/>
        </w:rPr>
        <w:t xml:space="preserve">Rekommendation: avveckla den nuvarande besparingsgarantin helt.</w:t>
      </w:r>
    </w:p>
    <w:p>
      <w:pPr>
        <w:pStyle w:val="BodyText"/>
      </w:pPr>
      <w:r>
        <w:t xml:space="preserve">Den ersätts av tydlig funktionalitet och löpande visning av optimeringen.</w:t>
      </w:r>
    </w:p>
    <w:p>
      <w:pPr>
        <w:pStyle w:val="BodyText"/>
      </w:pPr>
      <w:r>
        <w:t xml:space="preserve">Skälen är:</w:t>
      </w:r>
    </w:p>
    <w:p>
      <w:pPr>
        <w:pStyle w:val="Compact"/>
        <w:numPr>
          <w:ilvl w:val="0"/>
          <w:numId w:val="1003"/>
        </w:numPr>
      </w:pPr>
      <w:r>
        <w:t xml:space="preserve">Garantins minimibelopp på 3 600 kr riskerar att uppfattas som ett tak.</w:t>
      </w:r>
    </w:p>
    <w:p>
      <w:pPr>
        <w:pStyle w:val="Compact"/>
        <w:numPr>
          <w:ilvl w:val="0"/>
          <w:numId w:val="1003"/>
        </w:numPr>
      </w:pPr>
      <w:r>
        <w:t xml:space="preserve">Baselineberäkningen är svår för kunden att verifiera.</w:t>
      </w:r>
    </w:p>
    <w:p>
      <w:pPr>
        <w:pStyle w:val="Compact"/>
        <w:numPr>
          <w:ilvl w:val="0"/>
          <w:numId w:val="1003"/>
        </w:numPr>
      </w:pPr>
      <w:r>
        <w:t xml:space="preserve">Villkoren är för många och för svåra att förklara i försäljningen.</w:t>
      </w:r>
    </w:p>
    <w:p>
      <w:pPr>
        <w:pStyle w:val="Compact"/>
        <w:numPr>
          <w:ilvl w:val="0"/>
          <w:numId w:val="1003"/>
        </w:numPr>
      </w:pPr>
      <w:r>
        <w:t xml:space="preserve">Kravet på konstant besparingsläge motverkar komfort- och kontrollfunktioner.</w:t>
      </w:r>
    </w:p>
    <w:p>
      <w:pPr>
        <w:pStyle w:val="Compact"/>
        <w:numPr>
          <w:ilvl w:val="0"/>
          <w:numId w:val="1003"/>
        </w:numPr>
      </w:pPr>
      <w:r>
        <w:t xml:space="preserve">Ersättningen är abonnemangskrediter, inte pengar, och förfaller vid uppsägning.</w:t>
      </w:r>
    </w:p>
    <w:p>
      <w:pPr>
        <w:pStyle w:val="Compact"/>
        <w:numPr>
          <w:ilvl w:val="0"/>
          <w:numId w:val="1003"/>
        </w:numPr>
      </w:pPr>
      <w:r>
        <w:t xml:space="preserve">Tvister och manuell administration blir svåra att skala.</w:t>
      </w:r>
    </w:p>
    <w:p>
      <w:r>
        <w:pict>
          <v:rect style="width:0;height:1.5pt" o:hralign="center" o:hrstd="t" o:hr="t"/>
        </w:pict>
      </w:r>
    </w:p>
    <w:bookmarkEnd w:id="14"/>
    <w:bookmarkStart w:id="16" w:name="konsumentabonnemang"/>
    <w:p>
      <w:pPr>
        <w:pStyle w:val="Heading2"/>
      </w:pPr>
      <w:r>
        <w:t xml:space="preserve">3. Konsumentabonnemang</w:t>
      </w:r>
    </w:p>
    <w:p>
      <w:pPr>
        <w:pStyle w:val="FirstParagraph"/>
      </w:pPr>
      <w:r>
        <w:rPr>
          <w:b/>
          <w:bCs/>
        </w:rPr>
        <w:t xml:space="preserve">Rekommendation: två fasta abonnemangsnivåer.</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Nivå</w:t>
            </w:r>
          </w:p>
        </w:tc>
        <w:tc>
          <w:tcPr/>
          <w:p>
            <w:pPr>
              <w:pStyle w:val="Compact"/>
              <w:jc w:val="right"/>
            </w:pPr>
            <w:r>
              <w:t xml:space="preserve">Pris</w:t>
            </w:r>
          </w:p>
        </w:tc>
        <w:tc>
          <w:tcPr/>
          <w:p>
            <w:pPr>
              <w:pStyle w:val="Compact"/>
            </w:pPr>
            <w:r>
              <w:t xml:space="preserve">Värde</w:t>
            </w:r>
          </w:p>
        </w:tc>
      </w:tr>
      <w:tr>
        <w:tc>
          <w:tcPr/>
          <w:p>
            <w:pPr>
              <w:pStyle w:val="Compact"/>
            </w:pPr>
            <w:r>
              <w:rPr>
                <w:b/>
                <w:bCs/>
              </w:rPr>
              <w:t xml:space="preserve">Bas</w:t>
            </w:r>
          </w:p>
        </w:tc>
        <w:tc>
          <w:tcPr/>
          <w:p>
            <w:pPr>
              <w:pStyle w:val="Compact"/>
              <w:jc w:val="right"/>
            </w:pPr>
            <w:r>
              <w:rPr>
                <w:b/>
                <w:bCs/>
              </w:rPr>
              <w:t xml:space="preserve">69 kr/mån (kampanj 59 kr) inkl. moms</w:t>
            </w:r>
          </w:p>
        </w:tc>
        <w:tc>
          <w:tcPr/>
          <w:p>
            <w:pPr>
              <w:pStyle w:val="Compact"/>
            </w:pPr>
            <w:r>
              <w:t xml:space="preserve">Effiras grund: trygghet, kontroll, komfort, överblick, styrning och smart integration</w:t>
            </w:r>
          </w:p>
        </w:tc>
      </w:tr>
      <w:tr>
        <w:tc>
          <w:tcPr/>
          <w:p>
            <w:pPr>
              <w:pStyle w:val="Compact"/>
            </w:pPr>
            <w:r>
              <w:rPr>
                <w:b/>
                <w:bCs/>
              </w:rPr>
              <w:t xml:space="preserve">Premium</w:t>
            </w:r>
          </w:p>
        </w:tc>
        <w:tc>
          <w:tcPr/>
          <w:p>
            <w:pPr>
              <w:pStyle w:val="Compact"/>
              <w:jc w:val="right"/>
            </w:pPr>
            <w:r>
              <w:rPr>
                <w:b/>
                <w:bCs/>
              </w:rPr>
              <w:t xml:space="preserve">129 kr/mån (kampanj 99 kr) inkl. moms</w:t>
            </w:r>
          </w:p>
        </w:tc>
        <w:tc>
          <w:tcPr/>
          <w:p>
            <w:pPr>
              <w:pStyle w:val="Compact"/>
            </w:pPr>
            <w:r>
              <w:t xml:space="preserve">Bas + smart prisstyrning: spotprisoptimering och effekttariffer</w:t>
            </w:r>
          </w:p>
        </w:tc>
      </w:tr>
    </w:tbl>
    <w:p>
      <w:pPr>
        <w:pStyle w:val="BodyText"/>
      </w:pPr>
      <w:r>
        <w:t xml:space="preserve">Premium ligger</w:t>
      </w:r>
      <w:r>
        <w:t xml:space="preserve"> </w:t>
      </w:r>
      <w:r>
        <w:rPr>
          <w:b/>
          <w:bCs/>
        </w:rPr>
        <w:t xml:space="preserve">60 kr över Bas (30 kr vid kampanjpriser)</w:t>
      </w:r>
      <w:r>
        <w:t xml:space="preserve">. Uppgraderingen köper besparingsfunktionen — besparing ingår endast i Premium.</w:t>
      </w:r>
    </w:p>
    <w:p>
      <w:pPr>
        <w:pStyle w:val="BodyText"/>
      </w:pPr>
      <w:r>
        <w:t xml:space="preserve">Logiken är tydlig:</w:t>
      </w:r>
    </w:p>
    <w:p>
      <w:pPr>
        <w:pStyle w:val="Compact"/>
        <w:numPr>
          <w:ilvl w:val="0"/>
          <w:numId w:val="1004"/>
        </w:numPr>
      </w:pPr>
      <w:r>
        <w:rPr>
          <w:b/>
          <w:bCs/>
        </w:rPr>
        <w:t xml:space="preserve">Bas:</w:t>
      </w:r>
      <w:r>
        <w:t xml:space="preserve"> </w:t>
      </w:r>
      <w:r>
        <w:t xml:space="preserve">kunden får kontroll, komfort och trygghet med sin värmepump.</w:t>
      </w:r>
    </w:p>
    <w:p>
      <w:pPr>
        <w:pStyle w:val="Compact"/>
        <w:numPr>
          <w:ilvl w:val="0"/>
          <w:numId w:val="1004"/>
        </w:numPr>
      </w:pPr>
      <w:r>
        <w:rPr>
          <w:b/>
          <w:bCs/>
        </w:rPr>
        <w:t xml:space="preserve">Premium:</w:t>
      </w:r>
      <w:r>
        <w:t xml:space="preserve"> </w:t>
      </w:r>
      <w:r>
        <w:t xml:space="preserve">Effira löser problemet med smart prisstyrning och skapar möjlighet till besparing.</w:t>
      </w:r>
    </w:p>
    <w:p>
      <w:pPr>
        <w:pStyle w:val="FirstParagraph"/>
      </w:pPr>
      <w:r>
        <w:t xml:space="preserve">Övriga principer:</w:t>
      </w:r>
    </w:p>
    <w:p>
      <w:pPr>
        <w:pStyle w:val="Compact"/>
        <w:numPr>
          <w:ilvl w:val="0"/>
          <w:numId w:val="1005"/>
        </w:numPr>
      </w:pPr>
      <w:r>
        <w:t xml:space="preserve">Fast abonnemangspris — ingen rörlig avgift kopplad till beräknad besparing.</w:t>
      </w:r>
    </w:p>
    <w:p>
      <w:pPr>
        <w:pStyle w:val="Compact"/>
        <w:numPr>
          <w:ilvl w:val="0"/>
          <w:numId w:val="1005"/>
        </w:numPr>
      </w:pPr>
      <w:r>
        <w:t xml:space="preserve">Årsbetalning: kunden betalar för 10 månader och får 12 månader.</w:t>
      </w:r>
    </w:p>
    <w:p>
      <w:pPr>
        <w:pStyle w:val="FirstParagraph"/>
      </w:pPr>
      <w:r>
        <w:t xml:space="preserve">Bakgrunden till två abonnemang är att månadsbesparingen varierar kraftigt över året. Analysen visar att kunden kan ha positiv helårsbesparing men ändå några månader där den fasta avgiften är högre än besparingen. Det gör att vi inte ska sälja</w:t>
      </w:r>
      <w:r>
        <w:t xml:space="preserve"> </w:t>
      </w:r>
      <w:r>
        <w:t xml:space="preserve">“besparing”</w:t>
      </w:r>
      <w:r>
        <w:t xml:space="preserve"> </w:t>
      </w:r>
      <w:r>
        <w:t xml:space="preserve">som nummer 1 — då hamnar vi i samma problem som med besparingsgarantin, där kunden jämför ett fast löfte med ett ojämnt månadsutfall.</w:t>
      </w:r>
    </w:p>
    <w:bookmarkStart w:id="15" w:name="besparingsunderlag-för-premium"/>
    <w:p>
      <w:pPr>
        <w:pStyle w:val="Heading3"/>
      </w:pPr>
      <w:r>
        <w:t xml:space="preserve">Besparingsunderlag för Premium</w:t>
      </w:r>
    </w:p>
    <w:p>
      <w:pPr>
        <w:pStyle w:val="FirstParagraph"/>
      </w:pPr>
      <w:r>
        <w:t xml:space="preserve">Underlaget bygger på faktisk mätdata februari–juli 2026 för 191 anläggningar, normalårskorrigerad med SMHI:s temperaturprofil 1991–2020. Låg och hög motsvarar ±30 % kring centralscenariot. Besparing ingår endast i Premium.</w:t>
      </w:r>
    </w:p>
    <w:p>
      <w:pPr>
        <w:pStyle w:val="BodyText"/>
      </w:pPr>
      <w:r>
        <w:rPr>
          <w:b/>
          <w:bCs/>
        </w:rPr>
        <w:t xml:space="preserve">Per kund och år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jc w:val="right"/>
            </w:pPr>
            <w:r>
              <w:t xml:space="preserve">Besparing</w:t>
            </w:r>
          </w:p>
        </w:tc>
        <w:tc>
          <w:tcPr/>
          <w:p>
            <w:pPr>
              <w:pStyle w:val="Compact"/>
              <w:jc w:val="right"/>
            </w:pPr>
            <w:r>
              <w:t xml:space="preserve">Netto vid 99 kr</w:t>
            </w:r>
          </w:p>
        </w:tc>
        <w:tc>
          <w:tcPr/>
          <w:p>
            <w:pPr>
              <w:pStyle w:val="Compact"/>
              <w:jc w:val="right"/>
            </w:pPr>
            <w:r>
              <w:t xml:space="preserve">Netto vid 129 kr</w:t>
            </w:r>
          </w:p>
        </w:tc>
      </w:tr>
      <w:tr>
        <w:tc>
          <w:tcPr/>
          <w:p>
            <w:pPr>
              <w:pStyle w:val="Compact"/>
            </w:pPr>
            <w:r>
              <w:t xml:space="preserve">Låg</w:t>
            </w:r>
          </w:p>
        </w:tc>
        <w:tc>
          <w:tcPr/>
          <w:p>
            <w:pPr>
              <w:pStyle w:val="Compact"/>
              <w:jc w:val="right"/>
            </w:pPr>
            <w:r>
              <w:t xml:space="preserve">2 795 kr</w:t>
            </w:r>
          </w:p>
        </w:tc>
        <w:tc>
          <w:tcPr/>
          <w:p>
            <w:pPr>
              <w:pStyle w:val="Compact"/>
              <w:jc w:val="right"/>
            </w:pPr>
            <w:r>
              <w:t xml:space="preserve">1 607 kr</w:t>
            </w:r>
          </w:p>
        </w:tc>
        <w:tc>
          <w:tcPr/>
          <w:p>
            <w:pPr>
              <w:pStyle w:val="Compact"/>
              <w:jc w:val="right"/>
            </w:pPr>
            <w:r>
              <w:t xml:space="preserve">1 247 kr</w:t>
            </w:r>
          </w:p>
        </w:tc>
      </w:tr>
      <w:tr>
        <w:tc>
          <w:tcPr/>
          <w:p>
            <w:pPr>
              <w:pStyle w:val="Compact"/>
            </w:pPr>
            <w:r>
              <w:t xml:space="preserve">Central</w:t>
            </w:r>
          </w:p>
        </w:tc>
        <w:tc>
          <w:tcPr/>
          <w:p>
            <w:pPr>
              <w:pStyle w:val="Compact"/>
              <w:jc w:val="right"/>
            </w:pPr>
            <w:r>
              <w:t xml:space="preserve">3 992 kr</w:t>
            </w:r>
          </w:p>
        </w:tc>
        <w:tc>
          <w:tcPr/>
          <w:p>
            <w:pPr>
              <w:pStyle w:val="Compact"/>
              <w:jc w:val="right"/>
            </w:pPr>
            <w:r>
              <w:t xml:space="preserve">2 804 kr</w:t>
            </w:r>
          </w:p>
        </w:tc>
        <w:tc>
          <w:tcPr/>
          <w:p>
            <w:pPr>
              <w:pStyle w:val="Compact"/>
              <w:jc w:val="right"/>
            </w:pPr>
            <w:r>
              <w:t xml:space="preserve">2 444 kr</w:t>
            </w:r>
          </w:p>
        </w:tc>
      </w:tr>
      <w:tr>
        <w:tc>
          <w:tcPr/>
          <w:p>
            <w:pPr>
              <w:pStyle w:val="Compact"/>
            </w:pPr>
            <w:r>
              <w:t xml:space="preserve">Hög</w:t>
            </w:r>
          </w:p>
        </w:tc>
        <w:tc>
          <w:tcPr/>
          <w:p>
            <w:pPr>
              <w:pStyle w:val="Compact"/>
              <w:jc w:val="right"/>
            </w:pPr>
            <w:r>
              <w:t xml:space="preserve">5 190 kr</w:t>
            </w:r>
          </w:p>
        </w:tc>
        <w:tc>
          <w:tcPr/>
          <w:p>
            <w:pPr>
              <w:pStyle w:val="Compact"/>
              <w:jc w:val="right"/>
            </w:pPr>
            <w:r>
              <w:t xml:space="preserve">4 002 kr</w:t>
            </w:r>
          </w:p>
        </w:tc>
        <w:tc>
          <w:tcPr/>
          <w:p>
            <w:pPr>
              <w:pStyle w:val="Compact"/>
              <w:jc w:val="right"/>
            </w:pPr>
            <w:r>
              <w:t xml:space="preserve">3 642 kr</w:t>
            </w:r>
          </w:p>
        </w:tc>
      </w:tr>
    </w:tbl>
    <w:p>
      <w:pPr>
        <w:pStyle w:val="BodyText"/>
      </w:pPr>
      <w:r>
        <w:t xml:space="preserve">Abonnemanget kostar 1 188 kr/år vid 99 kr och 1 548 kr/år vid 129 kr.</w:t>
      </w:r>
      <w:r>
        <w:t xml:space="preserve"> </w:t>
      </w:r>
      <w:r>
        <w:rPr>
          <w:b/>
          <w:bCs/>
        </w:rPr>
        <w:t xml:space="preserve">Kunden går plus på helåret i samtliga scenarier</w:t>
      </w:r>
      <w:r>
        <w:t xml:space="preserve">, även i det låga scenariot till det högsta priset. Kunden får tillbaka mellan 1,8 och 4,4 gånger abonnemangskostnaden.</w:t>
      </w:r>
    </w:p>
    <w:p>
      <w:pPr>
        <w:pStyle w:val="BodyText"/>
      </w:pPr>
      <w:r>
        <w:rPr>
          <w:b/>
          <w:bCs/>
        </w:rPr>
        <w:t xml:space="preserve">Per kund och månad</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Månad</w:t>
            </w:r>
          </w:p>
        </w:tc>
        <w:tc>
          <w:tcPr/>
          <w:p>
            <w:pPr>
              <w:pStyle w:val="Compact"/>
              <w:jc w:val="right"/>
            </w:pPr>
            <w:r>
              <w:t xml:space="preserve">Låg</w:t>
            </w:r>
          </w:p>
        </w:tc>
        <w:tc>
          <w:tcPr/>
          <w:p>
            <w:pPr>
              <w:pStyle w:val="Compact"/>
              <w:jc w:val="right"/>
            </w:pPr>
            <w:r>
              <w:t xml:space="preserve">Central</w:t>
            </w:r>
          </w:p>
        </w:tc>
        <w:tc>
          <w:tcPr/>
          <w:p>
            <w:pPr>
              <w:pStyle w:val="Compact"/>
              <w:jc w:val="right"/>
            </w:pPr>
            <w:r>
              <w:t xml:space="preserve">Hög</w:t>
            </w:r>
          </w:p>
        </w:tc>
        <w:tc>
          <w:tcPr/>
          <w:p>
            <w:pPr>
              <w:pStyle w:val="Compact"/>
              <w:jc w:val="right"/>
            </w:pPr>
            <w:r>
              <w:t xml:space="preserve">Netto central vid 99 kr</w:t>
            </w:r>
          </w:p>
        </w:tc>
        <w:tc>
          <w:tcPr/>
          <w:p>
            <w:pPr>
              <w:pStyle w:val="Compact"/>
              <w:jc w:val="right"/>
            </w:pPr>
            <w:r>
              <w:t xml:space="preserve">Netto central vid 129 kr</w:t>
            </w:r>
          </w:p>
        </w:tc>
      </w:tr>
      <w:tr>
        <w:tc>
          <w:tcPr/>
          <w:p>
            <w:pPr>
              <w:pStyle w:val="Compact"/>
            </w:pPr>
            <w:r>
              <w:t xml:space="preserve">Jan</w:t>
            </w:r>
          </w:p>
        </w:tc>
        <w:tc>
          <w:tcPr/>
          <w:p>
            <w:pPr>
              <w:pStyle w:val="Compact"/>
              <w:jc w:val="right"/>
            </w:pPr>
            <w:r>
              <w:t xml:space="preserve">447</w:t>
            </w:r>
          </w:p>
        </w:tc>
        <w:tc>
          <w:tcPr/>
          <w:p>
            <w:pPr>
              <w:pStyle w:val="Compact"/>
              <w:jc w:val="right"/>
            </w:pPr>
            <w:r>
              <w:t xml:space="preserve">638</w:t>
            </w:r>
          </w:p>
        </w:tc>
        <w:tc>
          <w:tcPr/>
          <w:p>
            <w:pPr>
              <w:pStyle w:val="Compact"/>
              <w:jc w:val="right"/>
            </w:pPr>
            <w:r>
              <w:t xml:space="preserve">829</w:t>
            </w:r>
          </w:p>
        </w:tc>
        <w:tc>
          <w:tcPr/>
          <w:p>
            <w:pPr>
              <w:pStyle w:val="Compact"/>
              <w:jc w:val="right"/>
            </w:pPr>
            <w:r>
              <w:t xml:space="preserve">539</w:t>
            </w:r>
          </w:p>
        </w:tc>
        <w:tc>
          <w:tcPr/>
          <w:p>
            <w:pPr>
              <w:pStyle w:val="Compact"/>
              <w:jc w:val="right"/>
            </w:pPr>
            <w:r>
              <w:t xml:space="preserve">509</w:t>
            </w:r>
          </w:p>
        </w:tc>
      </w:tr>
      <w:tr>
        <w:tc>
          <w:tcPr/>
          <w:p>
            <w:pPr>
              <w:pStyle w:val="Compact"/>
            </w:pPr>
            <w:r>
              <w:t xml:space="preserve">Feb</w:t>
            </w:r>
          </w:p>
        </w:tc>
        <w:tc>
          <w:tcPr/>
          <w:p>
            <w:pPr>
              <w:pStyle w:val="Compact"/>
              <w:jc w:val="right"/>
            </w:pPr>
            <w:r>
              <w:t xml:space="preserve">404</w:t>
            </w:r>
          </w:p>
        </w:tc>
        <w:tc>
          <w:tcPr/>
          <w:p>
            <w:pPr>
              <w:pStyle w:val="Compact"/>
              <w:jc w:val="right"/>
            </w:pPr>
            <w:r>
              <w:t xml:space="preserve">578</w:t>
            </w:r>
          </w:p>
        </w:tc>
        <w:tc>
          <w:tcPr/>
          <w:p>
            <w:pPr>
              <w:pStyle w:val="Compact"/>
              <w:jc w:val="right"/>
            </w:pPr>
            <w:r>
              <w:t xml:space="preserve">751</w:t>
            </w:r>
          </w:p>
        </w:tc>
        <w:tc>
          <w:tcPr/>
          <w:p>
            <w:pPr>
              <w:pStyle w:val="Compact"/>
              <w:jc w:val="right"/>
            </w:pPr>
            <w:r>
              <w:t xml:space="preserve">479</w:t>
            </w:r>
          </w:p>
        </w:tc>
        <w:tc>
          <w:tcPr/>
          <w:p>
            <w:pPr>
              <w:pStyle w:val="Compact"/>
              <w:jc w:val="right"/>
            </w:pPr>
            <w:r>
              <w:t xml:space="preserve">449</w:t>
            </w:r>
          </w:p>
        </w:tc>
      </w:tr>
      <w:tr>
        <w:tc>
          <w:tcPr/>
          <w:p>
            <w:pPr>
              <w:pStyle w:val="Compact"/>
            </w:pPr>
            <w:r>
              <w:t xml:space="preserve">Mar</w:t>
            </w:r>
          </w:p>
        </w:tc>
        <w:tc>
          <w:tcPr/>
          <w:p>
            <w:pPr>
              <w:pStyle w:val="Compact"/>
              <w:jc w:val="right"/>
            </w:pPr>
            <w:r>
              <w:t xml:space="preserve">371</w:t>
            </w:r>
          </w:p>
        </w:tc>
        <w:tc>
          <w:tcPr/>
          <w:p>
            <w:pPr>
              <w:pStyle w:val="Compact"/>
              <w:jc w:val="right"/>
            </w:pPr>
            <w:r>
              <w:t xml:space="preserve">530</w:t>
            </w:r>
          </w:p>
        </w:tc>
        <w:tc>
          <w:tcPr/>
          <w:p>
            <w:pPr>
              <w:pStyle w:val="Compact"/>
              <w:jc w:val="right"/>
            </w:pPr>
            <w:r>
              <w:t xml:space="preserve">689</w:t>
            </w:r>
          </w:p>
        </w:tc>
        <w:tc>
          <w:tcPr/>
          <w:p>
            <w:pPr>
              <w:pStyle w:val="Compact"/>
              <w:jc w:val="right"/>
            </w:pPr>
            <w:r>
              <w:t xml:space="preserve">431</w:t>
            </w:r>
          </w:p>
        </w:tc>
        <w:tc>
          <w:tcPr/>
          <w:p>
            <w:pPr>
              <w:pStyle w:val="Compact"/>
              <w:jc w:val="right"/>
            </w:pPr>
            <w:r>
              <w:t xml:space="preserve">401</w:t>
            </w:r>
          </w:p>
        </w:tc>
      </w:tr>
      <w:tr>
        <w:tc>
          <w:tcPr/>
          <w:p>
            <w:pPr>
              <w:pStyle w:val="Compact"/>
            </w:pPr>
            <w:r>
              <w:t xml:space="preserve">Apr</w:t>
            </w:r>
          </w:p>
        </w:tc>
        <w:tc>
          <w:tcPr/>
          <w:p>
            <w:pPr>
              <w:pStyle w:val="Compact"/>
              <w:jc w:val="right"/>
            </w:pPr>
            <w:r>
              <w:t xml:space="preserve">245</w:t>
            </w:r>
          </w:p>
        </w:tc>
        <w:tc>
          <w:tcPr/>
          <w:p>
            <w:pPr>
              <w:pStyle w:val="Compact"/>
              <w:jc w:val="right"/>
            </w:pPr>
            <w:r>
              <w:t xml:space="preserve">349</w:t>
            </w:r>
          </w:p>
        </w:tc>
        <w:tc>
          <w:tcPr/>
          <w:p>
            <w:pPr>
              <w:pStyle w:val="Compact"/>
              <w:jc w:val="right"/>
            </w:pPr>
            <w:r>
              <w:t xml:space="preserve">454</w:t>
            </w:r>
          </w:p>
        </w:tc>
        <w:tc>
          <w:tcPr/>
          <w:p>
            <w:pPr>
              <w:pStyle w:val="Compact"/>
              <w:jc w:val="right"/>
            </w:pPr>
            <w:r>
              <w:t xml:space="preserve">250</w:t>
            </w:r>
          </w:p>
        </w:tc>
        <w:tc>
          <w:tcPr/>
          <w:p>
            <w:pPr>
              <w:pStyle w:val="Compact"/>
              <w:jc w:val="right"/>
            </w:pPr>
            <w:r>
              <w:t xml:space="preserve">220</w:t>
            </w:r>
          </w:p>
        </w:tc>
      </w:tr>
      <w:tr>
        <w:tc>
          <w:tcPr/>
          <w:p>
            <w:pPr>
              <w:pStyle w:val="Compact"/>
            </w:pPr>
            <w:r>
              <w:t xml:space="preserve">Maj</w:t>
            </w:r>
          </w:p>
        </w:tc>
        <w:tc>
          <w:tcPr/>
          <w:p>
            <w:pPr>
              <w:pStyle w:val="Compact"/>
              <w:jc w:val="right"/>
            </w:pPr>
            <w:r>
              <w:t xml:space="preserve">146</w:t>
            </w:r>
          </w:p>
        </w:tc>
        <w:tc>
          <w:tcPr/>
          <w:p>
            <w:pPr>
              <w:pStyle w:val="Compact"/>
              <w:jc w:val="right"/>
            </w:pPr>
            <w:r>
              <w:t xml:space="preserve">209</w:t>
            </w:r>
          </w:p>
        </w:tc>
        <w:tc>
          <w:tcPr/>
          <w:p>
            <w:pPr>
              <w:pStyle w:val="Compact"/>
              <w:jc w:val="right"/>
            </w:pPr>
            <w:r>
              <w:t xml:space="preserve">271</w:t>
            </w:r>
          </w:p>
        </w:tc>
        <w:tc>
          <w:tcPr/>
          <w:p>
            <w:pPr>
              <w:pStyle w:val="Compact"/>
              <w:jc w:val="right"/>
            </w:pPr>
            <w:r>
              <w:t xml:space="preserve">110</w:t>
            </w:r>
          </w:p>
        </w:tc>
        <w:tc>
          <w:tcPr/>
          <w:p>
            <w:pPr>
              <w:pStyle w:val="Compact"/>
              <w:jc w:val="right"/>
            </w:pPr>
            <w:r>
              <w:t xml:space="preserve">80</w:t>
            </w:r>
          </w:p>
        </w:tc>
      </w:tr>
      <w:tr>
        <w:tc>
          <w:tcPr/>
          <w:p>
            <w:pPr>
              <w:pStyle w:val="Compact"/>
            </w:pPr>
            <w:r>
              <w:t xml:space="preserve">Jun</w:t>
            </w:r>
          </w:p>
        </w:tc>
        <w:tc>
          <w:tcPr/>
          <w:p>
            <w:pPr>
              <w:pStyle w:val="Compact"/>
              <w:jc w:val="right"/>
            </w:pPr>
            <w:r>
              <w:t xml:space="preserve">64</w:t>
            </w:r>
          </w:p>
        </w:tc>
        <w:tc>
          <w:tcPr/>
          <w:p>
            <w:pPr>
              <w:pStyle w:val="Compact"/>
              <w:jc w:val="right"/>
            </w:pPr>
            <w:r>
              <w:t xml:space="preserve">91</w:t>
            </w:r>
          </w:p>
        </w:tc>
        <w:tc>
          <w:tcPr/>
          <w:p>
            <w:pPr>
              <w:pStyle w:val="Compact"/>
              <w:jc w:val="right"/>
            </w:pPr>
            <w:r>
              <w:t xml:space="preserve">119</w:t>
            </w:r>
          </w:p>
        </w:tc>
        <w:tc>
          <w:tcPr/>
          <w:p>
            <w:pPr>
              <w:pStyle w:val="Compact"/>
              <w:jc w:val="right"/>
            </w:pPr>
            <w:r>
              <w:rPr>
                <w:b/>
                <w:bCs/>
              </w:rPr>
              <w:t xml:space="preserve">−8</w:t>
            </w:r>
          </w:p>
        </w:tc>
        <w:tc>
          <w:tcPr/>
          <w:p>
            <w:pPr>
              <w:pStyle w:val="Compact"/>
              <w:jc w:val="right"/>
            </w:pPr>
            <w:r>
              <w:rPr>
                <w:b/>
                <w:bCs/>
              </w:rPr>
              <w:t xml:space="preserve">−38</w:t>
            </w:r>
          </w:p>
        </w:tc>
      </w:tr>
      <w:tr>
        <w:tc>
          <w:tcPr/>
          <w:p>
            <w:pPr>
              <w:pStyle w:val="Compact"/>
            </w:pPr>
            <w:r>
              <w:t xml:space="preserve">Jul</w:t>
            </w:r>
          </w:p>
        </w:tc>
        <w:tc>
          <w:tcPr/>
          <w:p>
            <w:pPr>
              <w:pStyle w:val="Compact"/>
              <w:jc w:val="right"/>
            </w:pPr>
            <w:r>
              <w:t xml:space="preserve">33</w:t>
            </w:r>
          </w:p>
        </w:tc>
        <w:tc>
          <w:tcPr/>
          <w:p>
            <w:pPr>
              <w:pStyle w:val="Compact"/>
              <w:jc w:val="right"/>
            </w:pPr>
            <w:r>
              <w:t xml:space="preserve">47</w:t>
            </w:r>
          </w:p>
        </w:tc>
        <w:tc>
          <w:tcPr/>
          <w:p>
            <w:pPr>
              <w:pStyle w:val="Compact"/>
              <w:jc w:val="right"/>
            </w:pPr>
            <w:r>
              <w:t xml:space="preserve">61</w:t>
            </w:r>
          </w:p>
        </w:tc>
        <w:tc>
          <w:tcPr/>
          <w:p>
            <w:pPr>
              <w:pStyle w:val="Compact"/>
              <w:jc w:val="right"/>
            </w:pPr>
            <w:r>
              <w:rPr>
                <w:b/>
                <w:bCs/>
              </w:rPr>
              <w:t xml:space="preserve">−52</w:t>
            </w:r>
          </w:p>
        </w:tc>
        <w:tc>
          <w:tcPr/>
          <w:p>
            <w:pPr>
              <w:pStyle w:val="Compact"/>
              <w:jc w:val="right"/>
            </w:pPr>
            <w:r>
              <w:rPr>
                <w:b/>
                <w:bCs/>
              </w:rPr>
              <w:t xml:space="preserve">−82</w:t>
            </w:r>
          </w:p>
        </w:tc>
      </w:tr>
      <w:tr>
        <w:tc>
          <w:tcPr/>
          <w:p>
            <w:pPr>
              <w:pStyle w:val="Compact"/>
            </w:pPr>
            <w:r>
              <w:t xml:space="preserve">Aug</w:t>
            </w:r>
          </w:p>
        </w:tc>
        <w:tc>
          <w:tcPr/>
          <w:p>
            <w:pPr>
              <w:pStyle w:val="Compact"/>
              <w:jc w:val="right"/>
            </w:pPr>
            <w:r>
              <w:t xml:space="preserve">33</w:t>
            </w:r>
          </w:p>
        </w:tc>
        <w:tc>
          <w:tcPr/>
          <w:p>
            <w:pPr>
              <w:pStyle w:val="Compact"/>
              <w:jc w:val="right"/>
            </w:pPr>
            <w:r>
              <w:t xml:space="preserve">47</w:t>
            </w:r>
          </w:p>
        </w:tc>
        <w:tc>
          <w:tcPr/>
          <w:p>
            <w:pPr>
              <w:pStyle w:val="Compact"/>
              <w:jc w:val="right"/>
            </w:pPr>
            <w:r>
              <w:t xml:space="preserve">61</w:t>
            </w:r>
          </w:p>
        </w:tc>
        <w:tc>
          <w:tcPr/>
          <w:p>
            <w:pPr>
              <w:pStyle w:val="Compact"/>
              <w:jc w:val="right"/>
            </w:pPr>
            <w:r>
              <w:rPr>
                <w:b/>
                <w:bCs/>
              </w:rPr>
              <w:t xml:space="preserve">−52</w:t>
            </w:r>
          </w:p>
        </w:tc>
        <w:tc>
          <w:tcPr/>
          <w:p>
            <w:pPr>
              <w:pStyle w:val="Compact"/>
              <w:jc w:val="right"/>
            </w:pPr>
            <w:r>
              <w:rPr>
                <w:b/>
                <w:bCs/>
              </w:rPr>
              <w:t xml:space="preserve">−82</w:t>
            </w:r>
          </w:p>
        </w:tc>
      </w:tr>
      <w:tr>
        <w:tc>
          <w:tcPr/>
          <w:p>
            <w:pPr>
              <w:pStyle w:val="Compact"/>
            </w:pPr>
            <w:r>
              <w:t xml:space="preserve">Sep</w:t>
            </w:r>
          </w:p>
        </w:tc>
        <w:tc>
          <w:tcPr/>
          <w:p>
            <w:pPr>
              <w:pStyle w:val="Compact"/>
              <w:jc w:val="right"/>
            </w:pPr>
            <w:r>
              <w:t xml:space="preserve">112</w:t>
            </w:r>
          </w:p>
        </w:tc>
        <w:tc>
          <w:tcPr/>
          <w:p>
            <w:pPr>
              <w:pStyle w:val="Compact"/>
              <w:jc w:val="right"/>
            </w:pPr>
            <w:r>
              <w:t xml:space="preserve">160</w:t>
            </w:r>
          </w:p>
        </w:tc>
        <w:tc>
          <w:tcPr/>
          <w:p>
            <w:pPr>
              <w:pStyle w:val="Compact"/>
              <w:jc w:val="right"/>
            </w:pPr>
            <w:r>
              <w:t xml:space="preserve">208</w:t>
            </w:r>
          </w:p>
        </w:tc>
        <w:tc>
          <w:tcPr/>
          <w:p>
            <w:pPr>
              <w:pStyle w:val="Compact"/>
              <w:jc w:val="right"/>
            </w:pPr>
            <w:r>
              <w:t xml:space="preserve">61</w:t>
            </w:r>
          </w:p>
        </w:tc>
        <w:tc>
          <w:tcPr/>
          <w:p>
            <w:pPr>
              <w:pStyle w:val="Compact"/>
              <w:jc w:val="right"/>
            </w:pPr>
            <w:r>
              <w:t xml:space="preserve">31</w:t>
            </w:r>
          </w:p>
        </w:tc>
      </w:tr>
      <w:tr>
        <w:tc>
          <w:tcPr/>
          <w:p>
            <w:pPr>
              <w:pStyle w:val="Compact"/>
            </w:pPr>
            <w:r>
              <w:t xml:space="preserve">Okt</w:t>
            </w:r>
          </w:p>
        </w:tc>
        <w:tc>
          <w:tcPr/>
          <w:p>
            <w:pPr>
              <w:pStyle w:val="Compact"/>
              <w:jc w:val="right"/>
            </w:pPr>
            <w:r>
              <w:t xml:space="preserve">224</w:t>
            </w:r>
          </w:p>
        </w:tc>
        <w:tc>
          <w:tcPr/>
          <w:p>
            <w:pPr>
              <w:pStyle w:val="Compact"/>
              <w:jc w:val="right"/>
            </w:pPr>
            <w:r>
              <w:t xml:space="preserve">321</w:t>
            </w:r>
          </w:p>
        </w:tc>
        <w:tc>
          <w:tcPr/>
          <w:p>
            <w:pPr>
              <w:pStyle w:val="Compact"/>
              <w:jc w:val="right"/>
            </w:pPr>
            <w:r>
              <w:t xml:space="preserve">417</w:t>
            </w:r>
          </w:p>
        </w:tc>
        <w:tc>
          <w:tcPr/>
          <w:p>
            <w:pPr>
              <w:pStyle w:val="Compact"/>
              <w:jc w:val="right"/>
            </w:pPr>
            <w:r>
              <w:t xml:space="preserve">222</w:t>
            </w:r>
          </w:p>
        </w:tc>
        <w:tc>
          <w:tcPr/>
          <w:p>
            <w:pPr>
              <w:pStyle w:val="Compact"/>
              <w:jc w:val="right"/>
            </w:pPr>
            <w:r>
              <w:t xml:space="preserve">192</w:t>
            </w:r>
          </w:p>
        </w:tc>
      </w:tr>
      <w:tr>
        <w:tc>
          <w:tcPr/>
          <w:p>
            <w:pPr>
              <w:pStyle w:val="Compact"/>
            </w:pPr>
            <w:r>
              <w:t xml:space="preserve">Nov</w:t>
            </w:r>
          </w:p>
        </w:tc>
        <w:tc>
          <w:tcPr/>
          <w:p>
            <w:pPr>
              <w:pStyle w:val="Compact"/>
              <w:jc w:val="right"/>
            </w:pPr>
            <w:r>
              <w:t xml:space="preserve">312</w:t>
            </w:r>
          </w:p>
        </w:tc>
        <w:tc>
          <w:tcPr/>
          <w:p>
            <w:pPr>
              <w:pStyle w:val="Compact"/>
              <w:jc w:val="right"/>
            </w:pPr>
            <w:r>
              <w:t xml:space="preserve">446</w:t>
            </w:r>
          </w:p>
        </w:tc>
        <w:tc>
          <w:tcPr/>
          <w:p>
            <w:pPr>
              <w:pStyle w:val="Compact"/>
              <w:jc w:val="right"/>
            </w:pPr>
            <w:r>
              <w:t xml:space="preserve">579</w:t>
            </w:r>
          </w:p>
        </w:tc>
        <w:tc>
          <w:tcPr/>
          <w:p>
            <w:pPr>
              <w:pStyle w:val="Compact"/>
              <w:jc w:val="right"/>
            </w:pPr>
            <w:r>
              <w:t xml:space="preserve">347</w:t>
            </w:r>
          </w:p>
        </w:tc>
        <w:tc>
          <w:tcPr/>
          <w:p>
            <w:pPr>
              <w:pStyle w:val="Compact"/>
              <w:jc w:val="right"/>
            </w:pPr>
            <w:r>
              <w:t xml:space="preserve">317</w:t>
            </w:r>
          </w:p>
        </w:tc>
      </w:tr>
      <w:tr>
        <w:tc>
          <w:tcPr/>
          <w:p>
            <w:pPr>
              <w:pStyle w:val="Compact"/>
            </w:pPr>
            <w:r>
              <w:t xml:space="preserve">Dec</w:t>
            </w:r>
          </w:p>
        </w:tc>
        <w:tc>
          <w:tcPr/>
          <w:p>
            <w:pPr>
              <w:pStyle w:val="Compact"/>
              <w:jc w:val="right"/>
            </w:pPr>
            <w:r>
              <w:t xml:space="preserve">404</w:t>
            </w:r>
          </w:p>
        </w:tc>
        <w:tc>
          <w:tcPr/>
          <w:p>
            <w:pPr>
              <w:pStyle w:val="Compact"/>
              <w:jc w:val="right"/>
            </w:pPr>
            <w:r>
              <w:t xml:space="preserve">577</w:t>
            </w:r>
          </w:p>
        </w:tc>
        <w:tc>
          <w:tcPr/>
          <w:p>
            <w:pPr>
              <w:pStyle w:val="Compact"/>
              <w:jc w:val="right"/>
            </w:pPr>
            <w:r>
              <w:t xml:space="preserve">750</w:t>
            </w:r>
          </w:p>
        </w:tc>
        <w:tc>
          <w:tcPr/>
          <w:p>
            <w:pPr>
              <w:pStyle w:val="Compact"/>
              <w:jc w:val="right"/>
            </w:pPr>
            <w:r>
              <w:t xml:space="preserve">478</w:t>
            </w:r>
          </w:p>
        </w:tc>
        <w:tc>
          <w:tcPr/>
          <w:p>
            <w:pPr>
              <w:pStyle w:val="Compact"/>
              <w:jc w:val="right"/>
            </w:pPr>
            <w:r>
              <w:t xml:space="preserve">448</w:t>
            </w:r>
          </w:p>
        </w:tc>
      </w:tr>
      <w:tr>
        <w:tc>
          <w:tcPr/>
          <w:p>
            <w:pPr>
              <w:pStyle w:val="Compact"/>
            </w:pPr>
            <w:r>
              <w:rPr>
                <w:b/>
                <w:bCs/>
              </w:rPr>
              <w:t xml:space="preserve">Helår</w:t>
            </w:r>
          </w:p>
        </w:tc>
        <w:tc>
          <w:tcPr/>
          <w:p>
            <w:pPr>
              <w:pStyle w:val="Compact"/>
              <w:jc w:val="right"/>
            </w:pPr>
            <w:r>
              <w:rPr>
                <w:b/>
                <w:bCs/>
              </w:rPr>
              <w:t xml:space="preserve">2 795</w:t>
            </w:r>
          </w:p>
        </w:tc>
        <w:tc>
          <w:tcPr/>
          <w:p>
            <w:pPr>
              <w:pStyle w:val="Compact"/>
              <w:jc w:val="right"/>
            </w:pPr>
            <w:r>
              <w:rPr>
                <w:b/>
                <w:bCs/>
              </w:rPr>
              <w:t xml:space="preserve">3 992</w:t>
            </w:r>
          </w:p>
        </w:tc>
        <w:tc>
          <w:tcPr/>
          <w:p>
            <w:pPr>
              <w:pStyle w:val="Compact"/>
              <w:jc w:val="right"/>
            </w:pPr>
            <w:r>
              <w:rPr>
                <w:b/>
                <w:bCs/>
              </w:rPr>
              <w:t xml:space="preserve">5 190</w:t>
            </w:r>
          </w:p>
        </w:tc>
        <w:tc>
          <w:tcPr/>
          <w:p>
            <w:pPr>
              <w:pStyle w:val="Compact"/>
              <w:jc w:val="right"/>
            </w:pPr>
            <w:r>
              <w:rPr>
                <w:b/>
                <w:bCs/>
              </w:rPr>
              <w:t xml:space="preserve">2 804</w:t>
            </w:r>
          </w:p>
        </w:tc>
        <w:tc>
          <w:tcPr/>
          <w:p>
            <w:pPr>
              <w:pStyle w:val="Compact"/>
              <w:jc w:val="right"/>
            </w:pPr>
            <w:r>
              <w:rPr>
                <w:b/>
                <w:bCs/>
              </w:rPr>
              <w:t xml:space="preserve">2 444</w:t>
            </w:r>
          </w:p>
        </w:tc>
      </w:tr>
    </w:tbl>
    <w:p>
      <w:pPr>
        <w:pStyle w:val="BodyText"/>
      </w:pPr>
      <w:r>
        <w:t xml:space="preserve">Tabellen visar problemet konkret: i centralscenariot är fakturan större än besparingen under juni, juli och augusti. I det låga scenariot gäller det juni–september vid 129 kr. Sommarbesparingen är i praktiken bara varmvatten, medan hela vinsten skapas under uppvärmningssäsongen.</w:t>
      </w:r>
    </w:p>
    <w:p>
      <w:pPr>
        <w:pStyle w:val="BodyText"/>
      </w:pPr>
      <w:r>
        <w:t xml:space="preserve">Månadsvärdena är avrundade till hela kronor; helårsraden är beräknad på oavrundade tal och kan därför skilja någon krona från kolumnsumman.</w:t>
      </w:r>
    </w:p>
    <w:p>
      <w:pPr>
        <w:pStyle w:val="BodyText"/>
      </w:pPr>
      <w:r>
        <w:t xml:space="preserve">Detta är det starkaste argumentet för att sälja Premium på</w:t>
      </w:r>
      <w:r>
        <w:t xml:space="preserve"> </w:t>
      </w:r>
      <w:r>
        <w:rPr>
          <w:b/>
          <w:bCs/>
        </w:rPr>
        <w:t xml:space="preserve">smart prisstyrning</w:t>
      </w:r>
      <w:r>
        <w:t xml:space="preserve"> </w:t>
      </w:r>
      <w:r>
        <w:t xml:space="preserve">snarare än på en utlovad besparingssiffra — och för årsbetalning, som jämnar ut månadsutfallet.</w:t>
      </w:r>
    </w:p>
    <w:p>
      <w:pPr>
        <w:pStyle w:val="BodyText"/>
      </w:pPr>
      <w:r>
        <w:t xml:space="preserve">Det är därför Bas och Premium måste sälja</w:t>
      </w:r>
      <w:r>
        <w:t xml:space="preserve"> </w:t>
      </w:r>
      <w:r>
        <w:rPr>
          <w:b/>
          <w:bCs/>
        </w:rPr>
        <w:t xml:space="preserve">två olika värden</w:t>
      </w:r>
      <w:r>
        <w:t xml:space="preserve">: Bas = trygghet och kontroll, Premium = smart prisstyrning och besparing.</w:t>
      </w:r>
    </w:p>
    <w:p>
      <w:r>
        <w:pict>
          <v:rect style="width:0;height:1.5pt" o:hralign="center" o:hrstd="t" o:hr="t"/>
        </w:pict>
      </w:r>
    </w:p>
    <w:bookmarkEnd w:id="15"/>
    <w:bookmarkEnd w:id="16"/>
    <w:bookmarkStart w:id="20" w:name="tre-kanaler"/>
    <w:p>
      <w:pPr>
        <w:pStyle w:val="Heading2"/>
      </w:pPr>
      <w:r>
        <w:t xml:space="preserve">4. Tre kanaler</w:t>
      </w:r>
    </w:p>
    <w:bookmarkStart w:id="17" w:name="a.-enkel-återförsäljare-exempel-comfort"/>
    <w:p>
      <w:pPr>
        <w:pStyle w:val="Heading3"/>
      </w:pPr>
      <w:r>
        <w:t xml:space="preserve">A. Enkel återförsäljare — exempel Comfort</w:t>
      </w:r>
    </w:p>
    <w:p>
      <w:pPr>
        <w:pStyle w:val="Compact"/>
        <w:numPr>
          <w:ilvl w:val="0"/>
          <w:numId w:val="1006"/>
        </w:numPr>
      </w:pPr>
      <w:r>
        <w:t xml:space="preserve">Effira äger kundrelationen och OPTi-abonnemanget.</w:t>
      </w:r>
    </w:p>
    <w:p>
      <w:pPr>
        <w:pStyle w:val="Compact"/>
        <w:numPr>
          <w:ilvl w:val="0"/>
          <w:numId w:val="1006"/>
        </w:numPr>
      </w:pPr>
      <w:r>
        <w:t xml:space="preserve">Återförsäljaren säljer och installerar produkten.</w:t>
      </w:r>
    </w:p>
    <w:p>
      <w:pPr>
        <w:pStyle w:val="Compact"/>
        <w:numPr>
          <w:ilvl w:val="0"/>
          <w:numId w:val="1006"/>
        </w:numPr>
      </w:pPr>
      <w:r>
        <w:t xml:space="preserve">Dashboarden visar när kunden behöver service och när värmepumpen kan behöva bytas.</w:t>
      </w:r>
    </w:p>
    <w:p>
      <w:pPr>
        <w:pStyle w:val="Compact"/>
        <w:numPr>
          <w:ilvl w:val="0"/>
          <w:numId w:val="1006"/>
        </w:numPr>
      </w:pPr>
      <w:r>
        <w:t xml:space="preserve">VPP sker genom ett samarbetande energibolag och VPP-intäkten delas med det bolaget.</w:t>
      </w:r>
    </w:p>
    <w:p>
      <w:pPr>
        <w:pStyle w:val="FirstParagraph"/>
      </w:pPr>
      <w:r>
        <w:rPr>
          <w:b/>
          <w:bCs/>
        </w:rPr>
        <w:t xml:space="preserve">Värde:</w:t>
      </w:r>
      <w:r>
        <w:t xml:space="preserve"> </w:t>
      </w:r>
      <w:r>
        <w:t xml:space="preserve">återförsäljaren får bättre service- och bytesunderlag; Effira behåller kunden och abonnemangsintäkten.</w:t>
      </w:r>
    </w:p>
    <w:bookmarkEnd w:id="17"/>
    <w:bookmarkStart w:id="18" w:name="X718fb222db82b52dd119611e3bc603936bdb613"/>
    <w:p>
      <w:pPr>
        <w:pStyle w:val="Heading3"/>
      </w:pPr>
      <w:r>
        <w:t xml:space="preserve">B. Smart återförsäljare — exempel Climatime</w:t>
      </w:r>
    </w:p>
    <w:p>
      <w:pPr>
        <w:pStyle w:val="Compact"/>
        <w:numPr>
          <w:ilvl w:val="0"/>
          <w:numId w:val="1007"/>
        </w:numPr>
      </w:pPr>
      <w:r>
        <w:t xml:space="preserve">Återförsäljaren äger kundrelationen och den löpande affären.</w:t>
      </w:r>
    </w:p>
    <w:p>
      <w:pPr>
        <w:pStyle w:val="Compact"/>
        <w:numPr>
          <w:ilvl w:val="0"/>
          <w:numId w:val="1007"/>
        </w:numPr>
      </w:pPr>
      <w:r>
        <w:t xml:space="preserve">Återförsäljaren säljer och installerar produkten, exempelvis tillsammans med ett serviceavtal.</w:t>
      </w:r>
    </w:p>
    <w:p>
      <w:pPr>
        <w:pStyle w:val="Compact"/>
        <w:numPr>
          <w:ilvl w:val="0"/>
          <w:numId w:val="1007"/>
        </w:numPr>
      </w:pPr>
      <w:r>
        <w:t xml:space="preserve">Lösningen levereras som</w:t>
      </w:r>
      <w:r>
        <w:t xml:space="preserve"> </w:t>
      </w:r>
      <w:r>
        <w:rPr>
          <w:b/>
          <w:bCs/>
        </w:rPr>
        <w:t xml:space="preserve">white label eller via API</w:t>
      </w:r>
      <w:r>
        <w:t xml:space="preserve"> </w:t>
      </w:r>
      <w:r>
        <w:t xml:space="preserve">och kan ingå i återförsäljarens eget erbjudande.</w:t>
      </w:r>
    </w:p>
    <w:p>
      <w:pPr>
        <w:pStyle w:val="Compact"/>
        <w:numPr>
          <w:ilvl w:val="0"/>
          <w:numId w:val="1007"/>
        </w:numPr>
      </w:pPr>
      <w:r>
        <w:t xml:space="preserve">Återförsäljaren betalar</w:t>
      </w:r>
      <w:r>
        <w:t xml:space="preserve"> </w:t>
      </w:r>
      <w:r>
        <w:rPr>
          <w:b/>
          <w:bCs/>
        </w:rPr>
        <w:t xml:space="preserve">55 kr/mån exkl. moms för Bas (kampanj 45 kr)</w:t>
      </w:r>
      <w:r>
        <w:t xml:space="preserve"> </w:t>
      </w:r>
      <w:r>
        <w:t xml:space="preserve">och</w:t>
      </w:r>
      <w:r>
        <w:t xml:space="preserve"> </w:t>
      </w:r>
      <w:r>
        <w:rPr>
          <w:b/>
          <w:bCs/>
        </w:rPr>
        <w:t xml:space="preserve">75 kr/mån exkl. moms för Premium (kampanj 65 kr)</w:t>
      </w:r>
      <w:r>
        <w:t xml:space="preserve"> </w:t>
      </w:r>
      <w:r>
        <w:t xml:space="preserve">till Effira. Återförsäljaren bestämmer själv hur kostnaden tas ut av kunden.</w:t>
      </w:r>
    </w:p>
    <w:p>
      <w:pPr>
        <w:pStyle w:val="Compact"/>
        <w:numPr>
          <w:ilvl w:val="0"/>
          <w:numId w:val="1007"/>
        </w:numPr>
      </w:pPr>
      <w:r>
        <w:t xml:space="preserve">VPP sker genom ett samarbetande energibolag och VPP-intäkten delas med det bolaget.</w:t>
      </w:r>
    </w:p>
    <w:p>
      <w:pPr>
        <w:pStyle w:val="FirstParagraph"/>
      </w:pPr>
      <w:r>
        <w:rPr>
          <w:b/>
          <w:bCs/>
        </w:rPr>
        <w:t xml:space="preserve">Värde:</w:t>
      </w:r>
      <w:r>
        <w:t xml:space="preserve"> </w:t>
      </w:r>
      <w:r>
        <w:t xml:space="preserve">återförsäljaren får kontinuerlig serviceaffär och kundrelation; Effira levererar teknik och integration.</w:t>
      </w:r>
    </w:p>
    <w:bookmarkEnd w:id="18"/>
    <w:bookmarkStart w:id="19" w:name="c.-energibolag-exempel-tibber"/>
    <w:p>
      <w:pPr>
        <w:pStyle w:val="Heading3"/>
      </w:pPr>
      <w:r>
        <w:t xml:space="preserve">C. Energibolag — exempel Tibber</w:t>
      </w:r>
    </w:p>
    <w:p>
      <w:pPr>
        <w:pStyle w:val="Compact"/>
        <w:numPr>
          <w:ilvl w:val="0"/>
          <w:numId w:val="1008"/>
        </w:numPr>
      </w:pPr>
      <w:r>
        <w:t xml:space="preserve">Energibolaget har normalt faktureringen och äger kundrelationen.</w:t>
      </w:r>
    </w:p>
    <w:p>
      <w:pPr>
        <w:pStyle w:val="Compact"/>
        <w:numPr>
          <w:ilvl w:val="0"/>
          <w:numId w:val="1008"/>
        </w:numPr>
      </w:pPr>
      <w:r>
        <w:t xml:space="preserve">Integrationen sker via</w:t>
      </w:r>
      <w:r>
        <w:t xml:space="preserve"> </w:t>
      </w:r>
      <w:r>
        <w:rPr>
          <w:b/>
          <w:bCs/>
        </w:rPr>
        <w:t xml:space="preserve">API</w:t>
      </w:r>
      <w:r>
        <w:t xml:space="preserve"> </w:t>
      </w:r>
      <w:r>
        <w:t xml:space="preserve">och OPTi blir en del av energibolagets kunderbjudande.</w:t>
      </w:r>
    </w:p>
    <w:p>
      <w:pPr>
        <w:pStyle w:val="Compact"/>
        <w:numPr>
          <w:ilvl w:val="0"/>
          <w:numId w:val="1008"/>
        </w:numPr>
      </w:pPr>
      <w:r>
        <w:t xml:space="preserve">Energibolaget betalar</w:t>
      </w:r>
      <w:r>
        <w:t xml:space="preserve"> </w:t>
      </w:r>
      <w:r>
        <w:rPr>
          <w:b/>
          <w:bCs/>
        </w:rPr>
        <w:t xml:space="preserve">55 kr/mån exkl. moms för Bas (kampanj 45 kr)</w:t>
      </w:r>
      <w:r>
        <w:t xml:space="preserve"> </w:t>
      </w:r>
      <w:r>
        <w:t xml:space="preserve">och</w:t>
      </w:r>
      <w:r>
        <w:t xml:space="preserve"> </w:t>
      </w:r>
      <w:r>
        <w:rPr>
          <w:b/>
          <w:bCs/>
        </w:rPr>
        <w:t xml:space="preserve">75 kr/mån exkl. moms för Premium (kampanj 65 kr)</w:t>
      </w:r>
      <w:r>
        <w:t xml:space="preserve"> </w:t>
      </w:r>
      <w:r>
        <w:t xml:space="preserve">till Effira. Energibolaget bestämmer själv hur kostnaden tas ut av kunden.</w:t>
      </w:r>
    </w:p>
    <w:p>
      <w:pPr>
        <w:pStyle w:val="Compact"/>
        <w:numPr>
          <w:ilvl w:val="0"/>
          <w:numId w:val="1008"/>
        </w:numPr>
      </w:pPr>
      <w:r>
        <w:t xml:space="preserve">VPP sker genom energibolaget och VPP-intäkten delas mellan energibolaget och Effira.</w:t>
      </w:r>
    </w:p>
    <w:p>
      <w:pPr>
        <w:pStyle w:val="Compact"/>
        <w:numPr>
          <w:ilvl w:val="0"/>
          <w:numId w:val="1008"/>
        </w:numPr>
      </w:pPr>
      <w:r>
        <w:t xml:space="preserve">Energibolaget är VPP-partner även när Effira äger slutkunden från en annan försäljningskanal.</w:t>
      </w:r>
    </w:p>
    <w:p>
      <w:pPr>
        <w:pStyle w:val="Compact"/>
        <w:numPr>
          <w:ilvl w:val="0"/>
          <w:numId w:val="1008"/>
        </w:numPr>
      </w:pPr>
      <w:r>
        <w:t xml:space="preserve">Kundavtalet måste ge Effira rätt att styra pumpen och vid behov tillfälligt begränsa driften. Detta gäller i samtliga kanaler, inte bara denna.</w:t>
      </w:r>
    </w:p>
    <w:p>
      <w:pPr>
        <w:pStyle w:val="FirstParagraph"/>
      </w:pPr>
      <w:r>
        <w:rPr>
          <w:b/>
          <w:bCs/>
        </w:rPr>
        <w:t xml:space="preserve">Värde:</w:t>
      </w:r>
      <w:r>
        <w:t xml:space="preserve"> </w:t>
      </w:r>
      <w:r>
        <w:t xml:space="preserve">energibolaget får en smart energitjänst och tillgång till energiaffären; Effira får abonnemangs- och VPP-intäkt.</w:t>
      </w:r>
    </w:p>
    <w:p>
      <w:r>
        <w:pict>
          <v:rect style="width:0;height:1.5pt" o:hralign="center" o:hrstd="t" o:hr="t"/>
        </w:pict>
      </w:r>
    </w:p>
    <w:bookmarkEnd w:id="19"/>
    <w:bookmarkEnd w:id="20"/>
    <w:bookmarkStart w:id="22" w:name="ekonomisk-innebörd"/>
    <w:p>
      <w:pPr>
        <w:pStyle w:val="Heading2"/>
      </w:pPr>
      <w:r>
        <w:t xml:space="preserve">5. Ekonomisk innebörd</w:t>
      </w:r>
    </w:p>
    <w:p>
      <w:pPr>
        <w:pStyle w:val="FirstParagraph"/>
      </w:pPr>
      <w:r>
        <w:rPr>
          <w:b/>
          <w:bCs/>
        </w:rPr>
        <w:t xml:space="preserve">Rekommendation: välj kanal baserat på intäktsmål och skalbarhetsbehov.</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t xml:space="preserve">Kanal</w:t>
            </w:r>
          </w:p>
        </w:tc>
        <w:tc>
          <w:tcPr/>
          <w:p>
            <w:pPr>
              <w:pStyle w:val="Compact"/>
              <w:jc w:val="right"/>
            </w:pPr>
            <w:r>
              <w:t xml:space="preserve">Hårdvara</w:t>
            </w:r>
          </w:p>
        </w:tc>
        <w:tc>
          <w:tcPr/>
          <w:p>
            <w:pPr>
              <w:pStyle w:val="Compact"/>
            </w:pPr>
            <w:r>
              <w:t xml:space="preserve">Löpande intäkt till Effira</w:t>
            </w:r>
          </w:p>
        </w:tc>
        <w:tc>
          <w:tcPr/>
          <w:p>
            <w:pPr>
              <w:pStyle w:val="Compact"/>
            </w:pPr>
            <w:r>
              <w:t xml:space="preserve">VPP-intäkt</w:t>
            </w:r>
          </w:p>
        </w:tc>
        <w:tc>
          <w:tcPr/>
          <w:p>
            <w:pPr>
              <w:pStyle w:val="Compact"/>
            </w:pPr>
            <w:r>
              <w:t xml:space="preserve">Vem äger kundrelationen</w:t>
            </w:r>
          </w:p>
        </w:tc>
      </w:tr>
      <w:tr>
        <w:tc>
          <w:tcPr/>
          <w:p>
            <w:pPr>
              <w:pStyle w:val="Compact"/>
            </w:pPr>
            <w:r>
              <w:t xml:space="preserve">Direkt konsument</w:t>
            </w:r>
          </w:p>
        </w:tc>
        <w:tc>
          <w:tcPr/>
          <w:p>
            <w:pPr>
              <w:pStyle w:val="Compact"/>
              <w:jc w:val="right"/>
            </w:pPr>
            <w:r>
              <w:t xml:space="preserve">3 500 / 2 750 kr inkl. moms</w:t>
            </w:r>
          </w:p>
        </w:tc>
        <w:tc>
          <w:tcPr/>
          <w:p>
            <w:pPr>
              <w:pStyle w:val="Compact"/>
            </w:pPr>
            <w:r>
              <w:t xml:space="preserve">69/129 kr/mån (kamp. 59/99) inkl. moms</w:t>
            </w:r>
          </w:p>
        </w:tc>
        <w:tc>
          <w:tcPr/>
          <w:p>
            <w:pPr>
              <w:pStyle w:val="Compact"/>
            </w:pPr>
            <w:r>
              <w:t xml:space="preserve">Ja, delas med energibolag</w:t>
            </w:r>
          </w:p>
        </w:tc>
        <w:tc>
          <w:tcPr/>
          <w:p>
            <w:pPr>
              <w:pStyle w:val="Compact"/>
            </w:pPr>
            <w:r>
              <w:t xml:space="preserve">Effira</w:t>
            </w:r>
          </w:p>
        </w:tc>
      </w:tr>
      <w:tr>
        <w:tc>
          <w:tcPr/>
          <w:p>
            <w:pPr>
              <w:pStyle w:val="Compact"/>
            </w:pPr>
            <w:r>
              <w:t xml:space="preserve">Enkel återförsäljare</w:t>
            </w:r>
          </w:p>
        </w:tc>
        <w:tc>
          <w:tcPr/>
          <w:p>
            <w:pPr>
              <w:pStyle w:val="Compact"/>
              <w:jc w:val="right"/>
            </w:pPr>
            <w:r>
              <w:t xml:space="preserve">2 000 kr exkl. moms</w:t>
            </w:r>
          </w:p>
        </w:tc>
        <w:tc>
          <w:tcPr/>
          <w:p>
            <w:pPr>
              <w:pStyle w:val="Compact"/>
            </w:pPr>
            <w:r>
              <w:t xml:space="preserve">69/129 kr/mån (kamp. 59/99) inkl. moms</w:t>
            </w:r>
          </w:p>
        </w:tc>
        <w:tc>
          <w:tcPr/>
          <w:p>
            <w:pPr>
              <w:pStyle w:val="Compact"/>
            </w:pPr>
            <w:r>
              <w:t xml:space="preserve">Ja, delas med energibolag</w:t>
            </w:r>
          </w:p>
        </w:tc>
        <w:tc>
          <w:tcPr/>
          <w:p>
            <w:pPr>
              <w:pStyle w:val="Compact"/>
            </w:pPr>
            <w:r>
              <w:t xml:space="preserve">Effira</w:t>
            </w:r>
          </w:p>
        </w:tc>
      </w:tr>
      <w:tr>
        <w:tc>
          <w:tcPr/>
          <w:p>
            <w:pPr>
              <w:pStyle w:val="Compact"/>
            </w:pPr>
            <w:r>
              <w:t xml:space="preserve">Smart återförsäljare</w:t>
            </w:r>
          </w:p>
        </w:tc>
        <w:tc>
          <w:tcPr/>
          <w:p>
            <w:pPr>
              <w:pStyle w:val="Compact"/>
              <w:jc w:val="right"/>
            </w:pPr>
            <w:r>
              <w:t xml:space="preserve">2 000 kr exkl. moms</w:t>
            </w:r>
          </w:p>
        </w:tc>
        <w:tc>
          <w:tcPr/>
          <w:p>
            <w:pPr>
              <w:pStyle w:val="Compact"/>
            </w:pPr>
            <w:r>
              <w:t xml:space="preserve">55/75 kr/mån (kamp. 45/65) exkl. moms</w:t>
            </w:r>
          </w:p>
        </w:tc>
        <w:tc>
          <w:tcPr/>
          <w:p>
            <w:pPr>
              <w:pStyle w:val="Compact"/>
            </w:pPr>
            <w:r>
              <w:t xml:space="preserve">Ja, delas med energibolag</w:t>
            </w:r>
          </w:p>
        </w:tc>
        <w:tc>
          <w:tcPr/>
          <w:p>
            <w:pPr>
              <w:pStyle w:val="Compact"/>
            </w:pPr>
            <w:r>
              <w:t xml:space="preserve">Återförsäljare</w:t>
            </w:r>
          </w:p>
        </w:tc>
      </w:tr>
      <w:tr>
        <w:tc>
          <w:tcPr/>
          <w:p>
            <w:pPr>
              <w:pStyle w:val="Compact"/>
            </w:pPr>
            <w:r>
              <w:t xml:space="preserve">Energibolag</w:t>
            </w:r>
          </w:p>
        </w:tc>
        <w:tc>
          <w:tcPr/>
          <w:p>
            <w:pPr>
              <w:pStyle w:val="Compact"/>
              <w:jc w:val="right"/>
            </w:pPr>
            <w:r>
              <w:t xml:space="preserve">2 000 kr exkl. moms</w:t>
            </w:r>
          </w:p>
        </w:tc>
        <w:tc>
          <w:tcPr/>
          <w:p>
            <w:pPr>
              <w:pStyle w:val="Compact"/>
            </w:pPr>
            <w:r>
              <w:t xml:space="preserve">55/75 kr/mån (kamp. 45/65) exkl. moms</w:t>
            </w:r>
          </w:p>
        </w:tc>
        <w:tc>
          <w:tcPr/>
          <w:p>
            <w:pPr>
              <w:pStyle w:val="Compact"/>
            </w:pPr>
            <w:r>
              <w:t xml:space="preserve">Ja, delas med energibolag</w:t>
            </w:r>
          </w:p>
        </w:tc>
        <w:tc>
          <w:tcPr/>
          <w:p>
            <w:pPr>
              <w:pStyle w:val="Compact"/>
            </w:pPr>
            <w:r>
              <w:t xml:space="preserve">Energibolag</w:t>
            </w:r>
          </w:p>
        </w:tc>
      </w:tr>
    </w:tbl>
    <w:p>
      <w:pPr>
        <w:pStyle w:val="BodyText"/>
      </w:pPr>
      <w:r>
        <w:t xml:space="preserve">Observera att konsumentpriserna är inkl. moms och partnerpriserna exkl. moms. Premium 99 kr inkl. moms (kampanj) motsvarar 79,20 kr exkl. moms, vilket vid 65 kr (kampanj) till Effira lämnar 14,20 kr till partnern. Vid ordinarie pris 129 kr inkl. moms (103,20 kr exkl.) och 75 kr till Effira blir utrymmet 28,20 kr. Bas 59 kr inkl. moms (kampanj) motsvarar 47,20 kr exkl. moms, vilket vid 45 kr (kampanj) till Effira lämnar 2,20 kr till partnern. Vid ordinarie pris 69 kr inkl. moms (55,20 kr exkl.) och 55 kr till Effira blir utrymmet 0,20 kr.</w:t>
      </w:r>
    </w:p>
    <w:bookmarkStart w:id="21" w:name="vpp-är-oberoende-av-kanal"/>
    <w:p>
      <w:pPr>
        <w:pStyle w:val="Heading3"/>
      </w:pPr>
      <w:r>
        <w:t xml:space="preserve">VPP är oberoende av kanal</w:t>
      </w:r>
    </w:p>
    <w:p>
      <w:pPr>
        <w:pStyle w:val="FirstParagraph"/>
      </w:pPr>
      <w:r>
        <w:rPr>
          <w:b/>
          <w:bCs/>
        </w:rPr>
        <w:t xml:space="preserve">VPP-intäkt kan realiseras i samtliga kanaler.</w:t>
      </w:r>
      <w:r>
        <w:t xml:space="preserve"> </w:t>
      </w:r>
      <w:r>
        <w:t xml:space="preserve">Den är alltså inte kopplad till vem som säljer eller äger kundrelationen.</w:t>
      </w:r>
    </w:p>
    <w:p>
      <w:pPr>
        <w:pStyle w:val="BodyText"/>
      </w:pPr>
      <w:r>
        <w:t xml:space="preserve">Däremot gäller en förutsättning utan undantag:</w:t>
      </w:r>
      <w:r>
        <w:t xml:space="preserve"> </w:t>
      </w:r>
      <w:r>
        <w:rPr>
          <w:b/>
          <w:bCs/>
        </w:rPr>
        <w:t xml:space="preserve">VPP kräver alltid ett samarbete med ett energibolag, och intäkten delas alltid med det energibolaget.</w:t>
      </w:r>
      <w:r>
        <w:t xml:space="preserve"> </w:t>
      </w:r>
      <w:r>
        <w:t xml:space="preserve">Effira kan inte nå balansmarknaden på egen hand — det är energibolaget som har tillträdet.</w:t>
      </w:r>
    </w:p>
    <w:p>
      <w:pPr>
        <w:pStyle w:val="BodyText"/>
      </w:pPr>
      <w:r>
        <w:t xml:space="preserve">Praktiska konsekvenser:</w:t>
      </w:r>
    </w:p>
    <w:p>
      <w:pPr>
        <w:pStyle w:val="Compact"/>
        <w:numPr>
          <w:ilvl w:val="0"/>
          <w:numId w:val="1009"/>
        </w:numPr>
      </w:pPr>
      <w:r>
        <w:t xml:space="preserve">VPP är en</w:t>
      </w:r>
      <w:r>
        <w:t xml:space="preserve"> </w:t>
      </w:r>
      <w:r>
        <w:rPr>
          <w:b/>
          <w:bCs/>
        </w:rPr>
        <w:t xml:space="preserve">andra intäktsström ovanpå abonnemanget</w:t>
      </w:r>
      <w:r>
        <w:t xml:space="preserve"> </w:t>
      </w:r>
      <w:r>
        <w:t xml:space="preserve">i alla fyra kanaler, inte något som utmärker energibolagskanalen.</w:t>
      </w:r>
    </w:p>
    <w:p>
      <w:pPr>
        <w:pStyle w:val="Compact"/>
        <w:numPr>
          <w:ilvl w:val="0"/>
          <w:numId w:val="1009"/>
        </w:numPr>
      </w:pPr>
      <w:r>
        <w:t xml:space="preserve">Även när Effira äger slutkunden via direktförsäljning eller återförsäljare behövs ett energibolag som VPP-partner.</w:t>
      </w:r>
    </w:p>
    <w:p>
      <w:pPr>
        <w:pStyle w:val="Compact"/>
        <w:numPr>
          <w:ilvl w:val="0"/>
          <w:numId w:val="1009"/>
        </w:numPr>
      </w:pPr>
      <w:r>
        <w:t xml:space="preserve">Kundavtalet måste i</w:t>
      </w:r>
      <w:r>
        <w:t xml:space="preserve"> </w:t>
      </w:r>
      <w:r>
        <w:rPr>
          <w:b/>
          <w:bCs/>
        </w:rPr>
        <w:t xml:space="preserve">samtliga kanaler</w:t>
      </w:r>
      <w:r>
        <w:t xml:space="preserve"> </w:t>
      </w:r>
      <w:r>
        <w:t xml:space="preserve">ge Effira rätt att styra pumpen och vid behov tillfälligt begränsa driften. Utan den rätten går VPP inte att realisera.</w:t>
      </w:r>
    </w:p>
    <w:p>
      <w:pPr>
        <w:pStyle w:val="Compact"/>
        <w:numPr>
          <w:ilvl w:val="0"/>
          <w:numId w:val="1009"/>
        </w:numPr>
      </w:pPr>
      <w:r>
        <w:t xml:space="preserve">Det som skiljer kanalerna åt är den fasta abonnemangsintäkten och vem som äger kundrelationen — inte tillgången till VPP.</w:t>
      </w:r>
    </w:p>
    <w:p>
      <w:pPr>
        <w:pStyle w:val="FirstParagraph"/>
      </w:pPr>
      <w:r>
        <w:rPr>
          <w:b/>
          <w:bCs/>
        </w:rPr>
        <w:t xml:space="preserve">Trade-offs:</w:t>
      </w:r>
    </w:p>
    <w:p>
      <w:pPr>
        <w:pStyle w:val="Compact"/>
        <w:numPr>
          <w:ilvl w:val="0"/>
          <w:numId w:val="1010"/>
        </w:numPr>
      </w:pPr>
      <w:r>
        <w:rPr>
          <w:b/>
          <w:bCs/>
        </w:rPr>
        <w:t xml:space="preserve">Direkt konsument:</w:t>
      </w:r>
      <w:r>
        <w:t xml:space="preserve"> </w:t>
      </w:r>
      <w:r>
        <w:t xml:space="preserve">högst abonnemangsintäkt per kund, men högst försäljningskostnad och långsammast skalning.</w:t>
      </w:r>
    </w:p>
    <w:p>
      <w:pPr>
        <w:pStyle w:val="Compact"/>
        <w:numPr>
          <w:ilvl w:val="0"/>
          <w:numId w:val="1010"/>
        </w:numPr>
      </w:pPr>
      <w:r>
        <w:rPr>
          <w:b/>
          <w:bCs/>
        </w:rPr>
        <w:t xml:space="preserve">Enkel återförsäljare:</w:t>
      </w:r>
      <w:r>
        <w:t xml:space="preserve"> </w:t>
      </w:r>
      <w:r>
        <w:t xml:space="preserve">hög abonnemangsintäkt per kund, lägre försäljningskostnad, men Effira ansvarar för kundrelation.</w:t>
      </w:r>
    </w:p>
    <w:p>
      <w:pPr>
        <w:pStyle w:val="Compact"/>
        <w:numPr>
          <w:ilvl w:val="0"/>
          <w:numId w:val="1010"/>
        </w:numPr>
      </w:pPr>
      <w:r>
        <w:rPr>
          <w:b/>
          <w:bCs/>
        </w:rPr>
        <w:t xml:space="preserve">Smart återförsäljare:</w:t>
      </w:r>
      <w:r>
        <w:t xml:space="preserve"> </w:t>
      </w:r>
      <w:r>
        <w:t xml:space="preserve">lägre fast intäkt per kund, men återförsäljaren driver skalning och äger serviceaffären.</w:t>
      </w:r>
    </w:p>
    <w:p>
      <w:pPr>
        <w:pStyle w:val="Compact"/>
        <w:numPr>
          <w:ilvl w:val="0"/>
          <w:numId w:val="1010"/>
        </w:numPr>
      </w:pPr>
      <w:r>
        <w:rPr>
          <w:b/>
          <w:bCs/>
        </w:rPr>
        <w:t xml:space="preserve">Energibolag:</w:t>
      </w:r>
      <w:r>
        <w:t xml:space="preserve"> </w:t>
      </w:r>
      <w:r>
        <w:t xml:space="preserve">lägst fast intäkt per kund, men snabbast väg till volym och till den VPP-kapacitet som krävs för att balansaffären ska bli meningsfull.</w:t>
      </w:r>
    </w:p>
    <w:p>
      <w:r>
        <w:pict>
          <v:rect style="width:0;height:1.5pt" o:hralign="center" o:hrstd="t" o:hr="t"/>
        </w:pict>
      </w:r>
    </w:p>
    <w:bookmarkEnd w:id="21"/>
    <w:bookmarkEnd w:id="22"/>
    <w:bookmarkStart w:id="23" w:name="beslut-vi-söker"/>
    <w:p>
      <w:pPr>
        <w:pStyle w:val="Heading2"/>
      </w:pPr>
      <w:r>
        <w:t xml:space="preserve">Beslut vi söker</w:t>
      </w:r>
    </w:p>
    <w:p>
      <w:pPr>
        <w:pStyle w:val="Compact"/>
        <w:numPr>
          <w:ilvl w:val="0"/>
          <w:numId w:val="1011"/>
        </w:numPr>
      </w:pPr>
      <w:r>
        <w:t xml:space="preserve">Godkänna hårdvarupriserna per kanal.</w:t>
      </w:r>
    </w:p>
    <w:p>
      <w:pPr>
        <w:pStyle w:val="Compact"/>
        <w:numPr>
          <w:ilvl w:val="0"/>
          <w:numId w:val="1011"/>
        </w:numPr>
      </w:pPr>
      <w:r>
        <w:t xml:space="preserve">Godkänna konsumentpriserna: Bas 69 kr/mån (kampanj 59 kr), Premium 129 kr/mån (kampanj 99 kr) inkl. moms.</w:t>
      </w:r>
    </w:p>
    <w:p>
      <w:pPr>
        <w:pStyle w:val="Compact"/>
        <w:numPr>
          <w:ilvl w:val="0"/>
          <w:numId w:val="1011"/>
        </w:numPr>
      </w:pPr>
      <w:r>
        <w:t xml:space="preserve">Godkänna de tre kanalmodellerna: enkel återförsäljare, smart återförsäljare och energibolag.</w:t>
      </w:r>
    </w:p>
    <w:p>
      <w:pPr>
        <w:pStyle w:val="Compact"/>
        <w:numPr>
          <w:ilvl w:val="0"/>
          <w:numId w:val="1011"/>
        </w:numPr>
      </w:pPr>
      <w:r>
        <w:t xml:space="preserve">Godkänna partnerpriserna: Bas 55 kr/mån (kampanj 45 kr), Premium 75 kr/mån (kampanj 65 kr) exkl. moms.</w:t>
      </w:r>
    </w:p>
    <w:p>
      <w:pPr>
        <w:pStyle w:val="Compact"/>
        <w:numPr>
          <w:ilvl w:val="0"/>
          <w:numId w:val="1011"/>
        </w:numPr>
      </w:pPr>
      <w:r>
        <w:t xml:space="preserve">Godkänna att VPP drivs oberoende av kanal, alltid i samarbete med energibolag.</w:t>
      </w:r>
    </w:p>
    <w:p>
      <w:pPr>
        <w:pStyle w:val="Compact"/>
        <w:numPr>
          <w:ilvl w:val="0"/>
          <w:numId w:val="1011"/>
        </w:numPr>
      </w:pPr>
      <w:r>
        <w:t xml:space="preserve">Godkänna att besparingsgarantin avvecklas. Dock vill styrelsen se något som ersätter funktionen som besparingsgarantin var tänkt att ha — dvs något som ger trygghet och garanti för att köpet är bra.</w:t>
      </w:r>
    </w:p>
    <w:p>
      <w:r>
        <w:pict>
          <v:rect style="width:0;height:1.5pt" o:hralign="center" o:hrstd="t" o:hr="t"/>
        </w:pict>
      </w:r>
    </w:p>
    <w:bookmarkEnd w:id="23"/>
    <w:bookmarkStart w:id="24" w:name="protokollsuppgifter"/>
    <w:p>
      <w:pPr>
        <w:pStyle w:val="Heading2"/>
      </w:pPr>
      <w:r>
        <w:t xml:space="preserve">Protokollsuppgifter</w:t>
      </w:r>
    </w:p>
    <w:p>
      <w:pPr>
        <w:pStyle w:val="FirstParagraph"/>
      </w:pPr>
      <w:r>
        <w:rPr>
          <w:b/>
          <w:bCs/>
        </w:rPr>
        <w:t xml:space="preserve">Datum:</w:t>
      </w:r>
      <w:r>
        <w:t xml:space="preserve"> </w:t>
      </w:r>
      <w:r>
        <w:t xml:space="preserve">2026-08-27</w:t>
      </w:r>
    </w:p>
    <w:p>
      <w:pPr>
        <w:pStyle w:val="BodyText"/>
      </w:pPr>
      <w:r>
        <w:rPr>
          <w:b/>
          <w:bCs/>
        </w:rPr>
        <w:t xml:space="preserve">Plats:</w:t>
      </w:r>
    </w:p>
    <w:p>
      <w:pPr>
        <w:pStyle w:val="BodyText"/>
      </w:pPr>
      <w:r>
        <w:rPr>
          <w:b/>
          <w:bCs/>
        </w:rPr>
        <w:t xml:space="preserve">Närvarande styrelseledamöter:</w:t>
      </w:r>
    </w:p>
    <w:p>
      <w:pPr>
        <w:pStyle w:val="FirstParagraph"/>
      </w:pPr>
      <w:r>
        <w:rPr>
          <w:b/>
          <w:bCs/>
        </w:rPr>
        <w:t xml:space="preserve">Övriga närvarande:</w:t>
      </w:r>
    </w:p>
    <w:p>
      <w:r>
        <w:pict>
          <v:rect style="width:0;height:1.5pt" o:hralign="center" o:hrstd="t" o:hr="t"/>
        </w:pict>
      </w:r>
    </w:p>
    <w:bookmarkEnd w:id="24"/>
    <w:bookmarkStart w:id="25" w:name="underskrifter"/>
    <w:p>
      <w:pPr>
        <w:pStyle w:val="Heading2"/>
      </w:pPr>
      <w:r>
        <w:t xml:space="preserve">Underskrifter</w:t>
      </w:r>
    </w:p>
    <w:p>
      <w:pPr>
        <w:pStyle w:val="FirstParagraph"/>
      </w:pPr>
      <w:r>
        <w:t xml:space="preserve">Vid protokollet:</w:t>
      </w:r>
    </w:p>
    <w:p>
      <w:r>
        <w:pict>
          <v:rect style="width:0;height:1.5pt" o:hralign="center" o:hrstd="t" o:hr="t"/>
        </w:pict>
      </w:r>
    </w:p>
    <w:p>
      <w:pPr>
        <w:pStyle w:val="FirstParagraph"/>
      </w:pPr>
      <w:r>
        <w:rPr>
          <w:b/>
          <w:bCs/>
        </w:rPr>
        <w:t xml:space="preserve">Sekreterare</w:t>
      </w:r>
    </w:p>
    <w:p>
      <w:pPr>
        <w:pStyle w:val="BodyText"/>
      </w:pPr>
      <w:r>
        <w:t xml:space="preserve">Justerande:</w:t>
      </w:r>
    </w:p>
    <w:p>
      <w:r>
        <w:pict>
          <v:rect style="width:0;height:1.5pt" o:hralign="center" o:hrstd="t" o:hr="t"/>
        </w:pict>
      </w:r>
    </w:p>
    <w:p>
      <w:pPr>
        <w:pStyle w:val="FirstParagraph"/>
      </w:pPr>
      <w:r>
        <w:rPr>
          <w:b/>
          <w:bCs/>
        </w:rPr>
        <w:t xml:space="preserve">Styrelsens ordförande</w:t>
      </w:r>
    </w:p>
    <w:p>
      <w:r>
        <w:pict>
          <v:rect style="width:0;height:1.5pt" o:hralign="center" o:hrstd="t" o:hr="t"/>
        </w:pict>
      </w:r>
    </w:p>
    <w:p>
      <w:pPr>
        <w:pStyle w:val="FirstParagraph"/>
      </w:pPr>
      <w:r>
        <w:rPr>
          <w:b/>
          <w:bCs/>
        </w:rPr>
        <w:t xml:space="preserve">Styrelseledamot</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2026-08-27T20:35:19Z</dcterms:created>
  <dcterms:modified xsi:type="dcterms:W3CDTF">2026-08-27T20:35:19Z</dcterms:modified>
</cp:coreProperties>
</file>

<file path=docProps/custom.xml><?xml version="1.0" encoding="utf-8"?>
<Properties xmlns="http://schemas.openxmlformats.org/officeDocument/2006/custom-properties" xmlns:vt="http://schemas.openxmlformats.org/officeDocument/2006/docPropsVTypes"/>
</file>