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Outline Brief</w:t>
      </w:r>
    </w:p>
    <w:p>
      <w:r>
        <w:rPr>
          <w:b/>
          <w:sz w:val="26"/>
        </w:rPr>
        <w:t>Beyond the Honeymoon: OpenTelemetry in Practice — 3-hour hands-on training</w:t>
      </w:r>
    </w:p>
    <w:p>
      <w:r>
        <w:t>Dynatrace Perform 2026 (Hotday) · Prepared for board review</w:t>
      </w:r>
    </w:p>
    <w:p>
      <w:r>
        <w:rPr>
          <w:b/>
        </w:rPr>
        <w:t xml:space="preserve">Owners: </w:t>
      </w:r>
      <w:r>
        <w:t>Henrik Rexed, Adam (co-facilitators)</w:t>
        <w:br/>
      </w:r>
      <w:r>
        <w:rPr>
          <w:b/>
        </w:rPr>
        <w:t xml:space="preserve">Issue: </w:t>
      </w:r>
      <w:r>
        <w:t xml:space="preserve">ISI-4025    </w:t>
      </w:r>
      <w:r>
        <w:rPr>
          <w:b/>
        </w:rPr>
        <w:t xml:space="preserve">Date: </w:t>
      </w:r>
      <w:r>
        <w:t>2026-09-15</w:t>
        <w:br/>
      </w:r>
      <w:r>
        <w:rPr>
          <w:b/>
        </w:rPr>
        <w:t xml:space="preserve">Status: </w:t>
      </w:r>
      <w:r>
        <w:t>structure approved internally (Henrik + Adam); one board decision pending (§5)</w:t>
      </w:r>
    </w:p>
    <w:p>
      <w:pPr>
        <w:pStyle w:val="Heading1"/>
      </w:pPr>
      <w:r>
        <w:t>1. One-line summary</w:t>
      </w:r>
    </w:p>
    <w:p>
      <w:r>
        <w:t>A 3-hour, hands-on Perform lab where attendees take a deliberately broken microservices application (the Vegas Casino from the open-source Perform-Hackathon-2026) from broken telemetry to a production-grade OpenTelemetry pipeline — SDK config first, collector second — with every fix landing live in Dynatrace.</w:t>
      </w:r>
    </w:p>
    <w:p>
      <w:pPr>
        <w:pStyle w:val="Heading1"/>
      </w:pPr>
      <w:r>
        <w:t>2. Why this session (value to Dynatrace &amp; Perform)</w:t>
      </w:r>
    </w:p>
    <w:p>
      <w:pPr>
        <w:pStyle w:val="ListBullet"/>
      </w:pPr>
      <w:r>
        <w:t>Positions Dynatrace as the OpenTelemetry authority — vendor-neutral OTel done right, with Dynatrace as the destination that just works. Strongest proof point for our "open by default" story.</w:t>
      </w:r>
    </w:p>
    <w:p>
      <w:pPr>
        <w:pStyle w:val="ListBullet"/>
      </w:pPr>
      <w:r>
        <w:t>Meets the audience where the pain is: config sprawl, runaway cost, dropped traces. Sells the operational maturity they lack — and BindPlane + Dynatrace as the answer.</w:t>
      </w:r>
    </w:p>
    <w:p>
      <w:pPr>
        <w:pStyle w:val="ListBullet"/>
      </w:pPr>
      <w:r>
        <w:t>Reusable asset: built on the upcoming book "Beyond the Honeymoon: OTel at Enterprise Scale" and a public GitHub app; the lab lives on as enablement content after Perform.</w:t>
      </w:r>
    </w:p>
    <w:p>
      <w:pPr>
        <w:pStyle w:val="ListBullet"/>
      </w:pPr>
      <w:r>
        <w:t>Grounded in real facilitators’ field experience, not slideware.</w:t>
      </w:r>
    </w:p>
    <w:p>
      <w:pPr>
        <w:pStyle w:val="Heading1"/>
      </w:pPr>
      <w:r>
        <w:t>3. Format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180 min, instructor-led hands-on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4320"/>
          </w:tcPr>
          <w:p>
            <w:r>
              <w:t>Intermediate — attendees own (or are about to own) OTel across a fleet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Environment</w:t>
            </w:r>
          </w:p>
        </w:tc>
        <w:tc>
          <w:tcPr>
            <w:tcW w:type="dxa" w:w="4320"/>
          </w:tcPr>
          <w:p>
            <w:r>
              <w:t>GitHub Codespace — kind cluster, casino app, Dynatrace tenant, BindPlane. No local setup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Attendee brings</w:t>
            </w:r>
          </w:p>
        </w:tc>
        <w:tc>
          <w:tcPr>
            <w:tcW w:type="dxa" w:w="4320"/>
          </w:tcPr>
          <w:p>
            <w:r>
              <w:t>Laptop + GitHub account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Application</w:t>
            </w:r>
          </w:p>
        </w:tc>
        <w:tc>
          <w:tcPr>
            <w:tcW w:type="dxa" w:w="4320"/>
          </w:tcPr>
          <w:p>
            <w:r>
              <w:t>Vegas Casino (Perform-Hackathon-2026) — decision settled with Adam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Core tools</w:t>
            </w:r>
          </w:p>
        </w:tc>
        <w:tc>
          <w:tcPr>
            <w:tcW w:type="dxa" w:w="4320"/>
          </w:tcPr>
          <w:p>
            <w:r>
              <w:t>OTel SDK declarative config (otel-config.yaml), BindPlane (collector fleet), Dynatrace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Staffing</w:t>
            </w:r>
          </w:p>
        </w:tc>
        <w:tc>
          <w:tcPr>
            <w:tcW w:type="dxa" w:w="4320"/>
          </w:tcPr>
          <w:p>
            <w:r>
              <w:t>1 lead + 2 floating assistants per ~40 attendees</w:t>
            </w:r>
          </w:p>
        </w:tc>
      </w:tr>
    </w:tbl>
    <w:p>
      <w:pPr>
        <w:pStyle w:val="Heading1"/>
      </w:pPr>
      <w:r>
        <w:t>4. Outline — baseline session (no attendee AI licenses required)</w:t>
      </w:r>
    </w:p>
    <w:p>
      <w:r>
        <w:t>The casino ships broken on purpose. Attendees diagnose, fix, and operate it in five moves, each ending with a visible win in Dynatrace.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they do</w:t>
            </w:r>
          </w:p>
        </w:tc>
      </w:tr>
      <w:tr>
        <w:tc>
          <w:tcPr>
            <w:tcW w:type="dxa" w:w="2880"/>
          </w:tcPr>
          <w:p>
            <w:r>
              <w:t>0:00–0:15</w:t>
            </w:r>
          </w:p>
        </w:tc>
        <w:tc>
          <w:tcPr>
            <w:tcW w:type="dxa" w:w="2880"/>
          </w:tcPr>
          <w:p>
            <w:r>
              <w:t>M0 — The Honeymoon Problem</w:t>
            </w:r>
          </w:p>
        </w:tc>
        <w:tc>
          <w:tcPr>
            <w:tcW w:type="dxa" w:w="2880"/>
          </w:tcPr>
          <w:p>
            <w:r>
              <w:t>Framing + Codespace/env check</w:t>
            </w:r>
          </w:p>
        </w:tc>
      </w:tr>
      <w:tr>
        <w:tc>
          <w:tcPr>
            <w:tcW w:type="dxa" w:w="2880"/>
          </w:tcPr>
          <w:p>
            <w:r>
              <w:t>0:15–0:45</w:t>
            </w:r>
          </w:p>
        </w:tc>
        <w:tc>
          <w:tcPr>
            <w:tcW w:type="dxa" w:w="2880"/>
          </w:tcPr>
          <w:p>
            <w:r>
              <w:t>M1 — Tour the broken casino</w:t>
            </w:r>
          </w:p>
        </w:tc>
        <w:tc>
          <w:tcPr>
            <w:tcW w:type="dxa" w:w="2880"/>
          </w:tcPr>
          <w:p>
            <w:r>
              <w:t>OTel core principles; hunt planted defects (broken propagation, unknown_service, missing logs)</w:t>
            </w:r>
          </w:p>
        </w:tc>
      </w:tr>
      <w:tr>
        <w:tc>
          <w:tcPr>
            <w:tcW w:type="dxa" w:w="2880"/>
          </w:tcPr>
          <w:p>
            <w:r>
              <w:t>0:45–1:15</w:t>
            </w:r>
          </w:p>
        </w:tc>
        <w:tc>
          <w:tcPr>
            <w:tcW w:type="dxa" w:w="2880"/>
          </w:tcPr>
          <w:p>
            <w:r>
              <w:t>M2 — SDK config by file</w:t>
            </w:r>
          </w:p>
        </w:tc>
        <w:tc>
          <w:tcPr>
            <w:tcW w:type="dxa" w:w="2880"/>
          </w:tcPr>
          <w:p>
            <w:r>
              <w:t>Fix declarative otel-config.yaml: resource, propagators, samplers, batch, OTLP exporters</w:t>
            </w:r>
          </w:p>
        </w:tc>
      </w:tr>
      <w:tr>
        <w:tc>
          <w:tcPr>
            <w:tcW w:type="dxa" w:w="2880"/>
          </w:tcPr>
          <w:p>
            <w:r>
              <w:t>1:15–1:25</w:t>
            </w:r>
          </w:p>
        </w:tc>
        <w:tc>
          <w:tcPr>
            <w:tcW w:type="dxa" w:w="2880"/>
          </w:tcPr>
          <w:p>
            <w:r>
              <w:t>Break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1:25–2:05</w:t>
            </w:r>
          </w:p>
        </w:tc>
        <w:tc>
          <w:tcPr>
            <w:tcW w:type="dxa" w:w="2880"/>
          </w:tcPr>
          <w:p>
            <w:r>
              <w:t>M3 — Collector as control point (BindPlane)</w:t>
            </w:r>
          </w:p>
        </w:tc>
        <w:tc>
          <w:tcPr>
            <w:tcW w:type="dxa" w:w="2880"/>
          </w:tcPr>
          <w:p>
            <w:r>
              <w:t>Fix processor order + memory_limiter, add routing/enrichment, staged rollout — centerpiece</w:t>
            </w:r>
          </w:p>
        </w:tc>
      </w:tr>
      <w:tr>
        <w:tc>
          <w:tcPr>
            <w:tcW w:type="dxa" w:w="2880"/>
          </w:tcPr>
          <w:p>
            <w:r>
              <w:t>2:05–2:35</w:t>
            </w:r>
          </w:p>
        </w:tc>
        <w:tc>
          <w:tcPr>
            <w:tcW w:type="dxa" w:w="2880"/>
          </w:tcPr>
          <w:p>
            <w:r>
              <w:t>M4 — Sampling as a strategy</w:t>
            </w:r>
          </w:p>
        </w:tc>
        <w:tc>
          <w:tcPr>
            <w:tcW w:type="dxa" w:w="2880"/>
          </w:tcPr>
          <w:p>
            <w:r>
              <w:t>Head vs. tail sampling, spanmetrics; defend the cost/fidelity trade-off</w:t>
            </w:r>
          </w:p>
        </w:tc>
      </w:tr>
      <w:tr>
        <w:tc>
          <w:tcPr>
            <w:tcW w:type="dxa" w:w="2880"/>
          </w:tcPr>
          <w:p>
            <w:r>
              <w:t>2:35–3:00</w:t>
            </w:r>
          </w:p>
        </w:tc>
        <w:tc>
          <w:tcPr>
            <w:tcW w:type="dxa" w:w="2880"/>
          </w:tcPr>
          <w:p>
            <w:r>
              <w:t>M5 — Operate at scale + readiness checklist</w:t>
            </w:r>
          </w:p>
        </w:tc>
        <w:tc>
          <w:tcPr>
            <w:tcW w:type="dxa" w:w="2880"/>
          </w:tcPr>
          <w:p>
            <w:r>
              <w:t>Fleet ops, config safety, Q&amp;A</w:t>
            </w:r>
          </w:p>
        </w:tc>
      </w:tr>
    </w:tbl>
    <w:p>
      <w:r>
        <w:t>Takeaways: attendees leave with the lab repo, working configs they wrote themselves, and a mental model of what "production-grade OTel" actually means.</w:t>
      </w:r>
    </w:p>
    <w:p>
      <w:pPr>
        <w:pStyle w:val="Heading1"/>
      </w:pPr>
      <w:r>
        <w:t>5. Board decision — AI agents for attendees (Copilot licenses)</w:t>
      </w:r>
    </w:p>
    <w:p>
      <w:r>
        <w:t>This is the open question the board is asked to weigh in on. Securing GitHub Copilot (or equivalent AI-agent) licenses for attendees during the session changes what we can deliver.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Baseline (no licenses)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AI-augmented (with licenses)</w:t>
            </w:r>
          </w:p>
        </w:tc>
      </w:tr>
      <w:tr>
        <w:tc>
          <w:tcPr>
            <w:tcW w:type="dxa" w:w="2880"/>
          </w:tcPr>
          <w:p>
            <w:r>
              <w:t>Scope</w:t>
            </w:r>
          </w:p>
        </w:tc>
        <w:tc>
          <w:tcPr>
            <w:tcW w:type="dxa" w:w="2880"/>
          </w:tcPr>
          <w:p>
            <w:r>
              <w:t>5 modules, guided fixes</w:t>
            </w:r>
          </w:p>
        </w:tc>
        <w:tc>
          <w:tcPr>
            <w:tcW w:type="dxa" w:w="2880"/>
          </w:tcPr>
          <w:p>
            <w:r>
              <w:t>Same spine + deeper, open-ended labs</w:t>
            </w:r>
          </w:p>
        </w:tc>
      </w:tr>
      <w:tr>
        <w:tc>
          <w:tcPr>
            <w:tcW w:type="dxa" w:w="2880"/>
          </w:tcPr>
          <w:p>
            <w:r>
              <w:t>Complexity</w:t>
            </w:r>
          </w:p>
        </w:tc>
        <w:tc>
          <w:tcPr>
            <w:tcW w:type="dxa" w:w="2880"/>
          </w:tcPr>
          <w:p>
            <w:r>
              <w:t>Facilitator-paced, uniform</w:t>
            </w:r>
          </w:p>
        </w:tc>
        <w:tc>
          <w:tcPr>
            <w:tcW w:type="dxa" w:w="2880"/>
          </w:tcPr>
          <w:p>
            <w:r>
              <w:t>Attendees use AI agents to reason about config, generate/repair YAML, explore edge cases at their own pace</w:t>
            </w:r>
          </w:p>
        </w:tc>
      </w:tr>
      <w:tr>
        <w:tc>
          <w:tcPr>
            <w:tcW w:type="dxa" w:w="2880"/>
          </w:tcPr>
          <w:p>
            <w:r>
              <w:t>Added topics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SemConv + Weaver, taming hostile/unstructured sources (XML, non-friendly logs), custom collector components, richer sampling design</w:t>
            </w:r>
          </w:p>
        </w:tc>
      </w:tr>
      <w:tr>
        <w:tc>
          <w:tcPr>
            <w:tcW w:type="dxa" w:w="2880"/>
          </w:tcPr>
          <w:p>
            <w:r>
              <w:t>Throughput</w:t>
            </w:r>
          </w:p>
        </w:tc>
        <w:tc>
          <w:tcPr>
            <w:tcW w:type="dxa" w:w="2880"/>
          </w:tcPr>
          <w:p>
            <w:r>
              <w:t>Limited by hand-holding</w:t>
            </w:r>
          </w:p>
        </w:tc>
        <w:tc>
          <w:tcPr>
            <w:tcW w:type="dxa" w:w="2880"/>
          </w:tcPr>
          <w:p>
            <w:r>
              <w:t>Agents absorb boilerplate → more ground covered in 180 min</w:t>
            </w:r>
          </w:p>
        </w:tc>
      </w:tr>
      <w:tr>
        <w:tc>
          <w:tcPr>
            <w:tcW w:type="dxa" w:w="2880"/>
          </w:tcPr>
          <w:p>
            <w:r>
              <w:t>Attendee "wow"</w:t>
            </w:r>
          </w:p>
        </w:tc>
        <w:tc>
          <w:tcPr>
            <w:tcW w:type="dxa" w:w="2880"/>
          </w:tcPr>
          <w:p>
            <w:r>
              <w:t>Strong</w:t>
            </w:r>
          </w:p>
        </w:tc>
        <w:tc>
          <w:tcPr>
            <w:tcW w:type="dxa" w:w="2880"/>
          </w:tcPr>
          <w:p>
            <w:r>
              <w:t>Differentiated — models the AI-assisted workflow attendees use at work</w:t>
            </w:r>
          </w:p>
        </w:tc>
      </w:tr>
      <w:tr>
        <w:tc>
          <w:tcPr>
            <w:tcW w:type="dxa" w:w="2880"/>
          </w:tcPr>
          <w:p>
            <w:r>
              <w:t>Risk</w:t>
            </w:r>
          </w:p>
        </w:tc>
        <w:tc>
          <w:tcPr>
            <w:tcW w:type="dxa" w:w="2880"/>
          </w:tcPr>
          <w:p>
            <w:r>
              <w:t>None new</w:t>
            </w:r>
          </w:p>
        </w:tc>
        <w:tc>
          <w:tcPr>
            <w:tcW w:type="dxa" w:w="2880"/>
          </w:tcPr>
          <w:p>
            <w:r>
              <w:t>Licensing cost + provisioning; needs a no-AI fallback so the session is robust either way</w:t>
            </w:r>
          </w:p>
        </w:tc>
      </w:tr>
    </w:tbl>
    <w:p>
      <w:r>
        <w:rPr>
          <w:b/>
        </w:rPr>
        <w:t xml:space="preserve">Recommendation: </w:t>
      </w:r>
      <w:r>
        <w:t>design the session so the baseline is fully self-sufficient, and treat AI agents as an additive layer — if licenses land, we switch on the deeper track; if not, the session still delivers in full. A yes raises the ceiling; a no costs us nothing.</w:t>
      </w:r>
    </w:p>
    <w:p>
      <w:pPr>
        <w:pStyle w:val="Heading1"/>
      </w:pPr>
      <w:r>
        <w:t>6. What we need from the board</w:t>
      </w:r>
    </w:p>
    <w:p>
      <w:pPr>
        <w:pStyle w:val="ListNumber"/>
      </w:pPr>
      <w:r>
        <w:t>Decision: approve securing Copilot/AI-agent licenses for attendees (or confirm baseline-only).</w:t>
      </w:r>
    </w:p>
    <w:p>
      <w:pPr>
        <w:pStyle w:val="ListNumber"/>
      </w:pPr>
      <w:r>
        <w:t>If yes — owner + budget for license procurement and count (est. one per attendee, ~40/session).</w:t>
      </w:r>
    </w:p>
    <w:p>
      <w:pPr>
        <w:pStyle w:val="ListNumber"/>
      </w:pPr>
      <w:r>
        <w:t>Confirmation of room/slot and expected headcount at Perform (drives staffing ratio).</w:t>
      </w:r>
    </w:p>
    <w:p>
      <w:pPr>
        <w:pStyle w:val="Heading1"/>
      </w:pPr>
      <w:r>
        <w:t>7. Status &amp; next steps</w:t>
      </w:r>
    </w:p>
    <w:p>
      <w:pPr>
        <w:pStyle w:val="ListBullet"/>
      </w:pPr>
      <w:r>
        <w:t>Application choice (casino) — settled with Adam.</w:t>
      </w:r>
    </w:p>
    <w:p>
      <w:pPr>
        <w:pStyle w:val="ListBullet"/>
      </w:pPr>
      <w:r>
        <w:t>Detailed structure, agenda, and planted-defect inventory — drafted (training-structure.md), validated against the real app (ISI-4030).</w:t>
      </w:r>
    </w:p>
    <w:p>
      <w:pPr>
        <w:pStyle w:val="ListBullet"/>
      </w:pPr>
      <w:r>
        <w:t>Blocking only the AI-augmented track: the licensing decision above.</w:t>
      </w:r>
    </w:p>
    <w:p>
      <w:pPr>
        <w:pStyle w:val="ListBullet"/>
      </w:pPr>
      <w:r>
        <w:t>On a yes, next step is to spec the AI-augmented lab extensions as child stories.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