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sz w:val="28"/>
        </w:rPr>
        <w:t>RELATÓRIO PROCESSUAL — CONDENAÇÃO</w:t>
      </w:r>
    </w:p>
    <w:p>
      <w:pPr>
        <w:spacing w:after="80" w:line="240" w:lineRule="auto"/>
      </w:pPr>
      <w:r>
        <w:rPr>
          <w:b/>
        </w:rPr>
        <w:t xml:space="preserve">TIPO DA AÇÃO: </w:t>
      </w:r>
      <w:r>
        <w:t>{{ tipo_acao }}</w:t>
      </w:r>
    </w:p>
    <w:p>
      <w:pPr>
        <w:spacing w:after="80" w:line="240" w:lineRule="auto"/>
      </w:pPr>
      <w:r>
        <w:rPr>
          <w:b/>
        </w:rPr>
        <w:t xml:space="preserve">N° PROCESSO: </w:t>
      </w:r>
      <w:r>
        <w:t>{{ numero_processo }}</w:t>
      </w:r>
    </w:p>
    <w:p>
      <w:pPr>
        <w:spacing w:after="80" w:line="240" w:lineRule="auto"/>
      </w:pPr>
      <w:r>
        <w:rPr>
          <w:b/>
        </w:rPr>
        <w:t xml:space="preserve">INCIDENTE: </w:t>
      </w:r>
      <w:r>
        <w:t>{{ incidente }}</w:t>
      </w:r>
    </w:p>
    <w:p>
      <w:pPr>
        <w:spacing w:after="80" w:line="240" w:lineRule="auto"/>
      </w:pPr>
      <w:r>
        <w:rPr>
          <w:b/>
        </w:rPr>
        <w:t xml:space="preserve">VALOR DA CAUSA: </w:t>
      </w:r>
      <w:r>
        <w:t>{{ valor_causa }}</w:t>
      </w:r>
    </w:p>
    <w:p>
      <w:pPr>
        <w:spacing w:after="80" w:line="240" w:lineRule="auto"/>
      </w:pPr>
      <w:r>
        <w:rPr>
          <w:b/>
        </w:rPr>
        <w:t xml:space="preserve">VALOR DA DÍVIDA AJUIZADA: </w:t>
      </w:r>
      <w:r>
        <w:t>{{ valor_divida }}</w:t>
      </w:r>
    </w:p>
    <w:p>
      <w:pPr>
        <w:spacing w:after="80" w:line="240" w:lineRule="auto"/>
      </w:pPr>
      <w:r>
        <w:rPr>
          <w:b/>
        </w:rPr>
        <w:t xml:space="preserve">AUTOR: </w:t>
      </w:r>
      <w:r>
        <w:t>{{ autor }}</w:t>
      </w:r>
    </w:p>
    <w:p>
      <w:pPr>
        <w:spacing w:after="80" w:line="240" w:lineRule="auto"/>
      </w:pPr>
      <w:r>
        <w:rPr>
          <w:b/>
        </w:rPr>
        <w:t xml:space="preserve">RÉU: </w:t>
      </w:r>
      <w:r>
        <w:t>{{ reu }}</w:t>
      </w:r>
    </w:p>
    <w:p>
      <w:pPr>
        <w:spacing w:after="80" w:line="240" w:lineRule="auto"/>
      </w:pPr>
      <w:r>
        <w:rPr>
          <w:b/>
        </w:rPr>
        <w:t xml:space="preserve">BEM: </w:t>
      </w:r>
      <w:r>
        <w:t>{{ bem }}</w:t>
      </w:r>
    </w:p>
    <w:p>
      <w:pPr>
        <w:spacing w:after="80" w:line="240" w:lineRule="auto"/>
      </w:pPr>
      <w:r>
        <w:rPr>
          <w:b/>
        </w:rPr>
        <w:t xml:space="preserve">CONTRATO: </w:t>
      </w:r>
      <w:r>
        <w:t>{{ contrato }}</w:t>
      </w:r>
    </w:p>
    <w:p>
      <w:pPr>
        <w:spacing w:after="80" w:line="240" w:lineRule="auto"/>
      </w:pPr>
      <w:r>
        <w:rPr>
          <w:b/>
        </w:rPr>
        <w:t xml:space="preserve">COMARCA/TRIBUNAL: </w:t>
      </w:r>
      <w:r>
        <w:t>{{ comarca }}</w:t>
      </w:r>
    </w:p>
    <w:p>
      <w:pPr>
        <w:spacing w:before="240" w:after="120"/>
        <w:pBdr>
          <w:bottom w:val="single" w:sz="6" w:space="1" w:color="808080"/>
        </w:pBdr>
      </w:pPr>
      <w:r>
        <w:rPr>
          <w:b/>
          <w:sz w:val="22"/>
        </w:rPr>
        <w:t>CRONOLOGIA PROCESSUAL</w:t>
      </w:r>
    </w:p>
    <w:p>
      <w:r>
        <w:t>{% for evento in cronologia %}</w:t>
      </w:r>
    </w:p>
    <w:p>
      <w:pPr>
        <w:spacing w:after="120"/>
      </w:pPr>
      <w:r>
        <w:rPr>
          <w:b/>
        </w:rPr>
        <w:t>{{ evento.data }}</w:t>
      </w:r>
      <w:r>
        <w:t xml:space="preserve"> – {{ evento.ator }} – {{ evento.descricao }}</w:t>
      </w:r>
    </w:p>
    <w:p>
      <w:r>
        <w:t>{% endfor %}</w:t>
      </w:r>
    </w:p>
    <w:p>
      <w:pPr>
        <w:spacing w:before="240" w:after="120"/>
        <w:pBdr>
          <w:bottom w:val="single" w:sz="6" w:space="1" w:color="808080"/>
        </w:pBdr>
      </w:pPr>
      <w:r>
        <w:rPr>
          <w:b/>
          <w:sz w:val="22"/>
        </w:rPr>
        <w:t>PARECER DO ESCRITÓRIO</w:t>
      </w:r>
    </w:p>
    <w:p>
      <w:pPr>
        <w:spacing w:after="160"/>
        <w:jc w:val="both"/>
      </w:pPr>
      <w:r>
        <w:t>{{ parecer }}</w:t>
      </w:r>
    </w:p>
    <w:p>
      <w:pPr>
        <w:spacing w:after="80" w:line="240" w:lineRule="auto"/>
      </w:pPr>
      <w:r>
        <w:rPr>
          <w:b/>
        </w:rPr>
        <w:t xml:space="preserve">Data publicação/ciência: </w:t>
      </w:r>
      <w:r>
        <w:t>{{ data_publicacao }}</w:t>
      </w:r>
    </w:p>
    <w:p>
      <w:pPr>
        <w:spacing w:after="80" w:line="240" w:lineRule="auto"/>
      </w:pPr>
      <w:r>
        <w:rPr>
          <w:b/>
        </w:rPr>
        <w:t xml:space="preserve">Prazo Fatal ED: </w:t>
      </w:r>
      <w:r>
        <w:t>{{ prazo_fatal_ed }}</w:t>
      </w:r>
    </w:p>
    <w:p>
      <w:pPr>
        <w:spacing w:after="80" w:line="240" w:lineRule="auto"/>
      </w:pPr>
      <w:r>
        <w:rPr>
          <w:b/>
        </w:rPr>
        <w:t xml:space="preserve">Prazo Fatal: </w:t>
      </w:r>
      <w:r>
        <w:t>{{ prazo_fatal }}</w:t>
      </w:r>
    </w:p>
    <w:p>
      <w:pPr>
        <w:spacing w:after="80" w:line="240" w:lineRule="auto"/>
      </w:pPr>
      <w:r>
        <w:rPr>
          <w:b/>
        </w:rPr>
        <w:t xml:space="preserve">Status atual: </w:t>
      </w:r>
      <w:r>
        <w:t>{{ status_atual }}</w:t>
      </w:r>
    </w:p>
    <w:p>
      <w:r>
        <w:t>{% if tem_condenacao_liquida %}</w:t>
      </w:r>
    </w:p>
    <w:p>
      <w:pPr>
        <w:spacing w:before="240" w:after="120"/>
        <w:pBdr>
          <w:bottom w:val="single" w:sz="6" w:space="1" w:color="808080"/>
        </w:pBdr>
      </w:pPr>
      <w:r>
        <w:rPr>
          <w:b/>
          <w:sz w:val="22"/>
        </w:rPr>
        <w:t>CÁLCULO DA CONDENAÇÃO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DESCRIÇÃO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VALOR SINGELO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VALOR ATUALIZADO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JUROS COMPENSATÓRIOS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JUROS MORATÓRIOS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{%tr for item in itens_calculo_processados %}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b w:val="0"/>
              </w:rPr>
              <w:t>{{ loop.index }}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{{ item.descricao }}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{{ item.data }}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{{ '%.2f'|format(item.valor_singelo) }}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{{ '%.2f'|format(item.valor_atualizado) }}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{{ '%.2f'|format(item.juros_compensatorios) }}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{{ '%.2f'|format(item.juros_moratorios) }}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  <w:t>{{ '%.2f'|format(item.total) }}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</w:rPr>
              <w:t>{%tr endfor %}</w:t>
            </w:r>
          </w:p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>
            <w:r>
              <w:rPr>
                <w:b w:val="0"/>
              </w:rPr>
            </w:r>
          </w:p>
        </w:tc>
        <w:tc>
          <w:tcPr>
            <w:tcW w:type="dxa" w:w="1134"/>
          </w:tcPr>
          <w:p>
            <w:r>
              <w:rPr>
                <w:b/>
              </w:rPr>
              <w:t>TOTAIS</w:t>
            </w:r>
          </w:p>
        </w:tc>
        <w:tc>
          <w:tcPr>
            <w:tcW w:type="dxa" w:w="1134"/>
          </w:tcPr>
          <w:p>
            <w:r>
              <w:rPr>
                <w:b w:val="0"/>
              </w:rPr>
            </w:r>
          </w:p>
        </w:tc>
        <w:tc>
          <w:tcPr>
            <w:tcW w:type="dxa" w:w="1134"/>
          </w:tcPr>
          <w:p>
            <w:r>
              <w:rPr>
                <w:b/>
              </w:rPr>
              <w:t>{{ '%.2f'|format(totais.valor_singelo) }}</w:t>
            </w:r>
          </w:p>
        </w:tc>
        <w:tc>
          <w:tcPr>
            <w:tcW w:type="dxa" w:w="1134"/>
          </w:tcPr>
          <w:p>
            <w:r>
              <w:rPr>
                <w:b/>
              </w:rPr>
              <w:t>{{ '%.2f'|format(totais.valor_atualizado) }}</w:t>
            </w:r>
          </w:p>
        </w:tc>
        <w:tc>
          <w:tcPr>
            <w:tcW w:type="dxa" w:w="1134"/>
          </w:tcPr>
          <w:p>
            <w:r>
              <w:rPr>
                <w:b/>
              </w:rPr>
              <w:t>{{ '%.2f'|format(totais.juros_compensatorios) }}</w:t>
            </w:r>
          </w:p>
        </w:tc>
        <w:tc>
          <w:tcPr>
            <w:tcW w:type="dxa" w:w="1134"/>
          </w:tcPr>
          <w:p>
            <w:r>
              <w:rPr>
                <w:b/>
              </w:rPr>
              <w:t>{{ '%.2f'|format(totais.juros_moratorios) }}</w:t>
            </w:r>
          </w:p>
        </w:tc>
        <w:tc>
          <w:tcPr>
            <w:tcW w:type="dxa" w:w="1134"/>
          </w:tcPr>
          <w:p>
            <w:r>
              <w:rPr>
                <w:b/>
              </w:rPr>
              <w:t>{{ '%.2f'|format(totais.total) }}</w:t>
            </w:r>
          </w:p>
        </w:tc>
      </w:tr>
    </w:tbl>
    <w:p>
      <w:r>
        <w:t>{% if parametro_supletivo_aplicado %}</w:t>
      </w:r>
    </w:p>
    <w:p>
      <w:pPr>
        <w:spacing w:before="120"/>
      </w:pPr>
      <w:r>
        <w:rPr>
          <w:i/>
        </w:rPr>
        <w:t>Ao menos um parâmetro (índice, taxa ou termo inicial) não constava expressamente da decisão e foi aplicado o padrão legal supletivo.</w:t>
      </w:r>
    </w:p>
    <w:p>
      <w:r>
        <w:t>{% endif %}</w:t>
      </w:r>
    </w:p>
    <w:p>
      <w:pPr>
        <w:spacing w:after="80" w:line="240" w:lineRule="auto"/>
      </w:pPr>
      <w:r>
        <w:rPr>
          <w:b/>
        </w:rPr>
        <w:t xml:space="preserve">Subtotal: </w:t>
      </w:r>
      <w:r>
        <w:t>{{ '%.2f'|format(subtotal_1) }}</w:t>
      </w:r>
    </w:p>
    <w:p>
      <w:pPr>
        <w:spacing w:after="80" w:line="240" w:lineRule="auto"/>
      </w:pPr>
      <w:r>
        <w:rPr>
          <w:b/>
        </w:rPr>
        <w:t xml:space="preserve">Honorários advocatícios: </w:t>
      </w:r>
      <w:r>
        <w:t>{{ honorarios_percentual }}</w:t>
      </w:r>
    </w:p>
    <w:p>
      <w:pPr>
        <w:spacing w:after="80" w:line="240" w:lineRule="auto"/>
      </w:pPr>
      <w:r>
        <w:rPr>
          <w:b/>
        </w:rPr>
        <w:t xml:space="preserve">  Valor dos honorários: </w:t>
      </w:r>
      <w:r>
        <w:t>{{ '%.2f'|format(honorarios_valor) }}</w:t>
      </w:r>
    </w:p>
    <w:p>
      <w:pPr>
        <w:spacing w:after="80" w:line="240" w:lineRule="auto"/>
      </w:pPr>
      <w:r>
        <w:rPr>
          <w:b/>
        </w:rPr>
        <w:t xml:space="preserve">Subtotal: </w:t>
      </w:r>
      <w:r>
        <w:t>{{ '%.2f'|format(subtotal_2) }}</w:t>
      </w:r>
    </w:p>
    <w:p>
      <w:r>
        <w:t>{% if aplica_multa_523 %}</w:t>
      </w:r>
    </w:p>
    <w:p>
      <w:pPr>
        <w:spacing w:after="80" w:line="240" w:lineRule="auto"/>
      </w:pPr>
      <w:r>
        <w:rPr>
          <w:b/>
        </w:rPr>
        <w:t xml:space="preserve">Art. 523, §1º, CPC — multa (10%): </w:t>
      </w:r>
      <w:r>
        <w:t>{{ '%.2f'|format(multa_523_valor) }}</w:t>
      </w:r>
    </w:p>
    <w:p>
      <w:pPr>
        <w:spacing w:after="80" w:line="240" w:lineRule="auto"/>
      </w:pPr>
      <w:r>
        <w:rPr>
          <w:b/>
        </w:rPr>
        <w:t xml:space="preserve">Art. 523, §1º, CPC — honorários (10%): </w:t>
      </w:r>
      <w:r>
        <w:t>{{ '%.2f'|format(honorarios_523_valor) }}</w:t>
      </w:r>
    </w:p>
    <w:p>
      <w:r>
        <w:t>{% else %}</w:t>
      </w:r>
    </w:p>
    <w:p>
      <w:r>
        <w:rPr>
          <w:i/>
        </w:rPr>
        <w:t>Multa e honorários do art. 523, §1º, CPC ainda não exigíveis (processo fora da fase de cumprimento de sentença, ou prazo de pagamento voluntário ainda em curso).</w:t>
      </w:r>
    </w:p>
    <w:p>
      <w:r>
        <w:t>{% endif %}</w:t>
      </w:r>
    </w:p>
    <w:p>
      <w:pPr>
        <w:spacing w:after="80" w:line="240" w:lineRule="auto"/>
      </w:pPr>
      <w:r>
        <w:rPr>
          <w:b/>
        </w:rPr>
        <w:t xml:space="preserve">TOTAL GERAL: </w:t>
      </w:r>
      <w:r>
        <w:rPr>
          <w:b/>
        </w:rPr>
        <w:t>{{ '%.2f'|format(total_geral) }}</w:t>
      </w:r>
    </w:p>
    <w:p>
      <w:pPr>
        <w:spacing w:before="160"/>
      </w:pPr>
      <w:r>
        <w:rPr>
          <w:b/>
        </w:rPr>
        <w:t>Recomendação: {{ recomendacao_texto }}</w:t>
      </w:r>
      <w:r>
        <w:t xml:space="preserve"> — {{ recomendacao_justificativa }}</w:t>
      </w:r>
    </w:p>
    <w:p>
      <w:pPr>
        <w:spacing w:before="160"/>
      </w:pPr>
      <w:r>
        <w:rPr>
          <w:i/>
        </w:rPr>
        <w:t>O cálculo acima é uma estimativa para fins de acompanhamento estratégico e não substitui a conferência pela calculadora oficial do tribunal ou por contador judicial antes de qualquer pagamento ou levantamento de valores.</w:t>
      </w:r>
    </w:p>
    <w:p>
      <w:r>
        <w:t>{% endif %}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