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PARA: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Senadora Professora Dorinha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DE: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Henrique Marques Ribeiro — Assessor Legislativo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DATA: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Março de 2026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ASSUNTO: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Plano de Governo Interativo: proposta de plataforma digital como diferencial estratégico de campanha</w:t>
            </w:r>
          </w:p>
        </w:tc>
      </w:tr>
    </w:tbl>
    <w:p>
      <w:pPr>
        <w:pBdr>
          <w:bottom w:val="single" w:color="16697A" w:sz="6" w:space="1"/>
        </w:pBdr>
        <w:spacing w:after="300" w:before="200"/>
      </w:pPr>
    </w:p>
    <w:p>
      <w:pPr>
        <w:spacing w:after="24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Senadora, a senhora transformou o FUNDEB no principal instrumento de financiamento da educação básica brasileira usando dados, articulação e uma visão clara de como os recursos precisavam chegar a cada município. Proponho aplicar essa mesma lógica — dados territoriais vinculados a propostas concretas — ao seu plano de governo para o Tocantins. Não como um PDF que ninguém lê, mas como uma plataforma digital interativa onde cada cidadão encontra as propostas para o seu município.</w:t>
      </w:r>
    </w:p>
    <w:p>
      <w:pPr>
        <w:spacing w:after="180" w:befor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97A"/>
          <w:sz w:val="28"/>
          <w:szCs w:val="28"/>
        </w:rPr>
        <w:t xml:space="preserve">1. O problema: planos de governo que ninguém lê</w:t>
      </w:r>
    </w:p>
    <w:p>
      <w:pPr>
        <w:spacing w:after="18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Planos de governo no Brasil seguem um formato esgotado: documentos extensos em PDF, com linguagem genérica, sem conexão com a realidade de cada município. O eleitor não lê. O adversário não diferencia. A mídia não cobre. Pior: um plano genérico transmite a mensagem de que o candidato não conhece o território que pretende governar.</w:t>
      </w:r>
    </w:p>
    <w:p>
      <w:pPr>
        <w:spacing w:after="18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No Tocantins, esse problema é agravado pela desigualdade territorial: são 139 municípios com realidades radicalmente diferentes — de Palmas, com IDH elevado, ao Bico do Papagaio, com indicadores de alta vulnerabilidade. Um plano que não reflita essas diferenças perde credibilidade junto a quem mais conhece a realidade local: os próprios prefeitos, vereadores e lideranças comunitárias.</w:t>
      </w:r>
    </w:p>
    <w:p>
      <w:pPr>
        <w:spacing w:after="180" w:befor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97A"/>
          <w:sz w:val="28"/>
          <w:szCs w:val="28"/>
        </w:rPr>
        <w:t xml:space="preserve">2. A proposta: um plano de governo interativo e baseado em dados</w:t>
      </w:r>
    </w:p>
    <w:p>
      <w:pPr>
        <w:spacing w:after="18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Proponho a criação de uma plataforma web pública onde o cidadão tocantinense possa navegar pelas propostas de governo de forma interativa — por município, por eixo temático, por região ou por indicador. Cada proposta está vinculada a dados reais do território, oriundos de fontes oficiais (IBGE, INEP, DATASUS, TCE-TO).</w:t>
      </w:r>
    </w:p>
    <w:p>
      <w:pPr>
        <w:spacing w:after="18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plataforma é organizada em 7 eixos temáticos que cobrem as competências de um governo estadual: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9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9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Eixo Temático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9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Foco Principal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Desenvolvimento Regional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Redução de desigualdades entre municípios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Educação e Capital Humano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Indicadores educacionais, ensino técnico, creches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Saúde e Qualidade de Vida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Telemedicina, hospitais regionais, saúde da mulher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Infraestrutura e Conectividade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Estradas vicinais, internet, saneamento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Meio Ambiente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Combate a queimadas, bioeconomia, ICMS Ecológico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Segurança Pública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Policiamento comunitário, atendimento à mulher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Gestão Pública e Inovação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Inteligência territorial, governo digital</w:t>
            </w:r>
          </w:p>
        </w:tc>
      </w:tr>
    </w:tbl>
    <w:p>
      <w:pPr>
        <w:spacing w:after="200"/>
      </w:pPr>
    </w:p>
    <w:p>
      <w:pPr>
        <w:spacing w:after="18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diferencial fundamental: ao clicar em qualquer município no mapa, o cidadão vê primeiro o diagnóstico (dados reais) e depois as propostas que respondem a esse diagnóstico. A proposta não é genérica — é resposta a um problema documentado.</w:t>
      </w:r>
    </w:p>
    <w:p>
      <w:pPr>
        <w:spacing w:after="18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97A"/>
          <w:sz w:val="24"/>
          <w:szCs w:val="24"/>
        </w:rPr>
        <w:t xml:space="preserve">2.1 Inteligência artificial integrada: a plataforma que escuta</w:t>
      </w:r>
    </w:p>
    <w:p>
      <w:pPr>
        <w:spacing w:after="18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Além da navegação interativa, a plataforma incorpora inteligência artificial em três dimensões complementares:</w:t>
      </w:r>
    </w:p>
    <w:p>
      <w:pPr>
        <w:spacing w:after="18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Exploração assistida: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um assistente de IA permite que o cidadão faça perguntas em linguagem natural — “Quais as propostas para saúde em Tocantinópolis?” ou “O que o plano diz sobre estradas vicinais na minha região?” — e receba respostas contextualizadas, com links para os dados e propostas relevantes. Isso elimina a barreira de navegação e torna a plataforma acessível mesmo para quem não tem familiaridade com ferramentas digitais.</w:t>
      </w:r>
    </w:p>
    <w:p>
      <w:pPr>
        <w:spacing w:after="18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Escuta inclusiva: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plataforma oferece um canal de participação onde o cidadão pode registrar demandas, sugestões e prioridades para o seu município. A IA auxilia quem tem dificuldade em redigir textos ou preencher formulários: basta falar ou digitar de forma livre, e o sistema organiza a contribuição. Isso garante que a voz de quem mais precisa do governo não fique de fora por conta de limitações de letramento digital ou escolaridade.</w:t>
      </w:r>
    </w:p>
    <w:p>
      <w:pPr>
        <w:spacing w:after="18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Inteligência para o planejamento: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as contribuições recebidas são processadas por IA para identificar padrões, prioridades emergentes e demandas recorrentes por município e região. Essas informações alimentam o próprio plano de governo, que se torna um documento vivo — atualizado pelas vozes do território. Após a eleição, esse mesmo mecanismo pode ser a base de um sistema de escuta permanente do governo.</w:t>
      </w:r>
    </w:p>
    <w:p>
      <w:pPr>
        <w:spacing w:after="180" w:befor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97A"/>
          <w:sz w:val="28"/>
          <w:szCs w:val="28"/>
        </w:rPr>
        <w:t xml:space="preserve">3. Por que isso fortalece a sua candidatura</w:t>
      </w:r>
    </w:p>
    <w:p>
      <w:pPr>
        <w:spacing w:after="18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97A"/>
          <w:sz w:val="24"/>
          <w:szCs w:val="24"/>
        </w:rPr>
        <w:t xml:space="preserve">3.1 Transforma experiência legislativa em demonstração de capacidade executiva</w:t>
      </w:r>
    </w:p>
    <w:p>
      <w:pPr>
        <w:spacing w:after="18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senhora acumula uma trajetória legislativa reconhecida nacionalmente — integrante do grupo </w:t>
      </w:r>
      <w:r>
        <w:rPr>
          <w:rFonts w:ascii="Arial" w:cs="Arial" w:eastAsia="Arial" w:hAnsi="Arial"/>
          <w:b w:val="false"/>
          <w:bCs w:val="false"/>
          <w:i/>
          <w:iCs/>
          <w:color w:val="1A1A2E"/>
          <w:sz w:val="22"/>
          <w:szCs w:val="22"/>
        </w:rPr>
        <w:t xml:space="preserve">Elite Parlamentar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, protagonista na revisão do FUNDEB, referência em política educacional. Mas em uma disputa por governo estadual, o eleitor e a mídia tendem a perguntar: “Ela sabe gerir?” A plataforma responde a essa pergunta sem precisar dizê-lo. Ao apresentar um plano que mapeia 139 municípios com dados reais, indicadores e metas vinculadas, a senhora demonstra que já está governando com método antes de assumir.</w:t>
      </w:r>
    </w:p>
    <w:p>
      <w:pPr>
        <w:spacing w:after="18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Enquanto outros candidatos apresentam intenções gerais, a senhora mostra diagnóstico e proposta específica para cada território.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Isso não é retórica — é evidência de capacidade de gestão.</w:t>
      </w:r>
    </w:p>
    <w:p>
      <w:pPr>
        <w:spacing w:after="18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97A"/>
          <w:sz w:val="24"/>
          <w:szCs w:val="24"/>
        </w:rPr>
        <w:t xml:space="preserve">3.2 Educação como vitrine: a sua maior credencial em ação</w:t>
      </w:r>
    </w:p>
    <w:p>
      <w:pPr>
        <w:spacing w:after="18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eixo de Educação e Capital Humano pode ser a peça central de apresentação da plataforma. Imagine abrir o mapa do Tocantins e mostrar, município a município, as notas do IDEB, as taxas de abandono no ensino médio, a cobertura de creches — e ao lado de cada dado, a proposta específica do seu governo. Ninguém no cenário eleitoral tocantinense tem a autoridade que a senhora tem para falar de educação com esse nível de profundidade.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97A" w:sz="1"/>
              <w:left w:val="single" w:color="16697A" w:sz="12"/>
              <w:bottom w:val="single" w:color="16697A" w:sz="1"/>
              <w:right w:val="single" w:color="16697A" w:sz="1"/>
            </w:tcBorders>
            <w:shd w:fill="F0F7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97A"/>
                <w:sz w:val="22"/>
                <w:szCs w:val="22"/>
              </w:rPr>
              <w:t xml:space="preserve">Cenário de uso: entrevista ou reunião</w:t>
            </w:r>
          </w:p>
          <w:p>
            <w:pPr>
              <w:spacing w:after="6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A senhora abre a plataforma no celular e diz: “Veja Araguaína: o IDEB do ensino médio está em X, abaixo da média nacional. Nossa proposta de ensino técnico integrado, com parceria entre Estado e IFTO, responde a isso diretamente.” A mídia nota a profundidade. O eleitor percebe preparo.</w:t>
            </w:r>
          </w:p>
        </w:tc>
      </w:tr>
    </w:tbl>
    <w:p>
      <w:pPr>
        <w:spacing w:after="120"/>
      </w:pPr>
    </w:p>
    <w:p>
      <w:pPr>
        <w:spacing w:after="18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97A"/>
          <w:sz w:val="24"/>
          <w:szCs w:val="24"/>
        </w:rPr>
        <w:t xml:space="preserve">3.3 Inovação que atinge o eleitor digital</w:t>
      </w:r>
    </w:p>
    <w:p>
      <w:pPr>
        <w:spacing w:after="18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plataforma é mobile-first — pensada para funcionar bem em celular, que é como a maioria dos tocantinenses acessa a internet. O cidadão pode buscar seu município, ver as propostas relevantes e compartilhar nas redes sociais. Cada município se torna um canal de divulgação espontânea.</w:t>
      </w:r>
    </w:p>
    <w:p>
      <w:pPr>
        <w:spacing w:after="18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Com 139 municípios na plataforma, são 139 oportunidades de conteúdo localizado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para redes sociais. A equipe de comunicação pode gerar posts com dados reais e link direto para a plataforma, ocupando espaços digitais que outros candidatos ainda não exploram — TikTok, YouTube Shorts, cards para WhatsApp. Isso amplia o alcance especialmente entre jovens, segmento em que a presença digital ainda pode ser fortalecida.</w:t>
      </w:r>
    </w:p>
    <w:p>
      <w:pPr>
        <w:spacing w:after="18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97A"/>
          <w:sz w:val="24"/>
          <w:szCs w:val="24"/>
        </w:rPr>
        <w:t xml:space="preserve">3.4 Ferramenta de articulação com prefeitos e lideranças</w:t>
      </w:r>
    </w:p>
    <w:p>
      <w:pPr>
        <w:spacing w:after="18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Benefício adicional e estratégico: ao mostrar dados individualizados por município, a plataforma se torna instrumento de conversa com prefeitos e vereadores. Abrir a ficha de um município em uma reunião e dizer “Eu conheço os números da sua cidade” é um argumento poderoso de negociação de apoio. Demonstra que a candidata não apenas visita os municípios — ela conhece seus indicadores e tem propostas específicas para cada um.</w:t>
      </w:r>
    </w:p>
    <w:p>
      <w:pPr>
        <w:spacing w:after="18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senhora já tem reconhecida capacidade de articulação com a União e com os municípios. A plataforma materializa essa habilidade em dados, tornando visível o que até então era percebido apenas por quem a conhece de perto.</w:t>
      </w:r>
    </w:p>
    <w:p>
      <w:pPr>
        <w:spacing w:after="18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97A"/>
          <w:sz w:val="24"/>
          <w:szCs w:val="24"/>
        </w:rPr>
        <w:t xml:space="preserve">3.5 Narrativa de pioneirismo: a primeira candidata a fazer isso no Brasil</w:t>
      </w:r>
    </w:p>
    <w:p>
      <w:pPr>
        <w:spacing w:after="18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Nenhum candidato a governador no Brasil apresentou um plano de governo neste formato.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A plataforma posiciona a senhora como líder em inovação na gestão pública, reforçando a narrativa histórica de ser potencialmente a primeira governadora do Tocantins. A mensagem subjacente é clara: uma candidata que inova na forma de apresentar propostas também inovará na forma de governar.</w:t>
      </w:r>
    </w:p>
    <w:p>
      <w:pPr>
        <w:spacing w:after="18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97A"/>
          <w:sz w:val="24"/>
          <w:szCs w:val="24"/>
        </w:rPr>
        <w:t xml:space="preserve">3.6 Escuta inteligente: da campanha ao governo</w:t>
      </w:r>
    </w:p>
    <w:p>
      <w:pPr>
        <w:spacing w:after="18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combinação de IA com a plataforma cria algo que vai além de uma ferramenta eleitoral: um mecanismo de escuta estruturada do território. Durante a campanha, a plataforma coleta demandas reais dos cidadãos, organizadas por município e tema. Após a eleição, esse mesmo sistema se converte em canal permanente de diálogo entre governo e população.</w:t>
      </w:r>
    </w:p>
    <w:p>
      <w:pPr>
        <w:spacing w:after="18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A mensagem para o eleitor é poderosa: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esta não é uma candidata que vai ouvir promessas e esquecê-las depois da eleição. É uma candidata que construiu uma ferramenta para continuar escutando enquanto governa.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97A" w:sz="1"/>
              <w:left w:val="single" w:color="16697A" w:sz="12"/>
              <w:bottom w:val="single" w:color="16697A" w:sz="1"/>
              <w:right w:val="single" w:color="16697A" w:sz="1"/>
            </w:tcBorders>
            <w:shd w:fill="F0F7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97A"/>
                <w:sz w:val="22"/>
                <w:szCs w:val="22"/>
              </w:rPr>
              <w:t xml:space="preserve">Continuidade campanha → governo</w:t>
            </w:r>
          </w:p>
          <w:p>
            <w:pPr>
              <w:spacing w:after="6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As demandas registradas durante a campanha já chegam ao primeiro dia de governo organizadas, priorizadas e geolocalizadas. Isso permite que o Plano de Governo seja ajustado com base em evidências do território, não apenas em percepções de gabinete. É gestão baseada em dados desde o dia zero.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80" w:befor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97A"/>
          <w:sz w:val="28"/>
          <w:szCs w:val="28"/>
        </w:rPr>
        <w:t xml:space="preserve">4. Por que agora</w:t>
      </w:r>
    </w:p>
    <w:p>
      <w:pPr>
        <w:spacing w:after="18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Primeiro: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base de dados já existe. O sistema </w:t>
      </w:r>
      <w:r>
        <w:rPr>
          <w:rFonts w:ascii="Arial" w:cs="Arial" w:eastAsia="Arial" w:hAnsi="Arial"/>
          <w:b w:val="false"/>
          <w:bCs w:val="false"/>
          <w:i/>
          <w:iCs/>
          <w:color w:val="1A1A2E"/>
          <w:sz w:val="22"/>
          <w:szCs w:val="22"/>
        </w:rPr>
        <w:t xml:space="preserve">tocantins-integrado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, desenvolvido por nossa equipe, já processa indicadores de todos os 139 municípios a partir de fontes públicas (IBGE, INEP, DATASUS, TCE-TO). Não se trata de começar do zero — é transformar dados que já temos em ferramenta de campanha.</w:t>
      </w:r>
    </w:p>
    <w:p>
      <w:pPr>
        <w:spacing w:after="18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Segundo: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janela de pioneirismo é agora. Se lançarmos antes do período eleitoral formal, a plataforma se posiciona como ferramenta de transparência e planejamento, não como peça publicitária. Isso reforça a imagem de competência e seriedade.</w:t>
      </w:r>
    </w:p>
    <w:p>
      <w:pPr>
        <w:spacing w:after="18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Terceiro: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cronograma é viável. Com a base de dados pronta e o scaffolding técnico já desenvolvido, a plataforma funcional pode estar no ar em junho de 2026.</w:t>
      </w:r>
    </w:p>
    <w:p>
      <w:pPr>
        <w:spacing w:after="180" w:befor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97A"/>
          <w:sz w:val="28"/>
          <w:szCs w:val="28"/>
        </w:rPr>
        <w:t xml:space="preserve">5. O que é necessário</w:t>
      </w:r>
    </w:p>
    <w:p>
      <w:pPr>
        <w:spacing w:after="18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investimento é relativamente baixo para o impacto esperado: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360"/>
        <w:gridCol w:w="2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9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9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Detalhamento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9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Situação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Base de dados territorial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139 municípios, fontes oficiais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Pronta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Estrutura técnica da plataforma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Design responsivo, mapa interativo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Scaffolding pronto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Conteúdo dos 7 eixos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Propostas, metas e indicadores detalhados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 desenvolver (abr–mai)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Hospedagem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Vercel (gratuita no free tier)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Sem custo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Domínio personalizado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URL própria para a plataforma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Baixo custo</w:t>
            </w:r>
          </w:p>
        </w:tc>
      </w:tr>
    </w:tbl>
    <w:p>
      <w:pPr>
        <w:spacing w:after="200"/>
      </w:pPr>
    </w:p>
    <w:p>
      <w:pPr>
        <w:spacing w:after="18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principal investimento não é financeiro, mas de decisão: aprovar a abordagem e definir a equipe responsável pela produção de conteúdo (propostas por eixo). A equipe técnica já está operacional.</w:t>
      </w:r>
    </w:p>
    <w:p>
      <w:pPr>
        <w:spacing w:after="180" w:befor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97A"/>
          <w:sz w:val="28"/>
          <w:szCs w:val="28"/>
        </w:rPr>
        <w:t xml:space="preserve">6. Cronograma resumido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9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9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Entrega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9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Março 2026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Aprovação da abordagem (este memo)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Agora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Abril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Produção de conteúdo dos 7 eixos com equipe de campanha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 fazer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Maio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Plataforma funcional com dados e propostas reais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 fazer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Junho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Revisão, testes, ajustes e soft launch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 fazer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Julho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Lançamento público integrado à campanha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Previsto</w:t>
            </w:r>
          </w:p>
        </w:tc>
      </w:tr>
    </w:tbl>
    <w:p>
      <w:pPr>
        <w:spacing w:after="180" w:befor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97A"/>
          <w:sz w:val="28"/>
          <w:szCs w:val="28"/>
        </w:rPr>
        <w:t xml:space="preserve">7. Decisão solicitada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97A" w:sz="1"/>
              <w:left w:val="single" w:color="16697A" w:sz="12"/>
              <w:bottom w:val="single" w:color="16697A" w:sz="1"/>
              <w:right w:val="single" w:color="16697A" w:sz="1"/>
            </w:tcBorders>
            <w:shd w:fill="F0F7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97A"/>
                <w:sz w:val="22"/>
                <w:szCs w:val="22"/>
              </w:rPr>
              <w:t xml:space="preserve">Solicito aprovação para:</w:t>
            </w:r>
          </w:p>
          <w:p>
            <w:pPr>
              <w:spacing w:after="6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1. Adotar a plataforma de Plano de Governo Interativo como parte da estratégia de campanha.</w:t>
            </w:r>
          </w:p>
          <w:p>
            <w:pPr>
              <w:spacing w:after="6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2. Autorizar o desenvolvimento do conteúdo dos 7 eixos temáticos (propostas, metas, indicadores) em conjunto com a equipe de campanha.</w:t>
            </w:r>
          </w:p>
          <w:p>
            <w:pPr>
              <w:spacing w:after="6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3. Definir a equipe responsável: produção de conteúdo (assessoria), desenvolvimento técnico (equipe técnica), e revisão política (coordenação de campanha).</w:t>
            </w:r>
          </w:p>
        </w:tc>
      </w:tr>
    </w:tbl>
    <w:p>
      <w:pPr>
        <w:spacing w:after="240"/>
      </w:pP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Fico à disposição para uma demonstração do protótipo e para discutir ajustes na abordagem. A plataforma já tem scaffolding técnico funcional, pronto para receber o conteúdo programático.</w:t>
      </w:r>
    </w:p>
    <w:p>
      <w:pPr>
        <w:pBdr>
          <w:top w:val="single" w:color="CCCCCC" w:sz="1" w:space="8"/>
        </w:pBdr>
        <w:spacing w:before="360"/>
      </w:pPr>
    </w:p>
    <w:p>
      <w:pPr>
        <w:spacing w:after="2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Henrique Marques Ribeiro</w:t>
      </w:r>
    </w:p>
    <w:p>
      <w:pPr>
        <w:spacing w:after="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Assessor Legislativo</w:t>
      </w:r>
    </w:p>
    <w:p>
      <w:pPr>
        <w:spacing w:after="1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Mestre em Avaliação de Políticas Públicas | Doutorando em Políticas Públicas (ENAP)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Plano de Governo Interativo — Proposta Estratégica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6697A" w:sz="4" w:space="4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i w:val="false"/>
        <w:iCs w:val="false"/>
        <w:color w:val="666666"/>
        <w:sz w:val="16"/>
        <w:szCs w:val="16"/>
      </w:rPr>
      <w:t xml:space="preserve">MEMO EXECUTIVO</w:t>
    </w:r>
    <w:r>
      <w:rPr>
        <w:rFonts w:ascii="Arial" w:cs="Arial" w:eastAsia="Arial" w:hAnsi="Arial"/>
        <w:color w:val="666666"/>
        <w:sz w:val="16"/>
        <w:szCs w:val="16"/>
      </w:rPr>
      <w:t xml:space="preserve">	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2026-03-09T21:10:57.103Z</dcterms:created>
  <dcterms:modified xsi:type="dcterms:W3CDTF">2026-03-09T21:10:57.104Z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