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457A90A5" w:rsidR="00AC02D2" w:rsidRDefault="00D75701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68618DF2" w:rsidR="003D086A" w:rsidRDefault="004A3576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Pr="00D91BD3">
              <w:rPr>
                <w:sz w:val="24"/>
              </w:rPr>
              <w:t xml:space="preserve">; </w:t>
            </w:r>
          </w:p>
          <w:p w14:paraId="2BE21168" w14:textId="268F8A56" w:rsidR="004A3576" w:rsidRPr="00D91BD3" w:rsidRDefault="004A3576" w:rsidP="008F54F4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Pr="003C2ABA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285C7A9A" w14:textId="3F6C692C" w:rsidR="00590332" w:rsidRPr="00590332" w:rsidRDefault="00590332" w:rsidP="00590332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E4F4D3A" w14:textId="695D0613" w:rsid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9734BD">
              <w:rPr>
                <w:color w:val="000000" w:themeColor="text1"/>
                <w:sz w:val="24"/>
              </w:rPr>
              <w:t xml:space="preserve">: KNEX.JS, </w:t>
            </w:r>
            <w:proofErr w:type="spellStart"/>
            <w:r w:rsidR="009734BD">
              <w:rPr>
                <w:color w:val="000000" w:themeColor="text1"/>
                <w:sz w:val="24"/>
              </w:rPr>
              <w:t>M</w:t>
            </w:r>
            <w:r w:rsidR="00C27AE7">
              <w:rPr>
                <w:color w:val="000000" w:themeColor="text1"/>
                <w:sz w:val="24"/>
              </w:rPr>
              <w:t>igrations</w:t>
            </w:r>
            <w:proofErr w:type="spellEnd"/>
            <w:r w:rsidR="00D97D37">
              <w:rPr>
                <w:color w:val="000000" w:themeColor="text1"/>
                <w:sz w:val="24"/>
              </w:rPr>
              <w:t>.</w:t>
            </w:r>
          </w:p>
          <w:p w14:paraId="5FE7B954" w14:textId="5A185E6E" w:rsidR="00F54F82" w:rsidRPr="000B71EF" w:rsidRDefault="00701E6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Inserção</w:t>
            </w:r>
            <w:r w:rsidR="006722D6">
              <w:rPr>
                <w:color w:val="000000" w:themeColor="text1"/>
                <w:sz w:val="24"/>
              </w:rPr>
              <w:t xml:space="preserve"> de </w:t>
            </w:r>
            <w:proofErr w:type="spellStart"/>
            <w:r w:rsidR="006722D6">
              <w:rPr>
                <w:color w:val="000000" w:themeColor="text1"/>
                <w:sz w:val="24"/>
              </w:rPr>
              <w:t>Controllers</w:t>
            </w:r>
            <w:proofErr w:type="spellEnd"/>
            <w:r w:rsidR="006722D6">
              <w:rPr>
                <w:color w:val="000000" w:themeColor="text1"/>
                <w:sz w:val="24"/>
              </w:rPr>
              <w:t xml:space="preserve"> baseado no m</w:t>
            </w:r>
            <w:r w:rsidR="005813E3">
              <w:rPr>
                <w:color w:val="000000" w:themeColor="text1"/>
                <w:sz w:val="24"/>
              </w:rPr>
              <w:t>odelo MCV (Model-</w:t>
            </w:r>
            <w:proofErr w:type="spellStart"/>
            <w:r w:rsidR="005813E3">
              <w:rPr>
                <w:color w:val="000000" w:themeColor="text1"/>
                <w:sz w:val="24"/>
              </w:rPr>
              <w:t>View</w:t>
            </w:r>
            <w:proofErr w:type="spellEnd"/>
            <w:r w:rsidR="005813E3">
              <w:rPr>
                <w:color w:val="000000" w:themeColor="text1"/>
                <w:sz w:val="24"/>
              </w:rPr>
              <w:t>-</w:t>
            </w:r>
            <w:proofErr w:type="spellStart"/>
            <w:r w:rsidR="006722D6">
              <w:rPr>
                <w:color w:val="000000" w:themeColor="text1"/>
                <w:sz w:val="24"/>
              </w:rPr>
              <w:t>Controller</w:t>
            </w:r>
            <w:proofErr w:type="spellEnd"/>
            <w:r w:rsidR="005813E3">
              <w:rPr>
                <w:color w:val="000000" w:themeColor="text1"/>
                <w:sz w:val="24"/>
              </w:rPr>
              <w:t>)</w:t>
            </w:r>
            <w:r w:rsidR="006722D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4FFF7A93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  <w:r w:rsidR="0051556D">
              <w:t xml:space="preserve"> 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2DA8AEDB" w14:textId="77777777" w:rsidR="001F59EB" w:rsidRDefault="001F59EB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DE61B05" w14:textId="1D555F45" w:rsidR="00BC4A2E" w:rsidRPr="00177926" w:rsidRDefault="00BC4A2E" w:rsidP="00BC4A2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INSO</w:t>
            </w:r>
            <w:r w:rsidR="00A451D8">
              <w:rPr>
                <w:bCs/>
                <w:color w:val="000000" w:themeColor="text1"/>
                <w:sz w:val="24"/>
              </w:rPr>
              <w:t>MNIA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FA76284" w14:textId="462625A8" w:rsidR="00BC4A2E" w:rsidRPr="00177926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C4A2E">
              <w:rPr>
                <w:color w:val="000000" w:themeColor="text1"/>
                <w:sz w:val="24"/>
              </w:rPr>
              <w:t>https://docs.insomnia.rest/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018E5937" w14:textId="77777777" w:rsidR="005B65CB" w:rsidRDefault="00BC4A2E" w:rsidP="00BC4A2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Este item especifica a infraestrutura necessária ao curso, como salas de aula, laboratórios específicos, equipamentos e materiais didáticos necessários ao funcionamento do curso. Segue </w:t>
      </w:r>
      <w:r w:rsidRPr="00177926">
        <w:rPr>
          <w:color w:val="000000" w:themeColor="text1"/>
        </w:rPr>
        <w:lastRenderedPageBreak/>
        <w:t>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1485" w14:textId="77777777" w:rsidR="00A20B77" w:rsidRDefault="00A20B77">
      <w:r>
        <w:separator/>
      </w:r>
    </w:p>
  </w:endnote>
  <w:endnote w:type="continuationSeparator" w:id="0">
    <w:p w14:paraId="19B8A34C" w14:textId="77777777" w:rsidR="00A20B77" w:rsidRDefault="00A2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63F7B" w14:textId="77777777" w:rsidR="00A20B77" w:rsidRDefault="00A20B77">
      <w:r>
        <w:separator/>
      </w:r>
    </w:p>
  </w:footnote>
  <w:footnote w:type="continuationSeparator" w:id="0">
    <w:p w14:paraId="3A6078D3" w14:textId="77777777" w:rsidR="00A20B77" w:rsidRDefault="00A20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3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5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8" w15:restartNumberingAfterBreak="0">
    <w:nsid w:val="75BE5B14"/>
    <w:multiLevelType w:val="hybridMultilevel"/>
    <w:tmpl w:val="171CED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1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2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1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4"/>
  </w:num>
  <w:num w:numId="19" w16cid:durableId="1958371193">
    <w:abstractNumId w:val="39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40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7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3"/>
  </w:num>
  <w:num w:numId="34" w16cid:durableId="806823650">
    <w:abstractNumId w:val="35"/>
  </w:num>
  <w:num w:numId="35" w16cid:durableId="1877694893">
    <w:abstractNumId w:val="30"/>
  </w:num>
  <w:num w:numId="36" w16cid:durableId="1973779604">
    <w:abstractNumId w:val="36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8"/>
  </w:num>
  <w:num w:numId="40" w16cid:durableId="624964422">
    <w:abstractNumId w:val="1"/>
  </w:num>
  <w:num w:numId="41" w16cid:durableId="946501027">
    <w:abstractNumId w:val="24"/>
  </w:num>
  <w:num w:numId="42" w16cid:durableId="877426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557C1"/>
    <w:rsid w:val="00260E20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22D6"/>
    <w:rsid w:val="00676B95"/>
    <w:rsid w:val="00682020"/>
    <w:rsid w:val="00685740"/>
    <w:rsid w:val="0069760C"/>
    <w:rsid w:val="006A32F3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1E65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33A4E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ACE"/>
    <w:rsid w:val="00AD17BC"/>
    <w:rsid w:val="00AD2772"/>
    <w:rsid w:val="00AD611B"/>
    <w:rsid w:val="00AD70E6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7871</TotalTime>
  <Pages>16</Pages>
  <Words>4345</Words>
  <Characters>23464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422</cp:revision>
  <dcterms:created xsi:type="dcterms:W3CDTF">2022-08-03T19:30:00Z</dcterms:created>
  <dcterms:modified xsi:type="dcterms:W3CDTF">2023-02-04T18:53:00Z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