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Supplier price conditions: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Price for DBMS server license already including VAT: 6150 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Cost of meetings in the South and North of Portugal, including the training sessions: 8500</w:t>
      </w:r>
      <w:r>
        <w:rPr>
          <w:rtl w:val="0"/>
          <w:lang w:val="en-US"/>
        </w:rPr>
        <w:t>€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Total price: 92,417.00</w:t>
      </w:r>
      <w:r>
        <w:rPr>
          <w:rtl w:val="0"/>
          <w:lang w:val="en-US"/>
        </w:rPr>
        <w:t>€</w:t>
      </w:r>
    </w:p>
    <w:p>
      <w:pPr>
        <w:pStyle w:val="Corpo"/>
        <w:rPr>
          <w:sz w:val="32"/>
          <w:szCs w:val="32"/>
          <w:lang w:val="en-US"/>
        </w:rPr>
      </w:pPr>
    </w:p>
    <w:p>
      <w:pPr>
        <w:pStyle w:val="Corp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Invoice Plan and Payment Conditions:</w:t>
      </w:r>
    </w:p>
    <w:p>
      <w:pPr>
        <w:pStyle w:val="Corpo"/>
        <w:ind w:firstLine="708"/>
      </w:pPr>
      <w:r>
        <w:rPr>
          <w:rtl w:val="0"/>
          <w:lang w:val="en-US"/>
        </w:rPr>
        <w:t>The following table contains the invoices plan through the six months since the project kick-off meetings until the project Training finish. For payment conditions, we decided that the invoices sum should be paid 30% at the project start in January, 20% in March, 20% in May and the other 30% at the project end in July.</w:t>
      </w:r>
    </w:p>
    <w:tbl>
      <w:tblPr>
        <w:tblW w:w="100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36"/>
        <w:gridCol w:w="1436"/>
        <w:gridCol w:w="1436"/>
        <w:gridCol w:w="1436"/>
        <w:gridCol w:w="1436"/>
        <w:gridCol w:w="1437"/>
        <w:gridCol w:w="1437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tl w:val="0"/>
                <w:lang w:val="en-US"/>
              </w:rPr>
              <w:t>January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February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March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April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May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June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July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30%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20%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  <w:jc w:val="center"/>
            </w:pPr>
            <w:r>
              <w:rPr>
                <w:rtl w:val="0"/>
                <w:lang w:val="en-US"/>
              </w:rPr>
              <w:t>20%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30%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27.725,10</w:t>
            </w:r>
            <w:r>
              <w:rPr>
                <w:rtl w:val="0"/>
                <w:lang w:val="en-US"/>
              </w:rPr>
              <w:t>€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 xml:space="preserve">18.483,40 </w:t>
            </w:r>
            <w:r>
              <w:rPr>
                <w:rtl w:val="0"/>
                <w:lang w:val="en-US"/>
              </w:rPr>
              <w:t>€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 xml:space="preserve">18.483,40 </w:t>
            </w:r>
            <w:r>
              <w:rPr>
                <w:rtl w:val="0"/>
                <w:lang w:val="en-US"/>
              </w:rPr>
              <w:t>€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0" w:line="240" w:lineRule="auto"/>
            </w:pPr>
            <w:r>
              <w:rPr>
                <w:rtl w:val="0"/>
                <w:lang w:val="en-US"/>
              </w:rPr>
              <w:t>27.725,10</w:t>
            </w:r>
            <w:r>
              <w:rPr>
                <w:rtl w:val="0"/>
                <w:lang w:val="en-US"/>
              </w:rPr>
              <w:t>€</w:t>
            </w:r>
          </w:p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</w:pPr>
    </w:p>
    <w:p>
      <w:pPr>
        <w:pStyle w:val="Corpo"/>
        <w:ind w:firstLine="708"/>
      </w:pPr>
      <w:r>
        <w:rPr>
          <w:rtl w:val="0"/>
          <w:lang w:val="en-US"/>
        </w:rPr>
        <w:t>Our company shall provide project support until 29-10-2018.</w:t>
      </w:r>
      <w:r/>
    </w:p>
    <w:sectPr>
      <w:headerReference w:type="default" r:id="rId4"/>
      <w:footerReference w:type="default" r:id="rId5"/>
      <w:pgSz w:w="11900" w:h="16840" w:orient="portrait"/>
      <w:pgMar w:top="1417" w:right="849" w:bottom="1417" w:left="993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