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93589" w14:textId="77777777" w:rsidR="00274C70" w:rsidRDefault="00274C70">
      <w:pPr>
        <w:pStyle w:val="Ttulo"/>
      </w:pPr>
    </w:p>
    <w:p w14:paraId="39367E73" w14:textId="77777777" w:rsidR="00274C70" w:rsidRDefault="00274C70">
      <w:pPr>
        <w:pStyle w:val="Ttulo"/>
      </w:pPr>
    </w:p>
    <w:p w14:paraId="15806841" w14:textId="77777777" w:rsidR="00274C70" w:rsidRDefault="00274C70">
      <w:pPr>
        <w:pStyle w:val="Ttulo"/>
      </w:pPr>
    </w:p>
    <w:p w14:paraId="0E7CEEAF" w14:textId="77777777" w:rsidR="00274C70" w:rsidRDefault="00274C70">
      <w:pPr>
        <w:pStyle w:val="Ttulo"/>
      </w:pPr>
    </w:p>
    <w:p w14:paraId="6F726145" w14:textId="77777777" w:rsidR="00274C70" w:rsidRDefault="00274C70">
      <w:pPr>
        <w:pStyle w:val="Ttulo"/>
      </w:pPr>
    </w:p>
    <w:p w14:paraId="36D09BE4" w14:textId="77777777" w:rsidR="00274C70" w:rsidRDefault="00274C70">
      <w:pPr>
        <w:pStyle w:val="Ttulo"/>
      </w:pPr>
    </w:p>
    <w:p w14:paraId="22DB6909" w14:textId="77777777" w:rsidR="00274C70" w:rsidRDefault="00274C70">
      <w:pPr>
        <w:pStyle w:val="Ttulo"/>
      </w:pPr>
    </w:p>
    <w:p w14:paraId="571EDD07" w14:textId="7BF937B7" w:rsidR="00C34FD2" w:rsidRDefault="00274C70">
      <w:pPr>
        <w:pStyle w:val="Ttulo"/>
      </w:pPr>
      <w:r>
        <w:t>Da Correlação à Causalidade</w:t>
      </w:r>
    </w:p>
    <w:p w14:paraId="1AB57E20" w14:textId="77777777" w:rsidR="00274C70" w:rsidRDefault="00274C70">
      <w:pPr>
        <w:pStyle w:val="Author"/>
        <w:rPr>
          <w:spacing w:val="15"/>
          <w:sz w:val="28"/>
          <w:szCs w:val="28"/>
        </w:rPr>
      </w:pPr>
      <w:r w:rsidRPr="00274C70">
        <w:rPr>
          <w:spacing w:val="15"/>
          <w:sz w:val="28"/>
          <w:szCs w:val="28"/>
        </w:rPr>
        <w:t>Hume, Mill, Koch, Bradford Hill e a epidemiologia causal contemporânea.</w:t>
      </w:r>
    </w:p>
    <w:p w14:paraId="02A63E4B" w14:textId="77777777" w:rsidR="00274C70" w:rsidRDefault="00274C70">
      <w:pPr>
        <w:pStyle w:val="Author"/>
      </w:pPr>
    </w:p>
    <w:p w14:paraId="11C4B486" w14:textId="77777777" w:rsidR="00274C70" w:rsidRDefault="00274C70">
      <w:pPr>
        <w:pStyle w:val="Author"/>
      </w:pPr>
    </w:p>
    <w:p w14:paraId="4D795B43" w14:textId="77777777" w:rsidR="00274C70" w:rsidRDefault="00274C70">
      <w:pPr>
        <w:pStyle w:val="Author"/>
      </w:pPr>
    </w:p>
    <w:p w14:paraId="293862F2" w14:textId="77777777" w:rsidR="00274C70" w:rsidRDefault="00274C70">
      <w:pPr>
        <w:pStyle w:val="Author"/>
      </w:pPr>
    </w:p>
    <w:p w14:paraId="5FAC72C7" w14:textId="77777777" w:rsidR="00274C70" w:rsidRDefault="00274C70">
      <w:pPr>
        <w:pStyle w:val="Author"/>
      </w:pPr>
    </w:p>
    <w:p w14:paraId="4F02817C" w14:textId="77777777" w:rsidR="00274C70" w:rsidRDefault="00274C70">
      <w:pPr>
        <w:pStyle w:val="Author"/>
      </w:pPr>
    </w:p>
    <w:p w14:paraId="40FF96B0" w14:textId="77777777" w:rsidR="00274C70" w:rsidRDefault="00274C70">
      <w:pPr>
        <w:pStyle w:val="Author"/>
      </w:pPr>
    </w:p>
    <w:p w14:paraId="70E34C99" w14:textId="77777777" w:rsidR="00274C70" w:rsidRDefault="00274C70">
      <w:pPr>
        <w:pStyle w:val="Author"/>
      </w:pPr>
    </w:p>
    <w:p w14:paraId="7071C75A" w14:textId="77777777" w:rsidR="00274C70" w:rsidRDefault="00274C70">
      <w:pPr>
        <w:pStyle w:val="Author"/>
      </w:pPr>
    </w:p>
    <w:p w14:paraId="2331C2D8" w14:textId="77777777" w:rsidR="00274C70" w:rsidRDefault="00274C70">
      <w:pPr>
        <w:pStyle w:val="Author"/>
      </w:pPr>
    </w:p>
    <w:p w14:paraId="372C7A2E" w14:textId="77777777" w:rsidR="00274C70" w:rsidRDefault="00274C70" w:rsidP="00274C70">
      <w:pPr>
        <w:pStyle w:val="Corpodetexto"/>
      </w:pPr>
    </w:p>
    <w:p w14:paraId="0C26D26B" w14:textId="77777777" w:rsidR="00274C70" w:rsidRDefault="00274C70" w:rsidP="00274C70">
      <w:pPr>
        <w:pStyle w:val="Corpodetexto"/>
      </w:pPr>
    </w:p>
    <w:p w14:paraId="19451E06" w14:textId="77777777" w:rsidR="00274C70" w:rsidRPr="00274C70" w:rsidRDefault="00274C70" w:rsidP="00274C70">
      <w:pPr>
        <w:pStyle w:val="Corpodetexto"/>
      </w:pPr>
    </w:p>
    <w:p w14:paraId="481C6C2E" w14:textId="77777777" w:rsidR="00274C70" w:rsidRDefault="00274C70">
      <w:pPr>
        <w:pStyle w:val="Author"/>
      </w:pPr>
    </w:p>
    <w:p w14:paraId="0D976483" w14:textId="77777777" w:rsidR="00274C70" w:rsidRDefault="00274C70">
      <w:pPr>
        <w:pStyle w:val="Author"/>
      </w:pPr>
    </w:p>
    <w:p w14:paraId="153D16EB" w14:textId="056EFAC7" w:rsidR="00C34FD2" w:rsidRDefault="00000000">
      <w:pPr>
        <w:pStyle w:val="Author"/>
      </w:pPr>
      <w:r>
        <w:t>Henrique Alvarenga da Silva</w:t>
      </w:r>
    </w:p>
    <w:p w14:paraId="63A4FFFF" w14:textId="733A5DCC" w:rsidR="00274C70" w:rsidRDefault="00000000">
      <w:pPr>
        <w:pStyle w:val="Data"/>
      </w:pPr>
      <w:r>
        <w:t>maio de 2026</w:t>
      </w:r>
    </w:p>
    <w:p w14:paraId="212D4057" w14:textId="77777777" w:rsidR="00274C70" w:rsidRDefault="00274C70">
      <w:pPr>
        <w:rPr>
          <w:rFonts w:asciiTheme="majorHAnsi" w:eastAsiaTheme="majorEastAsia" w:hAnsiTheme="majorHAnsi" w:cstheme="majorBidi"/>
        </w:rPr>
      </w:pPr>
      <w:r>
        <w:br w:type="page"/>
      </w:r>
    </w:p>
    <w:p w14:paraId="71916E1E" w14:textId="77777777" w:rsidR="00C34FD2" w:rsidRDefault="00C34FD2">
      <w:pPr>
        <w:pStyle w:val="Data"/>
      </w:pPr>
    </w:p>
    <w:p w14:paraId="4D3238F6" w14:textId="77777777" w:rsidR="00274C70" w:rsidRPr="00274C70" w:rsidRDefault="00274C70" w:rsidP="00274C70">
      <w:pPr>
        <w:pStyle w:val="Corpodetexto"/>
      </w:pPr>
    </w:p>
    <w:sdt>
      <w:sdtPr>
        <w:rPr>
          <w:rFonts w:asciiTheme="minorHAnsi" w:eastAsiaTheme="minorHAnsi" w:hAnsiTheme="minorHAnsi" w:cstheme="minorBidi"/>
          <w:color w:val="auto"/>
          <w:sz w:val="24"/>
          <w:szCs w:val="24"/>
        </w:rPr>
        <w:id w:val="-1358431205"/>
        <w:docPartObj>
          <w:docPartGallery w:val="Table of Contents"/>
          <w:docPartUnique/>
        </w:docPartObj>
      </w:sdtPr>
      <w:sdtContent>
        <w:p w14:paraId="4BFDD68B" w14:textId="77777777" w:rsidR="00C34FD2" w:rsidRDefault="00000000">
          <w:pPr>
            <w:pStyle w:val="CabealhodoSumrio"/>
          </w:pPr>
          <w:r>
            <w:t>Sumário</w:t>
          </w:r>
        </w:p>
        <w:p w14:paraId="641C6477" w14:textId="77777777" w:rsidR="00274C70" w:rsidRDefault="00000000">
          <w:pPr>
            <w:pStyle w:val="Sumrio1"/>
            <w:tabs>
              <w:tab w:val="right" w:leader="dot" w:pos="8828"/>
            </w:tabs>
            <w:rPr>
              <w:noProof/>
            </w:rPr>
          </w:pPr>
          <w:r>
            <w:fldChar w:fldCharType="begin"/>
          </w:r>
          <w:r>
            <w:instrText>TOC \o "1-3" \h \z \u</w:instrText>
          </w:r>
          <w:r>
            <w:fldChar w:fldCharType="separate"/>
          </w:r>
          <w:hyperlink w:anchor="_Toc229219536" w:history="1">
            <w:r w:rsidR="00274C70" w:rsidRPr="00342270">
              <w:rPr>
                <w:rStyle w:val="Hyperlink"/>
                <w:noProof/>
              </w:rPr>
              <w:t>Apresentação</w:t>
            </w:r>
            <w:r w:rsidR="00274C70">
              <w:rPr>
                <w:noProof/>
                <w:webHidden/>
              </w:rPr>
              <w:tab/>
            </w:r>
            <w:r w:rsidR="00274C70">
              <w:rPr>
                <w:noProof/>
                <w:webHidden/>
              </w:rPr>
              <w:fldChar w:fldCharType="begin"/>
            </w:r>
            <w:r w:rsidR="00274C70">
              <w:rPr>
                <w:noProof/>
                <w:webHidden/>
              </w:rPr>
              <w:instrText xml:space="preserve"> PAGEREF _Toc229219536 \h </w:instrText>
            </w:r>
            <w:r w:rsidR="00274C70">
              <w:rPr>
                <w:noProof/>
                <w:webHidden/>
              </w:rPr>
            </w:r>
            <w:r w:rsidR="00274C70">
              <w:rPr>
                <w:noProof/>
                <w:webHidden/>
              </w:rPr>
              <w:fldChar w:fldCharType="separate"/>
            </w:r>
            <w:r w:rsidR="00274C70">
              <w:rPr>
                <w:noProof/>
                <w:webHidden/>
              </w:rPr>
              <w:t>4</w:t>
            </w:r>
            <w:r w:rsidR="00274C70">
              <w:rPr>
                <w:noProof/>
                <w:webHidden/>
              </w:rPr>
              <w:fldChar w:fldCharType="end"/>
            </w:r>
          </w:hyperlink>
        </w:p>
        <w:p w14:paraId="30471E7F" w14:textId="77777777" w:rsidR="00274C70" w:rsidRDefault="00274C70">
          <w:pPr>
            <w:pStyle w:val="Sumrio1"/>
            <w:tabs>
              <w:tab w:val="right" w:leader="dot" w:pos="8828"/>
            </w:tabs>
            <w:rPr>
              <w:noProof/>
            </w:rPr>
          </w:pPr>
          <w:hyperlink w:anchor="_Toc229219537" w:history="1">
            <w:r w:rsidRPr="00342270">
              <w:rPr>
                <w:rStyle w:val="Hyperlink"/>
                <w:noProof/>
              </w:rPr>
              <w:t>1. Antes da epidemiologia — Hume, Mill e Koch</w:t>
            </w:r>
            <w:r>
              <w:rPr>
                <w:noProof/>
                <w:webHidden/>
              </w:rPr>
              <w:tab/>
            </w:r>
            <w:r>
              <w:rPr>
                <w:noProof/>
                <w:webHidden/>
              </w:rPr>
              <w:fldChar w:fldCharType="begin"/>
            </w:r>
            <w:r>
              <w:rPr>
                <w:noProof/>
                <w:webHidden/>
              </w:rPr>
              <w:instrText xml:space="preserve"> PAGEREF _Toc229219537 \h </w:instrText>
            </w:r>
            <w:r>
              <w:rPr>
                <w:noProof/>
                <w:webHidden/>
              </w:rPr>
            </w:r>
            <w:r>
              <w:rPr>
                <w:noProof/>
                <w:webHidden/>
              </w:rPr>
              <w:fldChar w:fldCharType="separate"/>
            </w:r>
            <w:r>
              <w:rPr>
                <w:noProof/>
                <w:webHidden/>
              </w:rPr>
              <w:t>5</w:t>
            </w:r>
            <w:r>
              <w:rPr>
                <w:noProof/>
                <w:webHidden/>
              </w:rPr>
              <w:fldChar w:fldCharType="end"/>
            </w:r>
          </w:hyperlink>
        </w:p>
        <w:p w14:paraId="3369ABE1" w14:textId="77777777" w:rsidR="00274C70" w:rsidRDefault="00274C70">
          <w:pPr>
            <w:pStyle w:val="Sumrio2"/>
            <w:tabs>
              <w:tab w:val="right" w:leader="dot" w:pos="8828"/>
            </w:tabs>
            <w:rPr>
              <w:noProof/>
            </w:rPr>
          </w:pPr>
          <w:hyperlink w:anchor="_Toc229219538" w:history="1">
            <w:r w:rsidRPr="00342270">
              <w:rPr>
                <w:rStyle w:val="Hyperlink"/>
                <w:noProof/>
              </w:rPr>
              <w:t>1.1 David Hume</w:t>
            </w:r>
            <w:r>
              <w:rPr>
                <w:noProof/>
                <w:webHidden/>
              </w:rPr>
              <w:tab/>
            </w:r>
            <w:r>
              <w:rPr>
                <w:noProof/>
                <w:webHidden/>
              </w:rPr>
              <w:fldChar w:fldCharType="begin"/>
            </w:r>
            <w:r>
              <w:rPr>
                <w:noProof/>
                <w:webHidden/>
              </w:rPr>
              <w:instrText xml:space="preserve"> PAGEREF _Toc229219538 \h </w:instrText>
            </w:r>
            <w:r>
              <w:rPr>
                <w:noProof/>
                <w:webHidden/>
              </w:rPr>
            </w:r>
            <w:r>
              <w:rPr>
                <w:noProof/>
                <w:webHidden/>
              </w:rPr>
              <w:fldChar w:fldCharType="separate"/>
            </w:r>
            <w:r>
              <w:rPr>
                <w:noProof/>
                <w:webHidden/>
              </w:rPr>
              <w:t>5</w:t>
            </w:r>
            <w:r>
              <w:rPr>
                <w:noProof/>
                <w:webHidden/>
              </w:rPr>
              <w:fldChar w:fldCharType="end"/>
            </w:r>
          </w:hyperlink>
        </w:p>
        <w:p w14:paraId="77F3A3FC" w14:textId="77777777" w:rsidR="00274C70" w:rsidRDefault="00274C70">
          <w:pPr>
            <w:pStyle w:val="Sumrio2"/>
            <w:tabs>
              <w:tab w:val="right" w:leader="dot" w:pos="8828"/>
            </w:tabs>
            <w:rPr>
              <w:noProof/>
            </w:rPr>
          </w:pPr>
          <w:hyperlink w:anchor="_Toc229219539" w:history="1">
            <w:r w:rsidRPr="00342270">
              <w:rPr>
                <w:rStyle w:val="Hyperlink"/>
                <w:noProof/>
              </w:rPr>
              <w:t>1.2 Stuart Mill</w:t>
            </w:r>
            <w:r>
              <w:rPr>
                <w:noProof/>
                <w:webHidden/>
              </w:rPr>
              <w:tab/>
            </w:r>
            <w:r>
              <w:rPr>
                <w:noProof/>
                <w:webHidden/>
              </w:rPr>
              <w:fldChar w:fldCharType="begin"/>
            </w:r>
            <w:r>
              <w:rPr>
                <w:noProof/>
                <w:webHidden/>
              </w:rPr>
              <w:instrText xml:space="preserve"> PAGEREF _Toc229219539 \h </w:instrText>
            </w:r>
            <w:r>
              <w:rPr>
                <w:noProof/>
                <w:webHidden/>
              </w:rPr>
            </w:r>
            <w:r>
              <w:rPr>
                <w:noProof/>
                <w:webHidden/>
              </w:rPr>
              <w:fldChar w:fldCharType="separate"/>
            </w:r>
            <w:r>
              <w:rPr>
                <w:noProof/>
                <w:webHidden/>
              </w:rPr>
              <w:t>8</w:t>
            </w:r>
            <w:r>
              <w:rPr>
                <w:noProof/>
                <w:webHidden/>
              </w:rPr>
              <w:fldChar w:fldCharType="end"/>
            </w:r>
          </w:hyperlink>
        </w:p>
        <w:p w14:paraId="58E7052A" w14:textId="77777777" w:rsidR="00274C70" w:rsidRDefault="00274C70">
          <w:pPr>
            <w:pStyle w:val="Sumrio2"/>
            <w:tabs>
              <w:tab w:val="right" w:leader="dot" w:pos="8828"/>
            </w:tabs>
            <w:rPr>
              <w:noProof/>
            </w:rPr>
          </w:pPr>
          <w:hyperlink w:anchor="_Toc229219540" w:history="1">
            <w:r w:rsidRPr="00342270">
              <w:rPr>
                <w:rStyle w:val="Hyperlink"/>
                <w:noProof/>
              </w:rPr>
              <w:t>1.3 Henle-Koch</w:t>
            </w:r>
            <w:r>
              <w:rPr>
                <w:noProof/>
                <w:webHidden/>
              </w:rPr>
              <w:tab/>
            </w:r>
            <w:r>
              <w:rPr>
                <w:noProof/>
                <w:webHidden/>
              </w:rPr>
              <w:fldChar w:fldCharType="begin"/>
            </w:r>
            <w:r>
              <w:rPr>
                <w:noProof/>
                <w:webHidden/>
              </w:rPr>
              <w:instrText xml:space="preserve"> PAGEREF _Toc229219540 \h </w:instrText>
            </w:r>
            <w:r>
              <w:rPr>
                <w:noProof/>
                <w:webHidden/>
              </w:rPr>
            </w:r>
            <w:r>
              <w:rPr>
                <w:noProof/>
                <w:webHidden/>
              </w:rPr>
              <w:fldChar w:fldCharType="separate"/>
            </w:r>
            <w:r>
              <w:rPr>
                <w:noProof/>
                <w:webHidden/>
              </w:rPr>
              <w:t>11</w:t>
            </w:r>
            <w:r>
              <w:rPr>
                <w:noProof/>
                <w:webHidden/>
              </w:rPr>
              <w:fldChar w:fldCharType="end"/>
            </w:r>
          </w:hyperlink>
        </w:p>
        <w:p w14:paraId="31BDF772" w14:textId="77777777" w:rsidR="00274C70" w:rsidRDefault="00274C70">
          <w:pPr>
            <w:pStyle w:val="Sumrio2"/>
            <w:tabs>
              <w:tab w:val="right" w:leader="dot" w:pos="8828"/>
            </w:tabs>
            <w:rPr>
              <w:noProof/>
            </w:rPr>
          </w:pPr>
          <w:hyperlink w:anchor="_Toc229219541" w:history="1">
            <w:r w:rsidRPr="00342270">
              <w:rPr>
                <w:rStyle w:val="Hyperlink"/>
                <w:noProof/>
              </w:rPr>
              <w:t>1.4 Síntese</w:t>
            </w:r>
            <w:r>
              <w:rPr>
                <w:noProof/>
                <w:webHidden/>
              </w:rPr>
              <w:tab/>
            </w:r>
            <w:r>
              <w:rPr>
                <w:noProof/>
                <w:webHidden/>
              </w:rPr>
              <w:fldChar w:fldCharType="begin"/>
            </w:r>
            <w:r>
              <w:rPr>
                <w:noProof/>
                <w:webHidden/>
              </w:rPr>
              <w:instrText xml:space="preserve"> PAGEREF _Toc229219541 \h </w:instrText>
            </w:r>
            <w:r>
              <w:rPr>
                <w:noProof/>
                <w:webHidden/>
              </w:rPr>
            </w:r>
            <w:r>
              <w:rPr>
                <w:noProof/>
                <w:webHidden/>
              </w:rPr>
              <w:fldChar w:fldCharType="separate"/>
            </w:r>
            <w:r>
              <w:rPr>
                <w:noProof/>
                <w:webHidden/>
              </w:rPr>
              <w:t>13</w:t>
            </w:r>
            <w:r>
              <w:rPr>
                <w:noProof/>
                <w:webHidden/>
              </w:rPr>
              <w:fldChar w:fldCharType="end"/>
            </w:r>
          </w:hyperlink>
        </w:p>
        <w:p w14:paraId="5FCAAC6D" w14:textId="77777777" w:rsidR="00274C70" w:rsidRDefault="00274C70">
          <w:pPr>
            <w:pStyle w:val="Sumrio2"/>
            <w:tabs>
              <w:tab w:val="right" w:leader="dot" w:pos="8828"/>
            </w:tabs>
            <w:rPr>
              <w:noProof/>
            </w:rPr>
          </w:pPr>
          <w:hyperlink w:anchor="_Toc229219542" w:history="1">
            <w:r w:rsidRPr="00342270">
              <w:rPr>
                <w:rStyle w:val="Hyperlink"/>
                <w:noProof/>
              </w:rPr>
              <w:t>1.5 Exercícios</w:t>
            </w:r>
            <w:r>
              <w:rPr>
                <w:noProof/>
                <w:webHidden/>
              </w:rPr>
              <w:tab/>
            </w:r>
            <w:r>
              <w:rPr>
                <w:noProof/>
                <w:webHidden/>
              </w:rPr>
              <w:fldChar w:fldCharType="begin"/>
            </w:r>
            <w:r>
              <w:rPr>
                <w:noProof/>
                <w:webHidden/>
              </w:rPr>
              <w:instrText xml:space="preserve"> PAGEREF _Toc229219542 \h </w:instrText>
            </w:r>
            <w:r>
              <w:rPr>
                <w:noProof/>
                <w:webHidden/>
              </w:rPr>
            </w:r>
            <w:r>
              <w:rPr>
                <w:noProof/>
                <w:webHidden/>
              </w:rPr>
              <w:fldChar w:fldCharType="separate"/>
            </w:r>
            <w:r>
              <w:rPr>
                <w:noProof/>
                <w:webHidden/>
              </w:rPr>
              <w:t>14</w:t>
            </w:r>
            <w:r>
              <w:rPr>
                <w:noProof/>
                <w:webHidden/>
              </w:rPr>
              <w:fldChar w:fldCharType="end"/>
            </w:r>
          </w:hyperlink>
        </w:p>
        <w:p w14:paraId="7D45AD88" w14:textId="77777777" w:rsidR="00274C70" w:rsidRDefault="00274C70">
          <w:pPr>
            <w:pStyle w:val="Sumrio1"/>
            <w:tabs>
              <w:tab w:val="right" w:leader="dot" w:pos="8828"/>
            </w:tabs>
            <w:rPr>
              <w:noProof/>
            </w:rPr>
          </w:pPr>
          <w:hyperlink w:anchor="_Toc229219543" w:history="1">
            <w:r w:rsidRPr="00342270">
              <w:rPr>
                <w:rStyle w:val="Hyperlink"/>
                <w:noProof/>
              </w:rPr>
              <w:t>2. A virada do século XX — Surgeon General, Hill e Rothman</w:t>
            </w:r>
            <w:r>
              <w:rPr>
                <w:noProof/>
                <w:webHidden/>
              </w:rPr>
              <w:tab/>
            </w:r>
            <w:r>
              <w:rPr>
                <w:noProof/>
                <w:webHidden/>
              </w:rPr>
              <w:fldChar w:fldCharType="begin"/>
            </w:r>
            <w:r>
              <w:rPr>
                <w:noProof/>
                <w:webHidden/>
              </w:rPr>
              <w:instrText xml:space="preserve"> PAGEREF _Toc229219543 \h </w:instrText>
            </w:r>
            <w:r>
              <w:rPr>
                <w:noProof/>
                <w:webHidden/>
              </w:rPr>
            </w:r>
            <w:r>
              <w:rPr>
                <w:noProof/>
                <w:webHidden/>
              </w:rPr>
              <w:fldChar w:fldCharType="separate"/>
            </w:r>
            <w:r>
              <w:rPr>
                <w:noProof/>
                <w:webHidden/>
              </w:rPr>
              <w:t>14</w:t>
            </w:r>
            <w:r>
              <w:rPr>
                <w:noProof/>
                <w:webHidden/>
              </w:rPr>
              <w:fldChar w:fldCharType="end"/>
            </w:r>
          </w:hyperlink>
        </w:p>
        <w:p w14:paraId="751F35BC" w14:textId="77777777" w:rsidR="00274C70" w:rsidRDefault="00274C70">
          <w:pPr>
            <w:pStyle w:val="Sumrio2"/>
            <w:tabs>
              <w:tab w:val="right" w:leader="dot" w:pos="8828"/>
            </w:tabs>
            <w:rPr>
              <w:noProof/>
            </w:rPr>
          </w:pPr>
          <w:hyperlink w:anchor="_Toc229219544" w:history="1">
            <w:r w:rsidRPr="00342270">
              <w:rPr>
                <w:rStyle w:val="Hyperlink"/>
                <w:noProof/>
              </w:rPr>
              <w:t>2.1 O Surgeon General Report e a palestra de Hill</w:t>
            </w:r>
            <w:r>
              <w:rPr>
                <w:noProof/>
                <w:webHidden/>
              </w:rPr>
              <w:tab/>
            </w:r>
            <w:r>
              <w:rPr>
                <w:noProof/>
                <w:webHidden/>
              </w:rPr>
              <w:fldChar w:fldCharType="begin"/>
            </w:r>
            <w:r>
              <w:rPr>
                <w:noProof/>
                <w:webHidden/>
              </w:rPr>
              <w:instrText xml:space="preserve"> PAGEREF _Toc229219544 \h </w:instrText>
            </w:r>
            <w:r>
              <w:rPr>
                <w:noProof/>
                <w:webHidden/>
              </w:rPr>
            </w:r>
            <w:r>
              <w:rPr>
                <w:noProof/>
                <w:webHidden/>
              </w:rPr>
              <w:fldChar w:fldCharType="separate"/>
            </w:r>
            <w:r>
              <w:rPr>
                <w:noProof/>
                <w:webHidden/>
              </w:rPr>
              <w:t>16</w:t>
            </w:r>
            <w:r>
              <w:rPr>
                <w:noProof/>
                <w:webHidden/>
              </w:rPr>
              <w:fldChar w:fldCharType="end"/>
            </w:r>
          </w:hyperlink>
        </w:p>
        <w:p w14:paraId="495D6CC0" w14:textId="77777777" w:rsidR="00274C70" w:rsidRDefault="00274C70">
          <w:pPr>
            <w:pStyle w:val="Sumrio2"/>
            <w:tabs>
              <w:tab w:val="right" w:leader="dot" w:pos="8828"/>
            </w:tabs>
            <w:rPr>
              <w:noProof/>
            </w:rPr>
          </w:pPr>
          <w:hyperlink w:anchor="_Toc229219545" w:history="1">
            <w:r w:rsidRPr="00342270">
              <w:rPr>
                <w:rStyle w:val="Hyperlink"/>
                <w:noProof/>
              </w:rPr>
              <w:t>2.2 Os nove pontos de vista</w:t>
            </w:r>
            <w:r>
              <w:rPr>
                <w:noProof/>
                <w:webHidden/>
              </w:rPr>
              <w:tab/>
            </w:r>
            <w:r>
              <w:rPr>
                <w:noProof/>
                <w:webHidden/>
              </w:rPr>
              <w:fldChar w:fldCharType="begin"/>
            </w:r>
            <w:r>
              <w:rPr>
                <w:noProof/>
                <w:webHidden/>
              </w:rPr>
              <w:instrText xml:space="preserve"> PAGEREF _Toc229219545 \h </w:instrText>
            </w:r>
            <w:r>
              <w:rPr>
                <w:noProof/>
                <w:webHidden/>
              </w:rPr>
            </w:r>
            <w:r>
              <w:rPr>
                <w:noProof/>
                <w:webHidden/>
              </w:rPr>
              <w:fldChar w:fldCharType="separate"/>
            </w:r>
            <w:r>
              <w:rPr>
                <w:noProof/>
                <w:webHidden/>
              </w:rPr>
              <w:t>18</w:t>
            </w:r>
            <w:r>
              <w:rPr>
                <w:noProof/>
                <w:webHidden/>
              </w:rPr>
              <w:fldChar w:fldCharType="end"/>
            </w:r>
          </w:hyperlink>
        </w:p>
        <w:p w14:paraId="2021DA8B" w14:textId="77777777" w:rsidR="00274C70" w:rsidRDefault="00274C70">
          <w:pPr>
            <w:pStyle w:val="Sumrio2"/>
            <w:tabs>
              <w:tab w:val="right" w:leader="dot" w:pos="8828"/>
            </w:tabs>
            <w:rPr>
              <w:noProof/>
            </w:rPr>
          </w:pPr>
          <w:hyperlink w:anchor="_Toc229219546" w:history="1">
            <w:r w:rsidRPr="00342270">
              <w:rPr>
                <w:rStyle w:val="Hyperlink"/>
                <w:noProof/>
              </w:rPr>
              <w:t>2.3 Rothman e a causa suficiente</w:t>
            </w:r>
            <w:r>
              <w:rPr>
                <w:noProof/>
                <w:webHidden/>
              </w:rPr>
              <w:tab/>
            </w:r>
            <w:r>
              <w:rPr>
                <w:noProof/>
                <w:webHidden/>
              </w:rPr>
              <w:fldChar w:fldCharType="begin"/>
            </w:r>
            <w:r>
              <w:rPr>
                <w:noProof/>
                <w:webHidden/>
              </w:rPr>
              <w:instrText xml:space="preserve"> PAGEREF _Toc229219546 \h </w:instrText>
            </w:r>
            <w:r>
              <w:rPr>
                <w:noProof/>
                <w:webHidden/>
              </w:rPr>
            </w:r>
            <w:r>
              <w:rPr>
                <w:noProof/>
                <w:webHidden/>
              </w:rPr>
              <w:fldChar w:fldCharType="separate"/>
            </w:r>
            <w:r>
              <w:rPr>
                <w:noProof/>
                <w:webHidden/>
              </w:rPr>
              <w:t>19</w:t>
            </w:r>
            <w:r>
              <w:rPr>
                <w:noProof/>
                <w:webHidden/>
              </w:rPr>
              <w:fldChar w:fldCharType="end"/>
            </w:r>
          </w:hyperlink>
        </w:p>
        <w:p w14:paraId="4DC9C356" w14:textId="77777777" w:rsidR="00274C70" w:rsidRDefault="00274C70">
          <w:pPr>
            <w:pStyle w:val="Sumrio3"/>
            <w:tabs>
              <w:tab w:val="right" w:leader="dot" w:pos="8828"/>
            </w:tabs>
            <w:rPr>
              <w:noProof/>
            </w:rPr>
          </w:pPr>
          <w:hyperlink w:anchor="_Toc229219547" w:history="1">
            <w:r w:rsidRPr="00342270">
              <w:rPr>
                <w:rStyle w:val="Hyperlink"/>
                <w:noProof/>
              </w:rPr>
              <w:t>2.3.1 Sinergia e modificação de efeito</w:t>
            </w:r>
            <w:r>
              <w:rPr>
                <w:noProof/>
                <w:webHidden/>
              </w:rPr>
              <w:tab/>
            </w:r>
            <w:r>
              <w:rPr>
                <w:noProof/>
                <w:webHidden/>
              </w:rPr>
              <w:fldChar w:fldCharType="begin"/>
            </w:r>
            <w:r>
              <w:rPr>
                <w:noProof/>
                <w:webHidden/>
              </w:rPr>
              <w:instrText xml:space="preserve"> PAGEREF _Toc229219547 \h </w:instrText>
            </w:r>
            <w:r>
              <w:rPr>
                <w:noProof/>
                <w:webHidden/>
              </w:rPr>
            </w:r>
            <w:r>
              <w:rPr>
                <w:noProof/>
                <w:webHidden/>
              </w:rPr>
              <w:fldChar w:fldCharType="separate"/>
            </w:r>
            <w:r>
              <w:rPr>
                <w:noProof/>
                <w:webHidden/>
              </w:rPr>
              <w:t>21</w:t>
            </w:r>
            <w:r>
              <w:rPr>
                <w:noProof/>
                <w:webHidden/>
              </w:rPr>
              <w:fldChar w:fldCharType="end"/>
            </w:r>
          </w:hyperlink>
        </w:p>
        <w:p w14:paraId="5057A6F6" w14:textId="77777777" w:rsidR="00274C70" w:rsidRDefault="00274C70">
          <w:pPr>
            <w:pStyle w:val="Sumrio3"/>
            <w:tabs>
              <w:tab w:val="right" w:leader="dot" w:pos="8828"/>
            </w:tabs>
            <w:rPr>
              <w:noProof/>
            </w:rPr>
          </w:pPr>
          <w:hyperlink w:anchor="_Toc229219548" w:history="1">
            <w:r w:rsidRPr="00342270">
              <w:rPr>
                <w:rStyle w:val="Hyperlink"/>
                <w:noProof/>
              </w:rPr>
              <w:t>2.3.2 Fração etiológica</w:t>
            </w:r>
            <w:r>
              <w:rPr>
                <w:noProof/>
                <w:webHidden/>
              </w:rPr>
              <w:tab/>
            </w:r>
            <w:r>
              <w:rPr>
                <w:noProof/>
                <w:webHidden/>
              </w:rPr>
              <w:fldChar w:fldCharType="begin"/>
            </w:r>
            <w:r>
              <w:rPr>
                <w:noProof/>
                <w:webHidden/>
              </w:rPr>
              <w:instrText xml:space="preserve"> PAGEREF _Toc229219548 \h </w:instrText>
            </w:r>
            <w:r>
              <w:rPr>
                <w:noProof/>
                <w:webHidden/>
              </w:rPr>
            </w:r>
            <w:r>
              <w:rPr>
                <w:noProof/>
                <w:webHidden/>
              </w:rPr>
              <w:fldChar w:fldCharType="separate"/>
            </w:r>
            <w:r>
              <w:rPr>
                <w:noProof/>
                <w:webHidden/>
              </w:rPr>
              <w:t>22</w:t>
            </w:r>
            <w:r>
              <w:rPr>
                <w:noProof/>
                <w:webHidden/>
              </w:rPr>
              <w:fldChar w:fldCharType="end"/>
            </w:r>
          </w:hyperlink>
        </w:p>
        <w:p w14:paraId="4DAD1AB6" w14:textId="77777777" w:rsidR="00274C70" w:rsidRDefault="00274C70">
          <w:pPr>
            <w:pStyle w:val="Sumrio2"/>
            <w:tabs>
              <w:tab w:val="right" w:leader="dot" w:pos="8828"/>
            </w:tabs>
            <w:rPr>
              <w:noProof/>
            </w:rPr>
          </w:pPr>
          <w:hyperlink w:anchor="_Toc229219549" w:history="1">
            <w:r w:rsidRPr="00342270">
              <w:rPr>
                <w:rStyle w:val="Hyperlink"/>
                <w:noProof/>
              </w:rPr>
              <w:t>2.4 Síntese</w:t>
            </w:r>
            <w:r>
              <w:rPr>
                <w:noProof/>
                <w:webHidden/>
              </w:rPr>
              <w:tab/>
            </w:r>
            <w:r>
              <w:rPr>
                <w:noProof/>
                <w:webHidden/>
              </w:rPr>
              <w:fldChar w:fldCharType="begin"/>
            </w:r>
            <w:r>
              <w:rPr>
                <w:noProof/>
                <w:webHidden/>
              </w:rPr>
              <w:instrText xml:space="preserve"> PAGEREF _Toc229219549 \h </w:instrText>
            </w:r>
            <w:r>
              <w:rPr>
                <w:noProof/>
                <w:webHidden/>
              </w:rPr>
            </w:r>
            <w:r>
              <w:rPr>
                <w:noProof/>
                <w:webHidden/>
              </w:rPr>
              <w:fldChar w:fldCharType="separate"/>
            </w:r>
            <w:r>
              <w:rPr>
                <w:noProof/>
                <w:webHidden/>
              </w:rPr>
              <w:t>22</w:t>
            </w:r>
            <w:r>
              <w:rPr>
                <w:noProof/>
                <w:webHidden/>
              </w:rPr>
              <w:fldChar w:fldCharType="end"/>
            </w:r>
          </w:hyperlink>
        </w:p>
        <w:p w14:paraId="04E68ED0" w14:textId="77777777" w:rsidR="00274C70" w:rsidRDefault="00274C70">
          <w:pPr>
            <w:pStyle w:val="Sumrio2"/>
            <w:tabs>
              <w:tab w:val="right" w:leader="dot" w:pos="8828"/>
            </w:tabs>
            <w:rPr>
              <w:noProof/>
            </w:rPr>
          </w:pPr>
          <w:hyperlink w:anchor="_Toc229219550" w:history="1">
            <w:r w:rsidRPr="00342270">
              <w:rPr>
                <w:rStyle w:val="Hyperlink"/>
                <w:noProof/>
              </w:rPr>
              <w:t>2.5 Exercícios</w:t>
            </w:r>
            <w:r>
              <w:rPr>
                <w:noProof/>
                <w:webHidden/>
              </w:rPr>
              <w:tab/>
            </w:r>
            <w:r>
              <w:rPr>
                <w:noProof/>
                <w:webHidden/>
              </w:rPr>
              <w:fldChar w:fldCharType="begin"/>
            </w:r>
            <w:r>
              <w:rPr>
                <w:noProof/>
                <w:webHidden/>
              </w:rPr>
              <w:instrText xml:space="preserve"> PAGEREF _Toc229219550 \h </w:instrText>
            </w:r>
            <w:r>
              <w:rPr>
                <w:noProof/>
                <w:webHidden/>
              </w:rPr>
            </w:r>
            <w:r>
              <w:rPr>
                <w:noProof/>
                <w:webHidden/>
              </w:rPr>
              <w:fldChar w:fldCharType="separate"/>
            </w:r>
            <w:r>
              <w:rPr>
                <w:noProof/>
                <w:webHidden/>
              </w:rPr>
              <w:t>22</w:t>
            </w:r>
            <w:r>
              <w:rPr>
                <w:noProof/>
                <w:webHidden/>
              </w:rPr>
              <w:fldChar w:fldCharType="end"/>
            </w:r>
          </w:hyperlink>
        </w:p>
        <w:p w14:paraId="1C017B1C" w14:textId="77777777" w:rsidR="00274C70" w:rsidRDefault="00274C70">
          <w:pPr>
            <w:pStyle w:val="Sumrio1"/>
            <w:tabs>
              <w:tab w:val="right" w:leader="dot" w:pos="8828"/>
            </w:tabs>
            <w:rPr>
              <w:noProof/>
            </w:rPr>
          </w:pPr>
          <w:hyperlink w:anchor="_Toc229219551" w:history="1">
            <w:r w:rsidRPr="00342270">
              <w:rPr>
                <w:rStyle w:val="Hyperlink"/>
                <w:noProof/>
              </w:rPr>
              <w:t xml:space="preserve">3. A formalização da inferência causal — resultados potenciais, DAGs e </w:t>
            </w:r>
            <w:r w:rsidRPr="00342270">
              <w:rPr>
                <w:rStyle w:val="Hyperlink"/>
                <w:i/>
                <w:iCs/>
                <w:noProof/>
              </w:rPr>
              <w:t>target trial</w:t>
            </w:r>
            <w:r>
              <w:rPr>
                <w:noProof/>
                <w:webHidden/>
              </w:rPr>
              <w:tab/>
            </w:r>
            <w:r>
              <w:rPr>
                <w:noProof/>
                <w:webHidden/>
              </w:rPr>
              <w:fldChar w:fldCharType="begin"/>
            </w:r>
            <w:r>
              <w:rPr>
                <w:noProof/>
                <w:webHidden/>
              </w:rPr>
              <w:instrText xml:space="preserve"> PAGEREF _Toc229219551 \h </w:instrText>
            </w:r>
            <w:r>
              <w:rPr>
                <w:noProof/>
                <w:webHidden/>
              </w:rPr>
            </w:r>
            <w:r>
              <w:rPr>
                <w:noProof/>
                <w:webHidden/>
              </w:rPr>
              <w:fldChar w:fldCharType="separate"/>
            </w:r>
            <w:r>
              <w:rPr>
                <w:noProof/>
                <w:webHidden/>
              </w:rPr>
              <w:t>23</w:t>
            </w:r>
            <w:r>
              <w:rPr>
                <w:noProof/>
                <w:webHidden/>
              </w:rPr>
              <w:fldChar w:fldCharType="end"/>
            </w:r>
          </w:hyperlink>
        </w:p>
        <w:p w14:paraId="7FDCA7D3" w14:textId="77777777" w:rsidR="00274C70" w:rsidRDefault="00274C70">
          <w:pPr>
            <w:pStyle w:val="Sumrio2"/>
            <w:tabs>
              <w:tab w:val="right" w:leader="dot" w:pos="8828"/>
            </w:tabs>
            <w:rPr>
              <w:noProof/>
            </w:rPr>
          </w:pPr>
          <w:hyperlink w:anchor="_Toc229219552" w:history="1">
            <w:r w:rsidRPr="00342270">
              <w:rPr>
                <w:rStyle w:val="Hyperlink"/>
                <w:noProof/>
              </w:rPr>
              <w:t>3.1 Resultados potenciais</w:t>
            </w:r>
            <w:r>
              <w:rPr>
                <w:noProof/>
                <w:webHidden/>
              </w:rPr>
              <w:tab/>
            </w:r>
            <w:r>
              <w:rPr>
                <w:noProof/>
                <w:webHidden/>
              </w:rPr>
              <w:fldChar w:fldCharType="begin"/>
            </w:r>
            <w:r>
              <w:rPr>
                <w:noProof/>
                <w:webHidden/>
              </w:rPr>
              <w:instrText xml:space="preserve"> PAGEREF _Toc229219552 \h </w:instrText>
            </w:r>
            <w:r>
              <w:rPr>
                <w:noProof/>
                <w:webHidden/>
              </w:rPr>
            </w:r>
            <w:r>
              <w:rPr>
                <w:noProof/>
                <w:webHidden/>
              </w:rPr>
              <w:fldChar w:fldCharType="separate"/>
            </w:r>
            <w:r>
              <w:rPr>
                <w:noProof/>
                <w:webHidden/>
              </w:rPr>
              <w:t>23</w:t>
            </w:r>
            <w:r>
              <w:rPr>
                <w:noProof/>
                <w:webHidden/>
              </w:rPr>
              <w:fldChar w:fldCharType="end"/>
            </w:r>
          </w:hyperlink>
        </w:p>
        <w:p w14:paraId="4F1F54DE" w14:textId="77777777" w:rsidR="00274C70" w:rsidRDefault="00274C70">
          <w:pPr>
            <w:pStyle w:val="Sumrio2"/>
            <w:tabs>
              <w:tab w:val="right" w:leader="dot" w:pos="8828"/>
            </w:tabs>
            <w:rPr>
              <w:noProof/>
            </w:rPr>
          </w:pPr>
          <w:hyperlink w:anchor="_Toc229219553" w:history="1">
            <w:r w:rsidRPr="00342270">
              <w:rPr>
                <w:rStyle w:val="Hyperlink"/>
                <w:noProof/>
              </w:rPr>
              <w:t>3.2 Três condições para estimar o efeito causal</w:t>
            </w:r>
            <w:r>
              <w:rPr>
                <w:noProof/>
                <w:webHidden/>
              </w:rPr>
              <w:tab/>
            </w:r>
            <w:r>
              <w:rPr>
                <w:noProof/>
                <w:webHidden/>
              </w:rPr>
              <w:fldChar w:fldCharType="begin"/>
            </w:r>
            <w:r>
              <w:rPr>
                <w:noProof/>
                <w:webHidden/>
              </w:rPr>
              <w:instrText xml:space="preserve"> PAGEREF _Toc229219553 \h </w:instrText>
            </w:r>
            <w:r>
              <w:rPr>
                <w:noProof/>
                <w:webHidden/>
              </w:rPr>
            </w:r>
            <w:r>
              <w:rPr>
                <w:noProof/>
                <w:webHidden/>
              </w:rPr>
              <w:fldChar w:fldCharType="separate"/>
            </w:r>
            <w:r>
              <w:rPr>
                <w:noProof/>
                <w:webHidden/>
              </w:rPr>
              <w:t>23</w:t>
            </w:r>
            <w:r>
              <w:rPr>
                <w:noProof/>
                <w:webHidden/>
              </w:rPr>
              <w:fldChar w:fldCharType="end"/>
            </w:r>
          </w:hyperlink>
        </w:p>
        <w:p w14:paraId="0007B539" w14:textId="77777777" w:rsidR="00274C70" w:rsidRDefault="00274C70">
          <w:pPr>
            <w:pStyle w:val="Sumrio2"/>
            <w:tabs>
              <w:tab w:val="right" w:leader="dot" w:pos="8828"/>
            </w:tabs>
            <w:rPr>
              <w:noProof/>
            </w:rPr>
          </w:pPr>
          <w:hyperlink w:anchor="_Toc229219554" w:history="1">
            <w:r w:rsidRPr="00342270">
              <w:rPr>
                <w:rStyle w:val="Hyperlink"/>
                <w:noProof/>
              </w:rPr>
              <w:t>3.3 Confundimento como problema de identificação</w:t>
            </w:r>
            <w:r>
              <w:rPr>
                <w:noProof/>
                <w:webHidden/>
              </w:rPr>
              <w:tab/>
            </w:r>
            <w:r>
              <w:rPr>
                <w:noProof/>
                <w:webHidden/>
              </w:rPr>
              <w:fldChar w:fldCharType="begin"/>
            </w:r>
            <w:r>
              <w:rPr>
                <w:noProof/>
                <w:webHidden/>
              </w:rPr>
              <w:instrText xml:space="preserve"> PAGEREF _Toc229219554 \h </w:instrText>
            </w:r>
            <w:r>
              <w:rPr>
                <w:noProof/>
                <w:webHidden/>
              </w:rPr>
            </w:r>
            <w:r>
              <w:rPr>
                <w:noProof/>
                <w:webHidden/>
              </w:rPr>
              <w:fldChar w:fldCharType="separate"/>
            </w:r>
            <w:r>
              <w:rPr>
                <w:noProof/>
                <w:webHidden/>
              </w:rPr>
              <w:t>24</w:t>
            </w:r>
            <w:r>
              <w:rPr>
                <w:noProof/>
                <w:webHidden/>
              </w:rPr>
              <w:fldChar w:fldCharType="end"/>
            </w:r>
          </w:hyperlink>
        </w:p>
        <w:p w14:paraId="42C006C0" w14:textId="77777777" w:rsidR="00274C70" w:rsidRDefault="00274C70">
          <w:pPr>
            <w:pStyle w:val="Sumrio2"/>
            <w:tabs>
              <w:tab w:val="right" w:leader="dot" w:pos="8828"/>
            </w:tabs>
            <w:rPr>
              <w:noProof/>
            </w:rPr>
          </w:pPr>
          <w:hyperlink w:anchor="_Toc229219555" w:history="1">
            <w:r w:rsidRPr="00342270">
              <w:rPr>
                <w:rStyle w:val="Hyperlink"/>
                <w:noProof/>
              </w:rPr>
              <w:t>3.4 Grafos acíclicos direcionados</w:t>
            </w:r>
            <w:r>
              <w:rPr>
                <w:noProof/>
                <w:webHidden/>
              </w:rPr>
              <w:tab/>
            </w:r>
            <w:r>
              <w:rPr>
                <w:noProof/>
                <w:webHidden/>
              </w:rPr>
              <w:fldChar w:fldCharType="begin"/>
            </w:r>
            <w:r>
              <w:rPr>
                <w:noProof/>
                <w:webHidden/>
              </w:rPr>
              <w:instrText xml:space="preserve"> PAGEREF _Toc229219555 \h </w:instrText>
            </w:r>
            <w:r>
              <w:rPr>
                <w:noProof/>
                <w:webHidden/>
              </w:rPr>
            </w:r>
            <w:r>
              <w:rPr>
                <w:noProof/>
                <w:webHidden/>
              </w:rPr>
              <w:fldChar w:fldCharType="separate"/>
            </w:r>
            <w:r>
              <w:rPr>
                <w:noProof/>
                <w:webHidden/>
              </w:rPr>
              <w:t>25</w:t>
            </w:r>
            <w:r>
              <w:rPr>
                <w:noProof/>
                <w:webHidden/>
              </w:rPr>
              <w:fldChar w:fldCharType="end"/>
            </w:r>
          </w:hyperlink>
        </w:p>
        <w:p w14:paraId="5BCFD2AF" w14:textId="77777777" w:rsidR="00274C70" w:rsidRDefault="00274C70">
          <w:pPr>
            <w:pStyle w:val="Sumrio3"/>
            <w:tabs>
              <w:tab w:val="right" w:leader="dot" w:pos="8828"/>
            </w:tabs>
            <w:rPr>
              <w:noProof/>
            </w:rPr>
          </w:pPr>
          <w:hyperlink w:anchor="_Toc229219556" w:history="1">
            <w:r w:rsidRPr="00342270">
              <w:rPr>
                <w:rStyle w:val="Hyperlink"/>
                <w:noProof/>
              </w:rPr>
              <w:t>3.4.1 Três estruturas elementares</w:t>
            </w:r>
            <w:r>
              <w:rPr>
                <w:noProof/>
                <w:webHidden/>
              </w:rPr>
              <w:tab/>
            </w:r>
            <w:r>
              <w:rPr>
                <w:noProof/>
                <w:webHidden/>
              </w:rPr>
              <w:fldChar w:fldCharType="begin"/>
            </w:r>
            <w:r>
              <w:rPr>
                <w:noProof/>
                <w:webHidden/>
              </w:rPr>
              <w:instrText xml:space="preserve"> PAGEREF _Toc229219556 \h </w:instrText>
            </w:r>
            <w:r>
              <w:rPr>
                <w:noProof/>
                <w:webHidden/>
              </w:rPr>
            </w:r>
            <w:r>
              <w:rPr>
                <w:noProof/>
                <w:webHidden/>
              </w:rPr>
              <w:fldChar w:fldCharType="separate"/>
            </w:r>
            <w:r>
              <w:rPr>
                <w:noProof/>
                <w:webHidden/>
              </w:rPr>
              <w:t>25</w:t>
            </w:r>
            <w:r>
              <w:rPr>
                <w:noProof/>
                <w:webHidden/>
              </w:rPr>
              <w:fldChar w:fldCharType="end"/>
            </w:r>
          </w:hyperlink>
        </w:p>
        <w:p w14:paraId="4ED2705F" w14:textId="77777777" w:rsidR="00274C70" w:rsidRDefault="00274C70">
          <w:pPr>
            <w:pStyle w:val="Sumrio3"/>
            <w:tabs>
              <w:tab w:val="right" w:leader="dot" w:pos="8828"/>
            </w:tabs>
            <w:rPr>
              <w:noProof/>
            </w:rPr>
          </w:pPr>
          <w:hyperlink w:anchor="_Toc229219557" w:history="1">
            <w:r w:rsidRPr="00342270">
              <w:rPr>
                <w:rStyle w:val="Hyperlink"/>
                <w:noProof/>
              </w:rPr>
              <w:t>3.4.2 A regra geral: d-separação e porta dos fundos</w:t>
            </w:r>
            <w:r>
              <w:rPr>
                <w:noProof/>
                <w:webHidden/>
              </w:rPr>
              <w:tab/>
            </w:r>
            <w:r>
              <w:rPr>
                <w:noProof/>
                <w:webHidden/>
              </w:rPr>
              <w:fldChar w:fldCharType="begin"/>
            </w:r>
            <w:r>
              <w:rPr>
                <w:noProof/>
                <w:webHidden/>
              </w:rPr>
              <w:instrText xml:space="preserve"> PAGEREF _Toc229219557 \h </w:instrText>
            </w:r>
            <w:r>
              <w:rPr>
                <w:noProof/>
                <w:webHidden/>
              </w:rPr>
            </w:r>
            <w:r>
              <w:rPr>
                <w:noProof/>
                <w:webHidden/>
              </w:rPr>
              <w:fldChar w:fldCharType="separate"/>
            </w:r>
            <w:r>
              <w:rPr>
                <w:noProof/>
                <w:webHidden/>
              </w:rPr>
              <w:t>26</w:t>
            </w:r>
            <w:r>
              <w:rPr>
                <w:noProof/>
                <w:webHidden/>
              </w:rPr>
              <w:fldChar w:fldCharType="end"/>
            </w:r>
          </w:hyperlink>
        </w:p>
        <w:p w14:paraId="7A2DBC75" w14:textId="77777777" w:rsidR="00274C70" w:rsidRDefault="00274C70">
          <w:pPr>
            <w:pStyle w:val="Sumrio3"/>
            <w:tabs>
              <w:tab w:val="right" w:leader="dot" w:pos="8828"/>
            </w:tabs>
            <w:rPr>
              <w:noProof/>
            </w:rPr>
          </w:pPr>
          <w:hyperlink w:anchor="_Toc229219558" w:history="1">
            <w:r w:rsidRPr="00342270">
              <w:rPr>
                <w:rStyle w:val="Hyperlink"/>
                <w:noProof/>
              </w:rPr>
              <w:t>3.4.3 Viés-M e seleção por significância estatística</w:t>
            </w:r>
            <w:r>
              <w:rPr>
                <w:noProof/>
                <w:webHidden/>
              </w:rPr>
              <w:tab/>
            </w:r>
            <w:r>
              <w:rPr>
                <w:noProof/>
                <w:webHidden/>
              </w:rPr>
              <w:fldChar w:fldCharType="begin"/>
            </w:r>
            <w:r>
              <w:rPr>
                <w:noProof/>
                <w:webHidden/>
              </w:rPr>
              <w:instrText xml:space="preserve"> PAGEREF _Toc229219558 \h </w:instrText>
            </w:r>
            <w:r>
              <w:rPr>
                <w:noProof/>
                <w:webHidden/>
              </w:rPr>
            </w:r>
            <w:r>
              <w:rPr>
                <w:noProof/>
                <w:webHidden/>
              </w:rPr>
              <w:fldChar w:fldCharType="separate"/>
            </w:r>
            <w:r>
              <w:rPr>
                <w:noProof/>
                <w:webHidden/>
              </w:rPr>
              <w:t>26</w:t>
            </w:r>
            <w:r>
              <w:rPr>
                <w:noProof/>
                <w:webHidden/>
              </w:rPr>
              <w:fldChar w:fldCharType="end"/>
            </w:r>
          </w:hyperlink>
        </w:p>
        <w:p w14:paraId="47A3CD70" w14:textId="77777777" w:rsidR="00274C70" w:rsidRDefault="00274C70">
          <w:pPr>
            <w:pStyle w:val="Sumrio3"/>
            <w:tabs>
              <w:tab w:val="right" w:leader="dot" w:pos="8828"/>
            </w:tabs>
            <w:rPr>
              <w:noProof/>
            </w:rPr>
          </w:pPr>
          <w:hyperlink w:anchor="_Toc229219559" w:history="1">
            <w:r w:rsidRPr="00342270">
              <w:rPr>
                <w:rStyle w:val="Hyperlink"/>
                <w:noProof/>
              </w:rPr>
              <w:t>3.4.4 Limitações dos DAGs</w:t>
            </w:r>
            <w:r>
              <w:rPr>
                <w:noProof/>
                <w:webHidden/>
              </w:rPr>
              <w:tab/>
            </w:r>
            <w:r>
              <w:rPr>
                <w:noProof/>
                <w:webHidden/>
              </w:rPr>
              <w:fldChar w:fldCharType="begin"/>
            </w:r>
            <w:r>
              <w:rPr>
                <w:noProof/>
                <w:webHidden/>
              </w:rPr>
              <w:instrText xml:space="preserve"> PAGEREF _Toc229219559 \h </w:instrText>
            </w:r>
            <w:r>
              <w:rPr>
                <w:noProof/>
                <w:webHidden/>
              </w:rPr>
            </w:r>
            <w:r>
              <w:rPr>
                <w:noProof/>
                <w:webHidden/>
              </w:rPr>
              <w:fldChar w:fldCharType="separate"/>
            </w:r>
            <w:r>
              <w:rPr>
                <w:noProof/>
                <w:webHidden/>
              </w:rPr>
              <w:t>28</w:t>
            </w:r>
            <w:r>
              <w:rPr>
                <w:noProof/>
                <w:webHidden/>
              </w:rPr>
              <w:fldChar w:fldCharType="end"/>
            </w:r>
          </w:hyperlink>
        </w:p>
        <w:p w14:paraId="720D21F8" w14:textId="77777777" w:rsidR="00274C70" w:rsidRDefault="00274C70">
          <w:pPr>
            <w:pStyle w:val="Sumrio2"/>
            <w:tabs>
              <w:tab w:val="right" w:leader="dot" w:pos="8828"/>
            </w:tabs>
            <w:rPr>
              <w:noProof/>
            </w:rPr>
          </w:pPr>
          <w:hyperlink w:anchor="_Toc229219560" w:history="1">
            <w:r w:rsidRPr="00342270">
              <w:rPr>
                <w:rStyle w:val="Hyperlink"/>
                <w:noProof/>
              </w:rPr>
              <w:t>3.5 A direção do viés</w:t>
            </w:r>
            <w:r>
              <w:rPr>
                <w:noProof/>
                <w:webHidden/>
              </w:rPr>
              <w:tab/>
            </w:r>
            <w:r>
              <w:rPr>
                <w:noProof/>
                <w:webHidden/>
              </w:rPr>
              <w:fldChar w:fldCharType="begin"/>
            </w:r>
            <w:r>
              <w:rPr>
                <w:noProof/>
                <w:webHidden/>
              </w:rPr>
              <w:instrText xml:space="preserve"> PAGEREF _Toc229219560 \h </w:instrText>
            </w:r>
            <w:r>
              <w:rPr>
                <w:noProof/>
                <w:webHidden/>
              </w:rPr>
            </w:r>
            <w:r>
              <w:rPr>
                <w:noProof/>
                <w:webHidden/>
              </w:rPr>
              <w:fldChar w:fldCharType="separate"/>
            </w:r>
            <w:r>
              <w:rPr>
                <w:noProof/>
                <w:webHidden/>
              </w:rPr>
              <w:t>28</w:t>
            </w:r>
            <w:r>
              <w:rPr>
                <w:noProof/>
                <w:webHidden/>
              </w:rPr>
              <w:fldChar w:fldCharType="end"/>
            </w:r>
          </w:hyperlink>
        </w:p>
        <w:p w14:paraId="7CDD1097" w14:textId="77777777" w:rsidR="00274C70" w:rsidRDefault="00274C70">
          <w:pPr>
            <w:pStyle w:val="Sumrio2"/>
            <w:tabs>
              <w:tab w:val="right" w:leader="dot" w:pos="8828"/>
            </w:tabs>
            <w:rPr>
              <w:noProof/>
            </w:rPr>
          </w:pPr>
          <w:hyperlink w:anchor="_Toc229219561" w:history="1">
            <w:r w:rsidRPr="00342270">
              <w:rPr>
                <w:rStyle w:val="Hyperlink"/>
                <w:noProof/>
              </w:rPr>
              <w:t>3.6 O target trial</w:t>
            </w:r>
            <w:r>
              <w:rPr>
                <w:noProof/>
                <w:webHidden/>
              </w:rPr>
              <w:tab/>
            </w:r>
            <w:r>
              <w:rPr>
                <w:noProof/>
                <w:webHidden/>
              </w:rPr>
              <w:fldChar w:fldCharType="begin"/>
            </w:r>
            <w:r>
              <w:rPr>
                <w:noProof/>
                <w:webHidden/>
              </w:rPr>
              <w:instrText xml:space="preserve"> PAGEREF _Toc229219561 \h </w:instrText>
            </w:r>
            <w:r>
              <w:rPr>
                <w:noProof/>
                <w:webHidden/>
              </w:rPr>
            </w:r>
            <w:r>
              <w:rPr>
                <w:noProof/>
                <w:webHidden/>
              </w:rPr>
              <w:fldChar w:fldCharType="separate"/>
            </w:r>
            <w:r>
              <w:rPr>
                <w:noProof/>
                <w:webHidden/>
              </w:rPr>
              <w:t>28</w:t>
            </w:r>
            <w:r>
              <w:rPr>
                <w:noProof/>
                <w:webHidden/>
              </w:rPr>
              <w:fldChar w:fldCharType="end"/>
            </w:r>
          </w:hyperlink>
        </w:p>
        <w:p w14:paraId="47D26778" w14:textId="77777777" w:rsidR="00274C70" w:rsidRDefault="00274C70">
          <w:pPr>
            <w:pStyle w:val="Sumrio2"/>
            <w:tabs>
              <w:tab w:val="right" w:leader="dot" w:pos="8828"/>
            </w:tabs>
            <w:rPr>
              <w:noProof/>
            </w:rPr>
          </w:pPr>
          <w:hyperlink w:anchor="_Toc229219562" w:history="1">
            <w:r w:rsidRPr="00342270">
              <w:rPr>
                <w:rStyle w:val="Hyperlink"/>
                <w:noProof/>
              </w:rPr>
              <w:t>3.7 Síntese</w:t>
            </w:r>
            <w:r>
              <w:rPr>
                <w:noProof/>
                <w:webHidden/>
              </w:rPr>
              <w:tab/>
            </w:r>
            <w:r>
              <w:rPr>
                <w:noProof/>
                <w:webHidden/>
              </w:rPr>
              <w:fldChar w:fldCharType="begin"/>
            </w:r>
            <w:r>
              <w:rPr>
                <w:noProof/>
                <w:webHidden/>
              </w:rPr>
              <w:instrText xml:space="preserve"> PAGEREF _Toc229219562 \h </w:instrText>
            </w:r>
            <w:r>
              <w:rPr>
                <w:noProof/>
                <w:webHidden/>
              </w:rPr>
            </w:r>
            <w:r>
              <w:rPr>
                <w:noProof/>
                <w:webHidden/>
              </w:rPr>
              <w:fldChar w:fldCharType="separate"/>
            </w:r>
            <w:r>
              <w:rPr>
                <w:noProof/>
                <w:webHidden/>
              </w:rPr>
              <w:t>29</w:t>
            </w:r>
            <w:r>
              <w:rPr>
                <w:noProof/>
                <w:webHidden/>
              </w:rPr>
              <w:fldChar w:fldCharType="end"/>
            </w:r>
          </w:hyperlink>
        </w:p>
        <w:p w14:paraId="6DD82EBF" w14:textId="77777777" w:rsidR="00274C70" w:rsidRDefault="00274C70">
          <w:pPr>
            <w:pStyle w:val="Sumrio2"/>
            <w:tabs>
              <w:tab w:val="right" w:leader="dot" w:pos="8828"/>
            </w:tabs>
            <w:rPr>
              <w:noProof/>
            </w:rPr>
          </w:pPr>
          <w:hyperlink w:anchor="_Toc229219563" w:history="1">
            <w:r w:rsidRPr="00342270">
              <w:rPr>
                <w:rStyle w:val="Hyperlink"/>
                <w:noProof/>
              </w:rPr>
              <w:t>3.8 Exercícios</w:t>
            </w:r>
            <w:r>
              <w:rPr>
                <w:noProof/>
                <w:webHidden/>
              </w:rPr>
              <w:tab/>
            </w:r>
            <w:r>
              <w:rPr>
                <w:noProof/>
                <w:webHidden/>
              </w:rPr>
              <w:fldChar w:fldCharType="begin"/>
            </w:r>
            <w:r>
              <w:rPr>
                <w:noProof/>
                <w:webHidden/>
              </w:rPr>
              <w:instrText xml:space="preserve"> PAGEREF _Toc229219563 \h </w:instrText>
            </w:r>
            <w:r>
              <w:rPr>
                <w:noProof/>
                <w:webHidden/>
              </w:rPr>
            </w:r>
            <w:r>
              <w:rPr>
                <w:noProof/>
                <w:webHidden/>
              </w:rPr>
              <w:fldChar w:fldCharType="separate"/>
            </w:r>
            <w:r>
              <w:rPr>
                <w:noProof/>
                <w:webHidden/>
              </w:rPr>
              <w:t>29</w:t>
            </w:r>
            <w:r>
              <w:rPr>
                <w:noProof/>
                <w:webHidden/>
              </w:rPr>
              <w:fldChar w:fldCharType="end"/>
            </w:r>
          </w:hyperlink>
        </w:p>
        <w:p w14:paraId="19865285" w14:textId="77777777" w:rsidR="00274C70" w:rsidRDefault="00274C70">
          <w:pPr>
            <w:pStyle w:val="Sumrio1"/>
            <w:tabs>
              <w:tab w:val="right" w:leader="dot" w:pos="8828"/>
            </w:tabs>
            <w:rPr>
              <w:noProof/>
            </w:rPr>
          </w:pPr>
          <w:hyperlink w:anchor="_Toc229219564" w:history="1">
            <w:r w:rsidRPr="00342270">
              <w:rPr>
                <w:rStyle w:val="Hyperlink"/>
                <w:noProof/>
              </w:rPr>
              <w:t>4. Confundimento na lente moderna</w:t>
            </w:r>
            <w:r>
              <w:rPr>
                <w:noProof/>
                <w:webHidden/>
              </w:rPr>
              <w:tab/>
            </w:r>
            <w:r>
              <w:rPr>
                <w:noProof/>
                <w:webHidden/>
              </w:rPr>
              <w:fldChar w:fldCharType="begin"/>
            </w:r>
            <w:r>
              <w:rPr>
                <w:noProof/>
                <w:webHidden/>
              </w:rPr>
              <w:instrText xml:space="preserve"> PAGEREF _Toc229219564 \h </w:instrText>
            </w:r>
            <w:r>
              <w:rPr>
                <w:noProof/>
                <w:webHidden/>
              </w:rPr>
            </w:r>
            <w:r>
              <w:rPr>
                <w:noProof/>
                <w:webHidden/>
              </w:rPr>
              <w:fldChar w:fldCharType="separate"/>
            </w:r>
            <w:r>
              <w:rPr>
                <w:noProof/>
                <w:webHidden/>
              </w:rPr>
              <w:t>30</w:t>
            </w:r>
            <w:r>
              <w:rPr>
                <w:noProof/>
                <w:webHidden/>
              </w:rPr>
              <w:fldChar w:fldCharType="end"/>
            </w:r>
          </w:hyperlink>
        </w:p>
        <w:p w14:paraId="511878D4" w14:textId="77777777" w:rsidR="00274C70" w:rsidRDefault="00274C70">
          <w:pPr>
            <w:pStyle w:val="Sumrio2"/>
            <w:tabs>
              <w:tab w:val="right" w:leader="dot" w:pos="8828"/>
            </w:tabs>
            <w:rPr>
              <w:noProof/>
            </w:rPr>
          </w:pPr>
          <w:hyperlink w:anchor="_Toc229219565" w:history="1">
            <w:r w:rsidRPr="00342270">
              <w:rPr>
                <w:rStyle w:val="Hyperlink"/>
                <w:noProof/>
              </w:rPr>
              <w:t>4.1 A definição moderna</w:t>
            </w:r>
            <w:r>
              <w:rPr>
                <w:noProof/>
                <w:webHidden/>
              </w:rPr>
              <w:tab/>
            </w:r>
            <w:r>
              <w:rPr>
                <w:noProof/>
                <w:webHidden/>
              </w:rPr>
              <w:fldChar w:fldCharType="begin"/>
            </w:r>
            <w:r>
              <w:rPr>
                <w:noProof/>
                <w:webHidden/>
              </w:rPr>
              <w:instrText xml:space="preserve"> PAGEREF _Toc229219565 \h </w:instrText>
            </w:r>
            <w:r>
              <w:rPr>
                <w:noProof/>
                <w:webHidden/>
              </w:rPr>
            </w:r>
            <w:r>
              <w:rPr>
                <w:noProof/>
                <w:webHidden/>
              </w:rPr>
              <w:fldChar w:fldCharType="separate"/>
            </w:r>
            <w:r>
              <w:rPr>
                <w:noProof/>
                <w:webHidden/>
              </w:rPr>
              <w:t>30</w:t>
            </w:r>
            <w:r>
              <w:rPr>
                <w:noProof/>
                <w:webHidden/>
              </w:rPr>
              <w:fldChar w:fldCharType="end"/>
            </w:r>
          </w:hyperlink>
        </w:p>
        <w:p w14:paraId="32E045EB" w14:textId="77777777" w:rsidR="00274C70" w:rsidRDefault="00274C70">
          <w:pPr>
            <w:pStyle w:val="Sumrio2"/>
            <w:tabs>
              <w:tab w:val="right" w:leader="dot" w:pos="8828"/>
            </w:tabs>
            <w:rPr>
              <w:noProof/>
            </w:rPr>
          </w:pPr>
          <w:hyperlink w:anchor="_Toc229219566" w:history="1">
            <w:r w:rsidRPr="00342270">
              <w:rPr>
                <w:rStyle w:val="Hyperlink"/>
                <w:noProof/>
              </w:rPr>
              <w:t>4.2 Confundimento positivo e negativo</w:t>
            </w:r>
            <w:r>
              <w:rPr>
                <w:noProof/>
                <w:webHidden/>
              </w:rPr>
              <w:tab/>
            </w:r>
            <w:r>
              <w:rPr>
                <w:noProof/>
                <w:webHidden/>
              </w:rPr>
              <w:fldChar w:fldCharType="begin"/>
            </w:r>
            <w:r>
              <w:rPr>
                <w:noProof/>
                <w:webHidden/>
              </w:rPr>
              <w:instrText xml:space="preserve"> PAGEREF _Toc229219566 \h </w:instrText>
            </w:r>
            <w:r>
              <w:rPr>
                <w:noProof/>
                <w:webHidden/>
              </w:rPr>
            </w:r>
            <w:r>
              <w:rPr>
                <w:noProof/>
                <w:webHidden/>
              </w:rPr>
              <w:fldChar w:fldCharType="separate"/>
            </w:r>
            <w:r>
              <w:rPr>
                <w:noProof/>
                <w:webHidden/>
              </w:rPr>
              <w:t>31</w:t>
            </w:r>
            <w:r>
              <w:rPr>
                <w:noProof/>
                <w:webHidden/>
              </w:rPr>
              <w:fldChar w:fldCharType="end"/>
            </w:r>
          </w:hyperlink>
        </w:p>
        <w:p w14:paraId="60E7073C" w14:textId="77777777" w:rsidR="00274C70" w:rsidRDefault="00274C70">
          <w:pPr>
            <w:pStyle w:val="Sumrio2"/>
            <w:tabs>
              <w:tab w:val="right" w:leader="dot" w:pos="8828"/>
            </w:tabs>
            <w:rPr>
              <w:noProof/>
            </w:rPr>
          </w:pPr>
          <w:hyperlink w:anchor="_Toc229219567" w:history="1">
            <w:r w:rsidRPr="00342270">
              <w:rPr>
                <w:rStyle w:val="Hyperlink"/>
                <w:noProof/>
              </w:rPr>
              <w:t>4.3 Estratégias de controle por desenho</w:t>
            </w:r>
            <w:r>
              <w:rPr>
                <w:noProof/>
                <w:webHidden/>
              </w:rPr>
              <w:tab/>
            </w:r>
            <w:r>
              <w:rPr>
                <w:noProof/>
                <w:webHidden/>
              </w:rPr>
              <w:fldChar w:fldCharType="begin"/>
            </w:r>
            <w:r>
              <w:rPr>
                <w:noProof/>
                <w:webHidden/>
              </w:rPr>
              <w:instrText xml:space="preserve"> PAGEREF _Toc229219567 \h </w:instrText>
            </w:r>
            <w:r>
              <w:rPr>
                <w:noProof/>
                <w:webHidden/>
              </w:rPr>
            </w:r>
            <w:r>
              <w:rPr>
                <w:noProof/>
                <w:webHidden/>
              </w:rPr>
              <w:fldChar w:fldCharType="separate"/>
            </w:r>
            <w:r>
              <w:rPr>
                <w:noProof/>
                <w:webHidden/>
              </w:rPr>
              <w:t>31</w:t>
            </w:r>
            <w:r>
              <w:rPr>
                <w:noProof/>
                <w:webHidden/>
              </w:rPr>
              <w:fldChar w:fldCharType="end"/>
            </w:r>
          </w:hyperlink>
        </w:p>
        <w:p w14:paraId="1A0D71D9" w14:textId="77777777" w:rsidR="00274C70" w:rsidRDefault="00274C70">
          <w:pPr>
            <w:pStyle w:val="Sumrio2"/>
            <w:tabs>
              <w:tab w:val="right" w:leader="dot" w:pos="8828"/>
            </w:tabs>
            <w:rPr>
              <w:noProof/>
            </w:rPr>
          </w:pPr>
          <w:hyperlink w:anchor="_Toc229219568" w:history="1">
            <w:r w:rsidRPr="00342270">
              <w:rPr>
                <w:rStyle w:val="Hyperlink"/>
                <w:noProof/>
              </w:rPr>
              <w:t>4.4 Estratégias de controle na análise</w:t>
            </w:r>
            <w:r>
              <w:rPr>
                <w:noProof/>
                <w:webHidden/>
              </w:rPr>
              <w:tab/>
            </w:r>
            <w:r>
              <w:rPr>
                <w:noProof/>
                <w:webHidden/>
              </w:rPr>
              <w:fldChar w:fldCharType="begin"/>
            </w:r>
            <w:r>
              <w:rPr>
                <w:noProof/>
                <w:webHidden/>
              </w:rPr>
              <w:instrText xml:space="preserve"> PAGEREF _Toc229219568 \h </w:instrText>
            </w:r>
            <w:r>
              <w:rPr>
                <w:noProof/>
                <w:webHidden/>
              </w:rPr>
            </w:r>
            <w:r>
              <w:rPr>
                <w:noProof/>
                <w:webHidden/>
              </w:rPr>
              <w:fldChar w:fldCharType="separate"/>
            </w:r>
            <w:r>
              <w:rPr>
                <w:noProof/>
                <w:webHidden/>
              </w:rPr>
              <w:t>32</w:t>
            </w:r>
            <w:r>
              <w:rPr>
                <w:noProof/>
                <w:webHidden/>
              </w:rPr>
              <w:fldChar w:fldCharType="end"/>
            </w:r>
          </w:hyperlink>
        </w:p>
        <w:p w14:paraId="10D55EA3" w14:textId="77777777" w:rsidR="00274C70" w:rsidRDefault="00274C70">
          <w:pPr>
            <w:pStyle w:val="Sumrio2"/>
            <w:tabs>
              <w:tab w:val="right" w:leader="dot" w:pos="8828"/>
            </w:tabs>
            <w:rPr>
              <w:noProof/>
            </w:rPr>
          </w:pPr>
          <w:hyperlink w:anchor="_Toc229219569" w:history="1">
            <w:r w:rsidRPr="00342270">
              <w:rPr>
                <w:rStyle w:val="Hyperlink"/>
                <w:noProof/>
              </w:rPr>
              <w:t>4.5 Confundidores não medidos</w:t>
            </w:r>
            <w:r>
              <w:rPr>
                <w:noProof/>
                <w:webHidden/>
              </w:rPr>
              <w:tab/>
            </w:r>
            <w:r>
              <w:rPr>
                <w:noProof/>
                <w:webHidden/>
              </w:rPr>
              <w:fldChar w:fldCharType="begin"/>
            </w:r>
            <w:r>
              <w:rPr>
                <w:noProof/>
                <w:webHidden/>
              </w:rPr>
              <w:instrText xml:space="preserve"> PAGEREF _Toc229219569 \h </w:instrText>
            </w:r>
            <w:r>
              <w:rPr>
                <w:noProof/>
                <w:webHidden/>
              </w:rPr>
            </w:r>
            <w:r>
              <w:rPr>
                <w:noProof/>
                <w:webHidden/>
              </w:rPr>
              <w:fldChar w:fldCharType="separate"/>
            </w:r>
            <w:r>
              <w:rPr>
                <w:noProof/>
                <w:webHidden/>
              </w:rPr>
              <w:t>33</w:t>
            </w:r>
            <w:r>
              <w:rPr>
                <w:noProof/>
                <w:webHidden/>
              </w:rPr>
              <w:fldChar w:fldCharType="end"/>
            </w:r>
          </w:hyperlink>
        </w:p>
        <w:p w14:paraId="649C4DA8" w14:textId="77777777" w:rsidR="00274C70" w:rsidRDefault="00274C70">
          <w:pPr>
            <w:pStyle w:val="Sumrio2"/>
            <w:tabs>
              <w:tab w:val="right" w:leader="dot" w:pos="8828"/>
            </w:tabs>
            <w:rPr>
              <w:noProof/>
            </w:rPr>
          </w:pPr>
          <w:hyperlink w:anchor="_Toc229219570" w:history="1">
            <w:r w:rsidRPr="00342270">
              <w:rPr>
                <w:rStyle w:val="Hyperlink"/>
                <w:noProof/>
              </w:rPr>
              <w:t>4.6 Confundimento residual e análise de viés quantitativa</w:t>
            </w:r>
            <w:r>
              <w:rPr>
                <w:noProof/>
                <w:webHidden/>
              </w:rPr>
              <w:tab/>
            </w:r>
            <w:r>
              <w:rPr>
                <w:noProof/>
                <w:webHidden/>
              </w:rPr>
              <w:fldChar w:fldCharType="begin"/>
            </w:r>
            <w:r>
              <w:rPr>
                <w:noProof/>
                <w:webHidden/>
              </w:rPr>
              <w:instrText xml:space="preserve"> PAGEREF _Toc229219570 \h </w:instrText>
            </w:r>
            <w:r>
              <w:rPr>
                <w:noProof/>
                <w:webHidden/>
              </w:rPr>
            </w:r>
            <w:r>
              <w:rPr>
                <w:noProof/>
                <w:webHidden/>
              </w:rPr>
              <w:fldChar w:fldCharType="separate"/>
            </w:r>
            <w:r>
              <w:rPr>
                <w:noProof/>
                <w:webHidden/>
              </w:rPr>
              <w:t>34</w:t>
            </w:r>
            <w:r>
              <w:rPr>
                <w:noProof/>
                <w:webHidden/>
              </w:rPr>
              <w:fldChar w:fldCharType="end"/>
            </w:r>
          </w:hyperlink>
        </w:p>
        <w:p w14:paraId="5B5C19F2" w14:textId="77777777" w:rsidR="00274C70" w:rsidRDefault="00274C70">
          <w:pPr>
            <w:pStyle w:val="Sumrio2"/>
            <w:tabs>
              <w:tab w:val="right" w:leader="dot" w:pos="8828"/>
            </w:tabs>
            <w:rPr>
              <w:noProof/>
            </w:rPr>
          </w:pPr>
          <w:hyperlink w:anchor="_Toc229219571" w:history="1">
            <w:r w:rsidRPr="00342270">
              <w:rPr>
                <w:rStyle w:val="Hyperlink"/>
                <w:noProof/>
              </w:rPr>
              <w:t>4.7 Aplicação aos casos do site</w:t>
            </w:r>
            <w:r>
              <w:rPr>
                <w:noProof/>
                <w:webHidden/>
              </w:rPr>
              <w:tab/>
            </w:r>
            <w:r>
              <w:rPr>
                <w:noProof/>
                <w:webHidden/>
              </w:rPr>
              <w:fldChar w:fldCharType="begin"/>
            </w:r>
            <w:r>
              <w:rPr>
                <w:noProof/>
                <w:webHidden/>
              </w:rPr>
              <w:instrText xml:space="preserve"> PAGEREF _Toc229219571 \h </w:instrText>
            </w:r>
            <w:r>
              <w:rPr>
                <w:noProof/>
                <w:webHidden/>
              </w:rPr>
            </w:r>
            <w:r>
              <w:rPr>
                <w:noProof/>
                <w:webHidden/>
              </w:rPr>
              <w:fldChar w:fldCharType="separate"/>
            </w:r>
            <w:r>
              <w:rPr>
                <w:noProof/>
                <w:webHidden/>
              </w:rPr>
              <w:t>34</w:t>
            </w:r>
            <w:r>
              <w:rPr>
                <w:noProof/>
                <w:webHidden/>
              </w:rPr>
              <w:fldChar w:fldCharType="end"/>
            </w:r>
          </w:hyperlink>
        </w:p>
        <w:p w14:paraId="775C32AD" w14:textId="77777777" w:rsidR="00274C70" w:rsidRDefault="00274C70">
          <w:pPr>
            <w:pStyle w:val="Sumrio2"/>
            <w:tabs>
              <w:tab w:val="right" w:leader="dot" w:pos="8828"/>
            </w:tabs>
            <w:rPr>
              <w:noProof/>
            </w:rPr>
          </w:pPr>
          <w:hyperlink w:anchor="_Toc229219572" w:history="1">
            <w:r w:rsidRPr="00342270">
              <w:rPr>
                <w:rStyle w:val="Hyperlink"/>
                <w:noProof/>
              </w:rPr>
              <w:t>4.8 Síntese</w:t>
            </w:r>
            <w:r>
              <w:rPr>
                <w:noProof/>
                <w:webHidden/>
              </w:rPr>
              <w:tab/>
            </w:r>
            <w:r>
              <w:rPr>
                <w:noProof/>
                <w:webHidden/>
              </w:rPr>
              <w:fldChar w:fldCharType="begin"/>
            </w:r>
            <w:r>
              <w:rPr>
                <w:noProof/>
                <w:webHidden/>
              </w:rPr>
              <w:instrText xml:space="preserve"> PAGEREF _Toc229219572 \h </w:instrText>
            </w:r>
            <w:r>
              <w:rPr>
                <w:noProof/>
                <w:webHidden/>
              </w:rPr>
            </w:r>
            <w:r>
              <w:rPr>
                <w:noProof/>
                <w:webHidden/>
              </w:rPr>
              <w:fldChar w:fldCharType="separate"/>
            </w:r>
            <w:r>
              <w:rPr>
                <w:noProof/>
                <w:webHidden/>
              </w:rPr>
              <w:t>34</w:t>
            </w:r>
            <w:r>
              <w:rPr>
                <w:noProof/>
                <w:webHidden/>
              </w:rPr>
              <w:fldChar w:fldCharType="end"/>
            </w:r>
          </w:hyperlink>
        </w:p>
        <w:p w14:paraId="271107EB" w14:textId="77777777" w:rsidR="00274C70" w:rsidRDefault="00274C70">
          <w:pPr>
            <w:pStyle w:val="Sumrio2"/>
            <w:tabs>
              <w:tab w:val="right" w:leader="dot" w:pos="8828"/>
            </w:tabs>
            <w:rPr>
              <w:noProof/>
            </w:rPr>
          </w:pPr>
          <w:hyperlink w:anchor="_Toc229219573" w:history="1">
            <w:r w:rsidRPr="00342270">
              <w:rPr>
                <w:rStyle w:val="Hyperlink"/>
                <w:noProof/>
              </w:rPr>
              <w:t>4.9 Exercícios</w:t>
            </w:r>
            <w:r>
              <w:rPr>
                <w:noProof/>
                <w:webHidden/>
              </w:rPr>
              <w:tab/>
            </w:r>
            <w:r>
              <w:rPr>
                <w:noProof/>
                <w:webHidden/>
              </w:rPr>
              <w:fldChar w:fldCharType="begin"/>
            </w:r>
            <w:r>
              <w:rPr>
                <w:noProof/>
                <w:webHidden/>
              </w:rPr>
              <w:instrText xml:space="preserve"> PAGEREF _Toc229219573 \h </w:instrText>
            </w:r>
            <w:r>
              <w:rPr>
                <w:noProof/>
                <w:webHidden/>
              </w:rPr>
            </w:r>
            <w:r>
              <w:rPr>
                <w:noProof/>
                <w:webHidden/>
              </w:rPr>
              <w:fldChar w:fldCharType="separate"/>
            </w:r>
            <w:r>
              <w:rPr>
                <w:noProof/>
                <w:webHidden/>
              </w:rPr>
              <w:t>35</w:t>
            </w:r>
            <w:r>
              <w:rPr>
                <w:noProof/>
                <w:webHidden/>
              </w:rPr>
              <w:fldChar w:fldCharType="end"/>
            </w:r>
          </w:hyperlink>
        </w:p>
        <w:p w14:paraId="53697998" w14:textId="77777777" w:rsidR="00274C70" w:rsidRDefault="00274C70">
          <w:pPr>
            <w:pStyle w:val="Sumrio1"/>
            <w:tabs>
              <w:tab w:val="right" w:leader="dot" w:pos="8828"/>
            </w:tabs>
            <w:rPr>
              <w:noProof/>
            </w:rPr>
          </w:pPr>
          <w:hyperlink w:anchor="_Toc229219574" w:history="1">
            <w:r w:rsidRPr="00342270">
              <w:rPr>
                <w:rStyle w:val="Hyperlink"/>
                <w:noProof/>
              </w:rPr>
              <w:t>5. Causa ou associação hoje — Hill, triangulação e o debate atual</w:t>
            </w:r>
            <w:r>
              <w:rPr>
                <w:noProof/>
                <w:webHidden/>
              </w:rPr>
              <w:tab/>
            </w:r>
            <w:r>
              <w:rPr>
                <w:noProof/>
                <w:webHidden/>
              </w:rPr>
              <w:fldChar w:fldCharType="begin"/>
            </w:r>
            <w:r>
              <w:rPr>
                <w:noProof/>
                <w:webHidden/>
              </w:rPr>
              <w:instrText xml:space="preserve"> PAGEREF _Toc229219574 \h </w:instrText>
            </w:r>
            <w:r>
              <w:rPr>
                <w:noProof/>
                <w:webHidden/>
              </w:rPr>
            </w:r>
            <w:r>
              <w:rPr>
                <w:noProof/>
                <w:webHidden/>
              </w:rPr>
              <w:fldChar w:fldCharType="separate"/>
            </w:r>
            <w:r>
              <w:rPr>
                <w:noProof/>
                <w:webHidden/>
              </w:rPr>
              <w:t>35</w:t>
            </w:r>
            <w:r>
              <w:rPr>
                <w:noProof/>
                <w:webHidden/>
              </w:rPr>
              <w:fldChar w:fldCharType="end"/>
            </w:r>
          </w:hyperlink>
        </w:p>
        <w:p w14:paraId="106A910A" w14:textId="77777777" w:rsidR="00274C70" w:rsidRDefault="00274C70">
          <w:pPr>
            <w:pStyle w:val="Sumrio2"/>
            <w:tabs>
              <w:tab w:val="right" w:leader="dot" w:pos="8828"/>
            </w:tabs>
            <w:rPr>
              <w:noProof/>
            </w:rPr>
          </w:pPr>
          <w:hyperlink w:anchor="_Toc229219575" w:history="1">
            <w:r w:rsidRPr="00342270">
              <w:rPr>
                <w:rStyle w:val="Hyperlink"/>
                <w:noProof/>
              </w:rPr>
              <w:t>5.1 Hill são considerações, não critérios</w:t>
            </w:r>
            <w:r>
              <w:rPr>
                <w:noProof/>
                <w:webHidden/>
              </w:rPr>
              <w:tab/>
            </w:r>
            <w:r>
              <w:rPr>
                <w:noProof/>
                <w:webHidden/>
              </w:rPr>
              <w:fldChar w:fldCharType="begin"/>
            </w:r>
            <w:r>
              <w:rPr>
                <w:noProof/>
                <w:webHidden/>
              </w:rPr>
              <w:instrText xml:space="preserve"> PAGEREF _Toc229219575 \h </w:instrText>
            </w:r>
            <w:r>
              <w:rPr>
                <w:noProof/>
                <w:webHidden/>
              </w:rPr>
            </w:r>
            <w:r>
              <w:rPr>
                <w:noProof/>
                <w:webHidden/>
              </w:rPr>
              <w:fldChar w:fldCharType="separate"/>
            </w:r>
            <w:r>
              <w:rPr>
                <w:noProof/>
                <w:webHidden/>
              </w:rPr>
              <w:t>35</w:t>
            </w:r>
            <w:r>
              <w:rPr>
                <w:noProof/>
                <w:webHidden/>
              </w:rPr>
              <w:fldChar w:fldCharType="end"/>
            </w:r>
          </w:hyperlink>
        </w:p>
        <w:p w14:paraId="634AF7C9" w14:textId="77777777" w:rsidR="00274C70" w:rsidRDefault="00274C70">
          <w:pPr>
            <w:pStyle w:val="Sumrio2"/>
            <w:tabs>
              <w:tab w:val="right" w:leader="dot" w:pos="8828"/>
            </w:tabs>
            <w:rPr>
              <w:noProof/>
            </w:rPr>
          </w:pPr>
          <w:hyperlink w:anchor="_Toc229219576" w:history="1">
            <w:r w:rsidRPr="00342270">
              <w:rPr>
                <w:rStyle w:val="Hyperlink"/>
                <w:noProof/>
              </w:rPr>
              <w:t>5.2 Os pontos de Hill na leitura contemporânea</w:t>
            </w:r>
            <w:r>
              <w:rPr>
                <w:noProof/>
                <w:webHidden/>
              </w:rPr>
              <w:tab/>
            </w:r>
            <w:r>
              <w:rPr>
                <w:noProof/>
                <w:webHidden/>
              </w:rPr>
              <w:fldChar w:fldCharType="begin"/>
            </w:r>
            <w:r>
              <w:rPr>
                <w:noProof/>
                <w:webHidden/>
              </w:rPr>
              <w:instrText xml:space="preserve"> PAGEREF _Toc229219576 \h </w:instrText>
            </w:r>
            <w:r>
              <w:rPr>
                <w:noProof/>
                <w:webHidden/>
              </w:rPr>
            </w:r>
            <w:r>
              <w:rPr>
                <w:noProof/>
                <w:webHidden/>
              </w:rPr>
              <w:fldChar w:fldCharType="separate"/>
            </w:r>
            <w:r>
              <w:rPr>
                <w:noProof/>
                <w:webHidden/>
              </w:rPr>
              <w:t>35</w:t>
            </w:r>
            <w:r>
              <w:rPr>
                <w:noProof/>
                <w:webHidden/>
              </w:rPr>
              <w:fldChar w:fldCharType="end"/>
            </w:r>
          </w:hyperlink>
        </w:p>
        <w:p w14:paraId="4E10BAFA" w14:textId="77777777" w:rsidR="00274C70" w:rsidRDefault="00274C70">
          <w:pPr>
            <w:pStyle w:val="Sumrio2"/>
            <w:tabs>
              <w:tab w:val="right" w:leader="dot" w:pos="8828"/>
            </w:tabs>
            <w:rPr>
              <w:noProof/>
            </w:rPr>
          </w:pPr>
          <w:hyperlink w:anchor="_Toc229219577" w:history="1">
            <w:r w:rsidRPr="00342270">
              <w:rPr>
                <w:rStyle w:val="Hyperlink"/>
                <w:noProof/>
              </w:rPr>
              <w:t>5.3 Triangulação</w:t>
            </w:r>
            <w:r>
              <w:rPr>
                <w:noProof/>
                <w:webHidden/>
              </w:rPr>
              <w:tab/>
            </w:r>
            <w:r>
              <w:rPr>
                <w:noProof/>
                <w:webHidden/>
              </w:rPr>
              <w:fldChar w:fldCharType="begin"/>
            </w:r>
            <w:r>
              <w:rPr>
                <w:noProof/>
                <w:webHidden/>
              </w:rPr>
              <w:instrText xml:space="preserve"> PAGEREF _Toc229219577 \h </w:instrText>
            </w:r>
            <w:r>
              <w:rPr>
                <w:noProof/>
                <w:webHidden/>
              </w:rPr>
            </w:r>
            <w:r>
              <w:rPr>
                <w:noProof/>
                <w:webHidden/>
              </w:rPr>
              <w:fldChar w:fldCharType="separate"/>
            </w:r>
            <w:r>
              <w:rPr>
                <w:noProof/>
                <w:webHidden/>
              </w:rPr>
              <w:t>36</w:t>
            </w:r>
            <w:r>
              <w:rPr>
                <w:noProof/>
                <w:webHidden/>
              </w:rPr>
              <w:fldChar w:fldCharType="end"/>
            </w:r>
          </w:hyperlink>
        </w:p>
        <w:p w14:paraId="72E1E44E" w14:textId="77777777" w:rsidR="00274C70" w:rsidRDefault="00274C70">
          <w:pPr>
            <w:pStyle w:val="Sumrio2"/>
            <w:tabs>
              <w:tab w:val="right" w:leader="dot" w:pos="8828"/>
            </w:tabs>
            <w:rPr>
              <w:noProof/>
            </w:rPr>
          </w:pPr>
          <w:hyperlink w:anchor="_Toc229219578" w:history="1">
            <w:r w:rsidRPr="00342270">
              <w:rPr>
                <w:rStyle w:val="Hyperlink"/>
                <w:noProof/>
              </w:rPr>
              <w:t>5.4 GRADE: Hill na lógica da decisão clínica</w:t>
            </w:r>
            <w:r>
              <w:rPr>
                <w:noProof/>
                <w:webHidden/>
              </w:rPr>
              <w:tab/>
            </w:r>
            <w:r>
              <w:rPr>
                <w:noProof/>
                <w:webHidden/>
              </w:rPr>
              <w:fldChar w:fldCharType="begin"/>
            </w:r>
            <w:r>
              <w:rPr>
                <w:noProof/>
                <w:webHidden/>
              </w:rPr>
              <w:instrText xml:space="preserve"> PAGEREF _Toc229219578 \h </w:instrText>
            </w:r>
            <w:r>
              <w:rPr>
                <w:noProof/>
                <w:webHidden/>
              </w:rPr>
            </w:r>
            <w:r>
              <w:rPr>
                <w:noProof/>
                <w:webHidden/>
              </w:rPr>
              <w:fldChar w:fldCharType="separate"/>
            </w:r>
            <w:r>
              <w:rPr>
                <w:noProof/>
                <w:webHidden/>
              </w:rPr>
              <w:t>37</w:t>
            </w:r>
            <w:r>
              <w:rPr>
                <w:noProof/>
                <w:webHidden/>
              </w:rPr>
              <w:fldChar w:fldCharType="end"/>
            </w:r>
          </w:hyperlink>
        </w:p>
        <w:p w14:paraId="5F007C38" w14:textId="77777777" w:rsidR="00274C70" w:rsidRDefault="00274C70">
          <w:pPr>
            <w:pStyle w:val="Sumrio2"/>
            <w:tabs>
              <w:tab w:val="right" w:leader="dot" w:pos="8828"/>
            </w:tabs>
            <w:rPr>
              <w:noProof/>
            </w:rPr>
          </w:pPr>
          <w:hyperlink w:anchor="_Toc229219579" w:history="1">
            <w:r w:rsidRPr="00342270">
              <w:rPr>
                <w:rStyle w:val="Hyperlink"/>
                <w:noProof/>
              </w:rPr>
              <w:t>5.5 Debate contemporâneo</w:t>
            </w:r>
            <w:r>
              <w:rPr>
                <w:noProof/>
                <w:webHidden/>
              </w:rPr>
              <w:tab/>
            </w:r>
            <w:r>
              <w:rPr>
                <w:noProof/>
                <w:webHidden/>
              </w:rPr>
              <w:fldChar w:fldCharType="begin"/>
            </w:r>
            <w:r>
              <w:rPr>
                <w:noProof/>
                <w:webHidden/>
              </w:rPr>
              <w:instrText xml:space="preserve"> PAGEREF _Toc229219579 \h </w:instrText>
            </w:r>
            <w:r>
              <w:rPr>
                <w:noProof/>
                <w:webHidden/>
              </w:rPr>
            </w:r>
            <w:r>
              <w:rPr>
                <w:noProof/>
                <w:webHidden/>
              </w:rPr>
              <w:fldChar w:fldCharType="separate"/>
            </w:r>
            <w:r>
              <w:rPr>
                <w:noProof/>
                <w:webHidden/>
              </w:rPr>
              <w:t>37</w:t>
            </w:r>
            <w:r>
              <w:rPr>
                <w:noProof/>
                <w:webHidden/>
              </w:rPr>
              <w:fldChar w:fldCharType="end"/>
            </w:r>
          </w:hyperlink>
        </w:p>
        <w:p w14:paraId="30AA6229" w14:textId="77777777" w:rsidR="00274C70" w:rsidRDefault="00274C70">
          <w:pPr>
            <w:pStyle w:val="Sumrio2"/>
            <w:tabs>
              <w:tab w:val="right" w:leader="dot" w:pos="8828"/>
            </w:tabs>
            <w:rPr>
              <w:noProof/>
            </w:rPr>
          </w:pPr>
          <w:hyperlink w:anchor="_Toc229219580" w:history="1">
            <w:r w:rsidRPr="00342270">
              <w:rPr>
                <w:rStyle w:val="Hyperlink"/>
                <w:noProof/>
              </w:rPr>
              <w:t>5.6 Aplicações de domínio</w:t>
            </w:r>
            <w:r>
              <w:rPr>
                <w:noProof/>
                <w:webHidden/>
              </w:rPr>
              <w:tab/>
            </w:r>
            <w:r>
              <w:rPr>
                <w:noProof/>
                <w:webHidden/>
              </w:rPr>
              <w:fldChar w:fldCharType="begin"/>
            </w:r>
            <w:r>
              <w:rPr>
                <w:noProof/>
                <w:webHidden/>
              </w:rPr>
              <w:instrText xml:space="preserve"> PAGEREF _Toc229219580 \h </w:instrText>
            </w:r>
            <w:r>
              <w:rPr>
                <w:noProof/>
                <w:webHidden/>
              </w:rPr>
            </w:r>
            <w:r>
              <w:rPr>
                <w:noProof/>
                <w:webHidden/>
              </w:rPr>
              <w:fldChar w:fldCharType="separate"/>
            </w:r>
            <w:r>
              <w:rPr>
                <w:noProof/>
                <w:webHidden/>
              </w:rPr>
              <w:t>38</w:t>
            </w:r>
            <w:r>
              <w:rPr>
                <w:noProof/>
                <w:webHidden/>
              </w:rPr>
              <w:fldChar w:fldCharType="end"/>
            </w:r>
          </w:hyperlink>
        </w:p>
        <w:p w14:paraId="1384955D" w14:textId="77777777" w:rsidR="00274C70" w:rsidRDefault="00274C70">
          <w:pPr>
            <w:pStyle w:val="Sumrio2"/>
            <w:tabs>
              <w:tab w:val="right" w:leader="dot" w:pos="8828"/>
            </w:tabs>
            <w:rPr>
              <w:noProof/>
            </w:rPr>
          </w:pPr>
          <w:hyperlink w:anchor="_Toc229219581" w:history="1">
            <w:r w:rsidRPr="00342270">
              <w:rPr>
                <w:rStyle w:val="Hyperlink"/>
                <w:noProof/>
              </w:rPr>
              <w:t>5.7 Três perguntas-âncora para a prática clínica</w:t>
            </w:r>
            <w:r>
              <w:rPr>
                <w:noProof/>
                <w:webHidden/>
              </w:rPr>
              <w:tab/>
            </w:r>
            <w:r>
              <w:rPr>
                <w:noProof/>
                <w:webHidden/>
              </w:rPr>
              <w:fldChar w:fldCharType="begin"/>
            </w:r>
            <w:r>
              <w:rPr>
                <w:noProof/>
                <w:webHidden/>
              </w:rPr>
              <w:instrText xml:space="preserve"> PAGEREF _Toc229219581 \h </w:instrText>
            </w:r>
            <w:r>
              <w:rPr>
                <w:noProof/>
                <w:webHidden/>
              </w:rPr>
            </w:r>
            <w:r>
              <w:rPr>
                <w:noProof/>
                <w:webHidden/>
              </w:rPr>
              <w:fldChar w:fldCharType="separate"/>
            </w:r>
            <w:r>
              <w:rPr>
                <w:noProof/>
                <w:webHidden/>
              </w:rPr>
              <w:t>38</w:t>
            </w:r>
            <w:r>
              <w:rPr>
                <w:noProof/>
                <w:webHidden/>
              </w:rPr>
              <w:fldChar w:fldCharType="end"/>
            </w:r>
          </w:hyperlink>
        </w:p>
        <w:p w14:paraId="6062DBC9" w14:textId="77777777" w:rsidR="00274C70" w:rsidRDefault="00274C70">
          <w:pPr>
            <w:pStyle w:val="Sumrio2"/>
            <w:tabs>
              <w:tab w:val="right" w:leader="dot" w:pos="8828"/>
            </w:tabs>
            <w:rPr>
              <w:noProof/>
            </w:rPr>
          </w:pPr>
          <w:hyperlink w:anchor="_Toc229219582" w:history="1">
            <w:r w:rsidRPr="00342270">
              <w:rPr>
                <w:rStyle w:val="Hyperlink"/>
                <w:noProof/>
              </w:rPr>
              <w:t>5.8 Considerações</w:t>
            </w:r>
            <w:r>
              <w:rPr>
                <w:noProof/>
                <w:webHidden/>
              </w:rPr>
              <w:tab/>
            </w:r>
            <w:r>
              <w:rPr>
                <w:noProof/>
                <w:webHidden/>
              </w:rPr>
              <w:fldChar w:fldCharType="begin"/>
            </w:r>
            <w:r>
              <w:rPr>
                <w:noProof/>
                <w:webHidden/>
              </w:rPr>
              <w:instrText xml:space="preserve"> PAGEREF _Toc229219582 \h </w:instrText>
            </w:r>
            <w:r>
              <w:rPr>
                <w:noProof/>
                <w:webHidden/>
              </w:rPr>
            </w:r>
            <w:r>
              <w:rPr>
                <w:noProof/>
                <w:webHidden/>
              </w:rPr>
              <w:fldChar w:fldCharType="separate"/>
            </w:r>
            <w:r>
              <w:rPr>
                <w:noProof/>
                <w:webHidden/>
              </w:rPr>
              <w:t>39</w:t>
            </w:r>
            <w:r>
              <w:rPr>
                <w:noProof/>
                <w:webHidden/>
              </w:rPr>
              <w:fldChar w:fldCharType="end"/>
            </w:r>
          </w:hyperlink>
        </w:p>
        <w:p w14:paraId="4B96A767" w14:textId="77777777" w:rsidR="00274C70" w:rsidRDefault="00274C70">
          <w:pPr>
            <w:pStyle w:val="Sumrio2"/>
            <w:tabs>
              <w:tab w:val="right" w:leader="dot" w:pos="8828"/>
            </w:tabs>
            <w:rPr>
              <w:noProof/>
            </w:rPr>
          </w:pPr>
          <w:hyperlink w:anchor="_Toc229219583" w:history="1">
            <w:r w:rsidRPr="00342270">
              <w:rPr>
                <w:rStyle w:val="Hyperlink"/>
                <w:noProof/>
              </w:rPr>
              <w:t>5.9 Exercícios</w:t>
            </w:r>
            <w:r>
              <w:rPr>
                <w:noProof/>
                <w:webHidden/>
              </w:rPr>
              <w:tab/>
            </w:r>
            <w:r>
              <w:rPr>
                <w:noProof/>
                <w:webHidden/>
              </w:rPr>
              <w:fldChar w:fldCharType="begin"/>
            </w:r>
            <w:r>
              <w:rPr>
                <w:noProof/>
                <w:webHidden/>
              </w:rPr>
              <w:instrText xml:space="preserve"> PAGEREF _Toc229219583 \h </w:instrText>
            </w:r>
            <w:r>
              <w:rPr>
                <w:noProof/>
                <w:webHidden/>
              </w:rPr>
            </w:r>
            <w:r>
              <w:rPr>
                <w:noProof/>
                <w:webHidden/>
              </w:rPr>
              <w:fldChar w:fldCharType="separate"/>
            </w:r>
            <w:r>
              <w:rPr>
                <w:noProof/>
                <w:webHidden/>
              </w:rPr>
              <w:t>39</w:t>
            </w:r>
            <w:r>
              <w:rPr>
                <w:noProof/>
                <w:webHidden/>
              </w:rPr>
              <w:fldChar w:fldCharType="end"/>
            </w:r>
          </w:hyperlink>
        </w:p>
        <w:p w14:paraId="6DA0FE25" w14:textId="77777777" w:rsidR="00274C70" w:rsidRDefault="00274C70">
          <w:pPr>
            <w:pStyle w:val="Sumrio1"/>
            <w:tabs>
              <w:tab w:val="right" w:leader="dot" w:pos="8828"/>
            </w:tabs>
            <w:rPr>
              <w:noProof/>
            </w:rPr>
          </w:pPr>
          <w:hyperlink w:anchor="_Toc229219584" w:history="1">
            <w:r w:rsidRPr="00342270">
              <w:rPr>
                <w:rStyle w:val="Hyperlink"/>
                <w:noProof/>
              </w:rPr>
              <w:t>6. Casos clássicos — visão geral</w:t>
            </w:r>
            <w:r>
              <w:rPr>
                <w:noProof/>
                <w:webHidden/>
              </w:rPr>
              <w:tab/>
            </w:r>
            <w:r>
              <w:rPr>
                <w:noProof/>
                <w:webHidden/>
              </w:rPr>
              <w:fldChar w:fldCharType="begin"/>
            </w:r>
            <w:r>
              <w:rPr>
                <w:noProof/>
                <w:webHidden/>
              </w:rPr>
              <w:instrText xml:space="preserve"> PAGEREF _Toc229219584 \h </w:instrText>
            </w:r>
            <w:r>
              <w:rPr>
                <w:noProof/>
                <w:webHidden/>
              </w:rPr>
            </w:r>
            <w:r>
              <w:rPr>
                <w:noProof/>
                <w:webHidden/>
              </w:rPr>
              <w:fldChar w:fldCharType="separate"/>
            </w:r>
            <w:r>
              <w:rPr>
                <w:noProof/>
                <w:webHidden/>
              </w:rPr>
              <w:t>40</w:t>
            </w:r>
            <w:r>
              <w:rPr>
                <w:noProof/>
                <w:webHidden/>
              </w:rPr>
              <w:fldChar w:fldCharType="end"/>
            </w:r>
          </w:hyperlink>
        </w:p>
        <w:p w14:paraId="5442C894" w14:textId="77777777" w:rsidR="00274C70" w:rsidRDefault="00274C70">
          <w:pPr>
            <w:pStyle w:val="Sumrio2"/>
            <w:tabs>
              <w:tab w:val="right" w:leader="dot" w:pos="8828"/>
            </w:tabs>
            <w:rPr>
              <w:noProof/>
            </w:rPr>
          </w:pPr>
          <w:hyperlink w:anchor="_Toc229219585" w:history="1">
            <w:r w:rsidRPr="00342270">
              <w:rPr>
                <w:rStyle w:val="Hyperlink"/>
                <w:noProof/>
              </w:rPr>
              <w:t>6.1 Sobre esta seção</w:t>
            </w:r>
            <w:r>
              <w:rPr>
                <w:noProof/>
                <w:webHidden/>
              </w:rPr>
              <w:tab/>
            </w:r>
            <w:r>
              <w:rPr>
                <w:noProof/>
                <w:webHidden/>
              </w:rPr>
              <w:fldChar w:fldCharType="begin"/>
            </w:r>
            <w:r>
              <w:rPr>
                <w:noProof/>
                <w:webHidden/>
              </w:rPr>
              <w:instrText xml:space="preserve"> PAGEREF _Toc229219585 \h </w:instrText>
            </w:r>
            <w:r>
              <w:rPr>
                <w:noProof/>
                <w:webHidden/>
              </w:rPr>
            </w:r>
            <w:r>
              <w:rPr>
                <w:noProof/>
                <w:webHidden/>
              </w:rPr>
              <w:fldChar w:fldCharType="separate"/>
            </w:r>
            <w:r>
              <w:rPr>
                <w:noProof/>
                <w:webHidden/>
              </w:rPr>
              <w:t>40</w:t>
            </w:r>
            <w:r>
              <w:rPr>
                <w:noProof/>
                <w:webHidden/>
              </w:rPr>
              <w:fldChar w:fldCharType="end"/>
            </w:r>
          </w:hyperlink>
        </w:p>
        <w:p w14:paraId="2115A844" w14:textId="77777777" w:rsidR="00274C70" w:rsidRDefault="00274C70">
          <w:pPr>
            <w:pStyle w:val="Sumrio2"/>
            <w:tabs>
              <w:tab w:val="right" w:leader="dot" w:pos="8828"/>
            </w:tabs>
            <w:rPr>
              <w:noProof/>
            </w:rPr>
          </w:pPr>
          <w:hyperlink w:anchor="_Toc229219586" w:history="1">
            <w:r w:rsidRPr="00342270">
              <w:rPr>
                <w:rStyle w:val="Hyperlink"/>
                <w:noProof/>
              </w:rPr>
              <w:t>6.2 Os seis casos</w:t>
            </w:r>
            <w:r>
              <w:rPr>
                <w:noProof/>
                <w:webHidden/>
              </w:rPr>
              <w:tab/>
            </w:r>
            <w:r>
              <w:rPr>
                <w:noProof/>
                <w:webHidden/>
              </w:rPr>
              <w:fldChar w:fldCharType="begin"/>
            </w:r>
            <w:r>
              <w:rPr>
                <w:noProof/>
                <w:webHidden/>
              </w:rPr>
              <w:instrText xml:space="preserve"> PAGEREF _Toc229219586 \h </w:instrText>
            </w:r>
            <w:r>
              <w:rPr>
                <w:noProof/>
                <w:webHidden/>
              </w:rPr>
            </w:r>
            <w:r>
              <w:rPr>
                <w:noProof/>
                <w:webHidden/>
              </w:rPr>
              <w:fldChar w:fldCharType="separate"/>
            </w:r>
            <w:r>
              <w:rPr>
                <w:noProof/>
                <w:webHidden/>
              </w:rPr>
              <w:t>40</w:t>
            </w:r>
            <w:r>
              <w:rPr>
                <w:noProof/>
                <w:webHidden/>
              </w:rPr>
              <w:fldChar w:fldCharType="end"/>
            </w:r>
          </w:hyperlink>
        </w:p>
        <w:p w14:paraId="56E4EBA7" w14:textId="77777777" w:rsidR="00274C70" w:rsidRDefault="00274C70">
          <w:pPr>
            <w:pStyle w:val="Sumrio2"/>
            <w:tabs>
              <w:tab w:val="right" w:leader="dot" w:pos="8828"/>
            </w:tabs>
            <w:rPr>
              <w:noProof/>
            </w:rPr>
          </w:pPr>
          <w:hyperlink w:anchor="_Toc229219587" w:history="1">
            <w:r w:rsidRPr="00342270">
              <w:rPr>
                <w:rStyle w:val="Hyperlink"/>
                <w:noProof/>
              </w:rPr>
              <w:t>6.3 Como usar em aula</w:t>
            </w:r>
            <w:r>
              <w:rPr>
                <w:noProof/>
                <w:webHidden/>
              </w:rPr>
              <w:tab/>
            </w:r>
            <w:r>
              <w:rPr>
                <w:noProof/>
                <w:webHidden/>
              </w:rPr>
              <w:fldChar w:fldCharType="begin"/>
            </w:r>
            <w:r>
              <w:rPr>
                <w:noProof/>
                <w:webHidden/>
              </w:rPr>
              <w:instrText xml:space="preserve"> PAGEREF _Toc229219587 \h </w:instrText>
            </w:r>
            <w:r>
              <w:rPr>
                <w:noProof/>
                <w:webHidden/>
              </w:rPr>
            </w:r>
            <w:r>
              <w:rPr>
                <w:noProof/>
                <w:webHidden/>
              </w:rPr>
              <w:fldChar w:fldCharType="separate"/>
            </w:r>
            <w:r>
              <w:rPr>
                <w:noProof/>
                <w:webHidden/>
              </w:rPr>
              <w:t>40</w:t>
            </w:r>
            <w:r>
              <w:rPr>
                <w:noProof/>
                <w:webHidden/>
              </w:rPr>
              <w:fldChar w:fldCharType="end"/>
            </w:r>
          </w:hyperlink>
        </w:p>
        <w:p w14:paraId="2731534A" w14:textId="77777777" w:rsidR="00274C70" w:rsidRDefault="00274C70">
          <w:pPr>
            <w:pStyle w:val="Sumrio1"/>
            <w:tabs>
              <w:tab w:val="right" w:leader="dot" w:pos="8828"/>
            </w:tabs>
            <w:rPr>
              <w:noProof/>
            </w:rPr>
          </w:pPr>
          <w:hyperlink w:anchor="_Toc229219588" w:history="1">
            <w:r w:rsidRPr="00342270">
              <w:rPr>
                <w:rStyle w:val="Hyperlink"/>
                <w:noProof/>
              </w:rPr>
              <w:t xml:space="preserve">7. Terapia de Reposição Hormonal — do </w:t>
            </w:r>
            <w:r w:rsidRPr="00342270">
              <w:rPr>
                <w:rStyle w:val="Hyperlink"/>
                <w:i/>
                <w:iCs/>
                <w:noProof/>
              </w:rPr>
              <w:t>Nurses’ Health Study</w:t>
            </w:r>
            <w:r w:rsidRPr="00342270">
              <w:rPr>
                <w:rStyle w:val="Hyperlink"/>
                <w:noProof/>
              </w:rPr>
              <w:t xml:space="preserve"> ao WHI</w:t>
            </w:r>
            <w:r>
              <w:rPr>
                <w:noProof/>
                <w:webHidden/>
              </w:rPr>
              <w:tab/>
            </w:r>
            <w:r>
              <w:rPr>
                <w:noProof/>
                <w:webHidden/>
              </w:rPr>
              <w:fldChar w:fldCharType="begin"/>
            </w:r>
            <w:r>
              <w:rPr>
                <w:noProof/>
                <w:webHidden/>
              </w:rPr>
              <w:instrText xml:space="preserve"> PAGEREF _Toc229219588 \h </w:instrText>
            </w:r>
            <w:r>
              <w:rPr>
                <w:noProof/>
                <w:webHidden/>
              </w:rPr>
            </w:r>
            <w:r>
              <w:rPr>
                <w:noProof/>
                <w:webHidden/>
              </w:rPr>
              <w:fldChar w:fldCharType="separate"/>
            </w:r>
            <w:r>
              <w:rPr>
                <w:noProof/>
                <w:webHidden/>
              </w:rPr>
              <w:t>41</w:t>
            </w:r>
            <w:r>
              <w:rPr>
                <w:noProof/>
                <w:webHidden/>
              </w:rPr>
              <w:fldChar w:fldCharType="end"/>
            </w:r>
          </w:hyperlink>
        </w:p>
        <w:p w14:paraId="2A550DC2" w14:textId="77777777" w:rsidR="00274C70" w:rsidRDefault="00274C70">
          <w:pPr>
            <w:pStyle w:val="Sumrio2"/>
            <w:tabs>
              <w:tab w:val="right" w:leader="dot" w:pos="8828"/>
            </w:tabs>
            <w:rPr>
              <w:noProof/>
            </w:rPr>
          </w:pPr>
          <w:hyperlink w:anchor="_Toc229219589" w:history="1">
            <w:r w:rsidRPr="00342270">
              <w:rPr>
                <w:rStyle w:val="Hyperlink"/>
                <w:noProof/>
              </w:rPr>
              <w:t>7.1 Contexto clínico</w:t>
            </w:r>
            <w:r>
              <w:rPr>
                <w:noProof/>
                <w:webHidden/>
              </w:rPr>
              <w:tab/>
            </w:r>
            <w:r>
              <w:rPr>
                <w:noProof/>
                <w:webHidden/>
              </w:rPr>
              <w:fldChar w:fldCharType="begin"/>
            </w:r>
            <w:r>
              <w:rPr>
                <w:noProof/>
                <w:webHidden/>
              </w:rPr>
              <w:instrText xml:space="preserve"> PAGEREF _Toc229219589 \h </w:instrText>
            </w:r>
            <w:r>
              <w:rPr>
                <w:noProof/>
                <w:webHidden/>
              </w:rPr>
            </w:r>
            <w:r>
              <w:rPr>
                <w:noProof/>
                <w:webHidden/>
              </w:rPr>
              <w:fldChar w:fldCharType="separate"/>
            </w:r>
            <w:r>
              <w:rPr>
                <w:noProof/>
                <w:webHidden/>
              </w:rPr>
              <w:t>41</w:t>
            </w:r>
            <w:r>
              <w:rPr>
                <w:noProof/>
                <w:webHidden/>
              </w:rPr>
              <w:fldChar w:fldCharType="end"/>
            </w:r>
          </w:hyperlink>
        </w:p>
        <w:p w14:paraId="1BFD9715" w14:textId="77777777" w:rsidR="00274C70" w:rsidRDefault="00274C70">
          <w:pPr>
            <w:pStyle w:val="Sumrio2"/>
            <w:tabs>
              <w:tab w:val="right" w:leader="dot" w:pos="8828"/>
            </w:tabs>
            <w:rPr>
              <w:noProof/>
            </w:rPr>
          </w:pPr>
          <w:hyperlink w:anchor="_Toc229219590" w:history="1">
            <w:r w:rsidRPr="00342270">
              <w:rPr>
                <w:rStyle w:val="Hyperlink"/>
                <w:noProof/>
              </w:rPr>
              <w:t>7.2 A evidência observacional</w:t>
            </w:r>
            <w:r>
              <w:rPr>
                <w:noProof/>
                <w:webHidden/>
              </w:rPr>
              <w:tab/>
            </w:r>
            <w:r>
              <w:rPr>
                <w:noProof/>
                <w:webHidden/>
              </w:rPr>
              <w:fldChar w:fldCharType="begin"/>
            </w:r>
            <w:r>
              <w:rPr>
                <w:noProof/>
                <w:webHidden/>
              </w:rPr>
              <w:instrText xml:space="preserve"> PAGEREF _Toc229219590 \h </w:instrText>
            </w:r>
            <w:r>
              <w:rPr>
                <w:noProof/>
                <w:webHidden/>
              </w:rPr>
            </w:r>
            <w:r>
              <w:rPr>
                <w:noProof/>
                <w:webHidden/>
              </w:rPr>
              <w:fldChar w:fldCharType="separate"/>
            </w:r>
            <w:r>
              <w:rPr>
                <w:noProof/>
                <w:webHidden/>
              </w:rPr>
              <w:t>41</w:t>
            </w:r>
            <w:r>
              <w:rPr>
                <w:noProof/>
                <w:webHidden/>
              </w:rPr>
              <w:fldChar w:fldCharType="end"/>
            </w:r>
          </w:hyperlink>
        </w:p>
        <w:p w14:paraId="6A99BEAB" w14:textId="77777777" w:rsidR="00274C70" w:rsidRDefault="00274C70">
          <w:pPr>
            <w:pStyle w:val="Sumrio2"/>
            <w:tabs>
              <w:tab w:val="right" w:leader="dot" w:pos="8828"/>
            </w:tabs>
            <w:rPr>
              <w:noProof/>
            </w:rPr>
          </w:pPr>
          <w:hyperlink w:anchor="_Toc229219591" w:history="1">
            <w:r w:rsidRPr="00342270">
              <w:rPr>
                <w:rStyle w:val="Hyperlink"/>
                <w:noProof/>
              </w:rPr>
              <w:t>7.3 Os ensaios randomizados</w:t>
            </w:r>
            <w:r>
              <w:rPr>
                <w:noProof/>
                <w:webHidden/>
              </w:rPr>
              <w:tab/>
            </w:r>
            <w:r>
              <w:rPr>
                <w:noProof/>
                <w:webHidden/>
              </w:rPr>
              <w:fldChar w:fldCharType="begin"/>
            </w:r>
            <w:r>
              <w:rPr>
                <w:noProof/>
                <w:webHidden/>
              </w:rPr>
              <w:instrText xml:space="preserve"> PAGEREF _Toc229219591 \h </w:instrText>
            </w:r>
            <w:r>
              <w:rPr>
                <w:noProof/>
                <w:webHidden/>
              </w:rPr>
            </w:r>
            <w:r>
              <w:rPr>
                <w:noProof/>
                <w:webHidden/>
              </w:rPr>
              <w:fldChar w:fldCharType="separate"/>
            </w:r>
            <w:r>
              <w:rPr>
                <w:noProof/>
                <w:webHidden/>
              </w:rPr>
              <w:t>42</w:t>
            </w:r>
            <w:r>
              <w:rPr>
                <w:noProof/>
                <w:webHidden/>
              </w:rPr>
              <w:fldChar w:fldCharType="end"/>
            </w:r>
          </w:hyperlink>
        </w:p>
        <w:p w14:paraId="27348F3F" w14:textId="77777777" w:rsidR="00274C70" w:rsidRDefault="00274C70">
          <w:pPr>
            <w:pStyle w:val="Sumrio2"/>
            <w:tabs>
              <w:tab w:val="right" w:leader="dot" w:pos="8828"/>
            </w:tabs>
            <w:rPr>
              <w:noProof/>
            </w:rPr>
          </w:pPr>
          <w:hyperlink w:anchor="_Toc229219592" w:history="1">
            <w:r w:rsidRPr="00342270">
              <w:rPr>
                <w:rStyle w:val="Hyperlink"/>
                <w:noProof/>
              </w:rPr>
              <w:t>7.4 A leitura mais cuidadosa que se seguiu</w:t>
            </w:r>
            <w:r>
              <w:rPr>
                <w:noProof/>
                <w:webHidden/>
              </w:rPr>
              <w:tab/>
            </w:r>
            <w:r>
              <w:rPr>
                <w:noProof/>
                <w:webHidden/>
              </w:rPr>
              <w:fldChar w:fldCharType="begin"/>
            </w:r>
            <w:r>
              <w:rPr>
                <w:noProof/>
                <w:webHidden/>
              </w:rPr>
              <w:instrText xml:space="preserve"> PAGEREF _Toc229219592 \h </w:instrText>
            </w:r>
            <w:r>
              <w:rPr>
                <w:noProof/>
                <w:webHidden/>
              </w:rPr>
            </w:r>
            <w:r>
              <w:rPr>
                <w:noProof/>
                <w:webHidden/>
              </w:rPr>
              <w:fldChar w:fldCharType="separate"/>
            </w:r>
            <w:r>
              <w:rPr>
                <w:noProof/>
                <w:webHidden/>
              </w:rPr>
              <w:t>43</w:t>
            </w:r>
            <w:r>
              <w:rPr>
                <w:noProof/>
                <w:webHidden/>
              </w:rPr>
              <w:fldChar w:fldCharType="end"/>
            </w:r>
          </w:hyperlink>
        </w:p>
        <w:p w14:paraId="266837A9" w14:textId="77777777" w:rsidR="00274C70" w:rsidRDefault="00274C70">
          <w:pPr>
            <w:pStyle w:val="Sumrio2"/>
            <w:tabs>
              <w:tab w:val="right" w:leader="dot" w:pos="8828"/>
            </w:tabs>
            <w:rPr>
              <w:noProof/>
            </w:rPr>
          </w:pPr>
          <w:hyperlink w:anchor="_Toc229219593" w:history="1">
            <w:r w:rsidRPr="00342270">
              <w:rPr>
                <w:rStyle w:val="Hyperlink"/>
                <w:noProof/>
              </w:rPr>
              <w:t>7.5 Lição metodológica</w:t>
            </w:r>
            <w:r>
              <w:rPr>
                <w:noProof/>
                <w:webHidden/>
              </w:rPr>
              <w:tab/>
            </w:r>
            <w:r>
              <w:rPr>
                <w:noProof/>
                <w:webHidden/>
              </w:rPr>
              <w:fldChar w:fldCharType="begin"/>
            </w:r>
            <w:r>
              <w:rPr>
                <w:noProof/>
                <w:webHidden/>
              </w:rPr>
              <w:instrText xml:space="preserve"> PAGEREF _Toc229219593 \h </w:instrText>
            </w:r>
            <w:r>
              <w:rPr>
                <w:noProof/>
                <w:webHidden/>
              </w:rPr>
            </w:r>
            <w:r>
              <w:rPr>
                <w:noProof/>
                <w:webHidden/>
              </w:rPr>
              <w:fldChar w:fldCharType="separate"/>
            </w:r>
            <w:r>
              <w:rPr>
                <w:noProof/>
                <w:webHidden/>
              </w:rPr>
              <w:t>43</w:t>
            </w:r>
            <w:r>
              <w:rPr>
                <w:noProof/>
                <w:webHidden/>
              </w:rPr>
              <w:fldChar w:fldCharType="end"/>
            </w:r>
          </w:hyperlink>
        </w:p>
        <w:p w14:paraId="072C04B9" w14:textId="77777777" w:rsidR="00274C70" w:rsidRDefault="00274C70">
          <w:pPr>
            <w:pStyle w:val="Sumrio2"/>
            <w:tabs>
              <w:tab w:val="right" w:leader="dot" w:pos="8828"/>
            </w:tabs>
            <w:rPr>
              <w:noProof/>
            </w:rPr>
          </w:pPr>
          <w:hyperlink w:anchor="_Toc229219594" w:history="1">
            <w:r w:rsidRPr="00342270">
              <w:rPr>
                <w:rStyle w:val="Hyperlink"/>
                <w:noProof/>
              </w:rPr>
              <w:t>7.6 Para discussão em sala</w:t>
            </w:r>
            <w:r>
              <w:rPr>
                <w:noProof/>
                <w:webHidden/>
              </w:rPr>
              <w:tab/>
            </w:r>
            <w:r>
              <w:rPr>
                <w:noProof/>
                <w:webHidden/>
              </w:rPr>
              <w:fldChar w:fldCharType="begin"/>
            </w:r>
            <w:r>
              <w:rPr>
                <w:noProof/>
                <w:webHidden/>
              </w:rPr>
              <w:instrText xml:space="preserve"> PAGEREF _Toc229219594 \h </w:instrText>
            </w:r>
            <w:r>
              <w:rPr>
                <w:noProof/>
                <w:webHidden/>
              </w:rPr>
            </w:r>
            <w:r>
              <w:rPr>
                <w:noProof/>
                <w:webHidden/>
              </w:rPr>
              <w:fldChar w:fldCharType="separate"/>
            </w:r>
            <w:r>
              <w:rPr>
                <w:noProof/>
                <w:webHidden/>
              </w:rPr>
              <w:t>44</w:t>
            </w:r>
            <w:r>
              <w:rPr>
                <w:noProof/>
                <w:webHidden/>
              </w:rPr>
              <w:fldChar w:fldCharType="end"/>
            </w:r>
          </w:hyperlink>
        </w:p>
        <w:p w14:paraId="3EBDD4C5" w14:textId="77777777" w:rsidR="00274C70" w:rsidRDefault="00274C70">
          <w:pPr>
            <w:pStyle w:val="Sumrio1"/>
            <w:tabs>
              <w:tab w:val="right" w:leader="dot" w:pos="8828"/>
            </w:tabs>
            <w:rPr>
              <w:noProof/>
            </w:rPr>
          </w:pPr>
          <w:hyperlink w:anchor="_Toc229219595" w:history="1">
            <w:r w:rsidRPr="00342270">
              <w:rPr>
                <w:rStyle w:val="Hyperlink"/>
                <w:noProof/>
              </w:rPr>
              <w:t>8. Vitamina E — antioxidantes e o limite da plausibilidade biológica</w:t>
            </w:r>
            <w:r>
              <w:rPr>
                <w:noProof/>
                <w:webHidden/>
              </w:rPr>
              <w:tab/>
            </w:r>
            <w:r>
              <w:rPr>
                <w:noProof/>
                <w:webHidden/>
              </w:rPr>
              <w:fldChar w:fldCharType="begin"/>
            </w:r>
            <w:r>
              <w:rPr>
                <w:noProof/>
                <w:webHidden/>
              </w:rPr>
              <w:instrText xml:space="preserve"> PAGEREF _Toc229219595 \h </w:instrText>
            </w:r>
            <w:r>
              <w:rPr>
                <w:noProof/>
                <w:webHidden/>
              </w:rPr>
            </w:r>
            <w:r>
              <w:rPr>
                <w:noProof/>
                <w:webHidden/>
              </w:rPr>
              <w:fldChar w:fldCharType="separate"/>
            </w:r>
            <w:r>
              <w:rPr>
                <w:noProof/>
                <w:webHidden/>
              </w:rPr>
              <w:t>44</w:t>
            </w:r>
            <w:r>
              <w:rPr>
                <w:noProof/>
                <w:webHidden/>
              </w:rPr>
              <w:fldChar w:fldCharType="end"/>
            </w:r>
          </w:hyperlink>
        </w:p>
        <w:p w14:paraId="13985FD0" w14:textId="77777777" w:rsidR="00274C70" w:rsidRDefault="00274C70">
          <w:pPr>
            <w:pStyle w:val="Sumrio2"/>
            <w:tabs>
              <w:tab w:val="right" w:leader="dot" w:pos="8828"/>
            </w:tabs>
            <w:rPr>
              <w:noProof/>
            </w:rPr>
          </w:pPr>
          <w:hyperlink w:anchor="_Toc229219596" w:history="1">
            <w:r w:rsidRPr="00342270">
              <w:rPr>
                <w:rStyle w:val="Hyperlink"/>
                <w:noProof/>
              </w:rPr>
              <w:t>8.1 Contexto clínico</w:t>
            </w:r>
            <w:r>
              <w:rPr>
                <w:noProof/>
                <w:webHidden/>
              </w:rPr>
              <w:tab/>
            </w:r>
            <w:r>
              <w:rPr>
                <w:noProof/>
                <w:webHidden/>
              </w:rPr>
              <w:fldChar w:fldCharType="begin"/>
            </w:r>
            <w:r>
              <w:rPr>
                <w:noProof/>
                <w:webHidden/>
              </w:rPr>
              <w:instrText xml:space="preserve"> PAGEREF _Toc229219596 \h </w:instrText>
            </w:r>
            <w:r>
              <w:rPr>
                <w:noProof/>
                <w:webHidden/>
              </w:rPr>
            </w:r>
            <w:r>
              <w:rPr>
                <w:noProof/>
                <w:webHidden/>
              </w:rPr>
              <w:fldChar w:fldCharType="separate"/>
            </w:r>
            <w:r>
              <w:rPr>
                <w:noProof/>
                <w:webHidden/>
              </w:rPr>
              <w:t>44</w:t>
            </w:r>
            <w:r>
              <w:rPr>
                <w:noProof/>
                <w:webHidden/>
              </w:rPr>
              <w:fldChar w:fldCharType="end"/>
            </w:r>
          </w:hyperlink>
        </w:p>
        <w:p w14:paraId="57A064A9" w14:textId="77777777" w:rsidR="00274C70" w:rsidRDefault="00274C70">
          <w:pPr>
            <w:pStyle w:val="Sumrio2"/>
            <w:tabs>
              <w:tab w:val="right" w:leader="dot" w:pos="8828"/>
            </w:tabs>
            <w:rPr>
              <w:noProof/>
            </w:rPr>
          </w:pPr>
          <w:hyperlink w:anchor="_Toc229219597" w:history="1">
            <w:r w:rsidRPr="00342270">
              <w:rPr>
                <w:rStyle w:val="Hyperlink"/>
                <w:noProof/>
              </w:rPr>
              <w:t>8.2 A evidência observacional</w:t>
            </w:r>
            <w:r>
              <w:rPr>
                <w:noProof/>
                <w:webHidden/>
              </w:rPr>
              <w:tab/>
            </w:r>
            <w:r>
              <w:rPr>
                <w:noProof/>
                <w:webHidden/>
              </w:rPr>
              <w:fldChar w:fldCharType="begin"/>
            </w:r>
            <w:r>
              <w:rPr>
                <w:noProof/>
                <w:webHidden/>
              </w:rPr>
              <w:instrText xml:space="preserve"> PAGEREF _Toc229219597 \h </w:instrText>
            </w:r>
            <w:r>
              <w:rPr>
                <w:noProof/>
                <w:webHidden/>
              </w:rPr>
            </w:r>
            <w:r>
              <w:rPr>
                <w:noProof/>
                <w:webHidden/>
              </w:rPr>
              <w:fldChar w:fldCharType="separate"/>
            </w:r>
            <w:r>
              <w:rPr>
                <w:noProof/>
                <w:webHidden/>
              </w:rPr>
              <w:t>45</w:t>
            </w:r>
            <w:r>
              <w:rPr>
                <w:noProof/>
                <w:webHidden/>
              </w:rPr>
              <w:fldChar w:fldCharType="end"/>
            </w:r>
          </w:hyperlink>
        </w:p>
        <w:p w14:paraId="3F4286C7" w14:textId="77777777" w:rsidR="00274C70" w:rsidRDefault="00274C70">
          <w:pPr>
            <w:pStyle w:val="Sumrio2"/>
            <w:tabs>
              <w:tab w:val="right" w:leader="dot" w:pos="8828"/>
            </w:tabs>
            <w:rPr>
              <w:noProof/>
            </w:rPr>
          </w:pPr>
          <w:hyperlink w:anchor="_Toc229219598" w:history="1">
            <w:r w:rsidRPr="00342270">
              <w:rPr>
                <w:rStyle w:val="Hyperlink"/>
                <w:noProof/>
              </w:rPr>
              <w:t>8.3 Os ensaios randomizados</w:t>
            </w:r>
            <w:r>
              <w:rPr>
                <w:noProof/>
                <w:webHidden/>
              </w:rPr>
              <w:tab/>
            </w:r>
            <w:r>
              <w:rPr>
                <w:noProof/>
                <w:webHidden/>
              </w:rPr>
              <w:fldChar w:fldCharType="begin"/>
            </w:r>
            <w:r>
              <w:rPr>
                <w:noProof/>
                <w:webHidden/>
              </w:rPr>
              <w:instrText xml:space="preserve"> PAGEREF _Toc229219598 \h </w:instrText>
            </w:r>
            <w:r>
              <w:rPr>
                <w:noProof/>
                <w:webHidden/>
              </w:rPr>
            </w:r>
            <w:r>
              <w:rPr>
                <w:noProof/>
                <w:webHidden/>
              </w:rPr>
              <w:fldChar w:fldCharType="separate"/>
            </w:r>
            <w:r>
              <w:rPr>
                <w:noProof/>
                <w:webHidden/>
              </w:rPr>
              <w:t>46</w:t>
            </w:r>
            <w:r>
              <w:rPr>
                <w:noProof/>
                <w:webHidden/>
              </w:rPr>
              <w:fldChar w:fldCharType="end"/>
            </w:r>
          </w:hyperlink>
        </w:p>
        <w:p w14:paraId="763962E5" w14:textId="77777777" w:rsidR="00274C70" w:rsidRDefault="00274C70">
          <w:pPr>
            <w:pStyle w:val="Sumrio2"/>
            <w:tabs>
              <w:tab w:val="right" w:leader="dot" w:pos="8828"/>
            </w:tabs>
            <w:rPr>
              <w:noProof/>
            </w:rPr>
          </w:pPr>
          <w:hyperlink w:anchor="_Toc229219599" w:history="1">
            <w:r w:rsidRPr="00342270">
              <w:rPr>
                <w:rStyle w:val="Hyperlink"/>
                <w:noProof/>
              </w:rPr>
              <w:t>8.4 Lição metodológica</w:t>
            </w:r>
            <w:r>
              <w:rPr>
                <w:noProof/>
                <w:webHidden/>
              </w:rPr>
              <w:tab/>
            </w:r>
            <w:r>
              <w:rPr>
                <w:noProof/>
                <w:webHidden/>
              </w:rPr>
              <w:fldChar w:fldCharType="begin"/>
            </w:r>
            <w:r>
              <w:rPr>
                <w:noProof/>
                <w:webHidden/>
              </w:rPr>
              <w:instrText xml:space="preserve"> PAGEREF _Toc229219599 \h </w:instrText>
            </w:r>
            <w:r>
              <w:rPr>
                <w:noProof/>
                <w:webHidden/>
              </w:rPr>
            </w:r>
            <w:r>
              <w:rPr>
                <w:noProof/>
                <w:webHidden/>
              </w:rPr>
              <w:fldChar w:fldCharType="separate"/>
            </w:r>
            <w:r>
              <w:rPr>
                <w:noProof/>
                <w:webHidden/>
              </w:rPr>
              <w:t>46</w:t>
            </w:r>
            <w:r>
              <w:rPr>
                <w:noProof/>
                <w:webHidden/>
              </w:rPr>
              <w:fldChar w:fldCharType="end"/>
            </w:r>
          </w:hyperlink>
        </w:p>
        <w:p w14:paraId="1293ECE5" w14:textId="77777777" w:rsidR="00274C70" w:rsidRDefault="00274C70">
          <w:pPr>
            <w:pStyle w:val="Sumrio2"/>
            <w:tabs>
              <w:tab w:val="right" w:leader="dot" w:pos="8828"/>
            </w:tabs>
            <w:rPr>
              <w:noProof/>
            </w:rPr>
          </w:pPr>
          <w:hyperlink w:anchor="_Toc229219600" w:history="1">
            <w:r w:rsidRPr="00342270">
              <w:rPr>
                <w:rStyle w:val="Hyperlink"/>
                <w:noProof/>
              </w:rPr>
              <w:t>8.5 Para discussão em sala</w:t>
            </w:r>
            <w:r>
              <w:rPr>
                <w:noProof/>
                <w:webHidden/>
              </w:rPr>
              <w:tab/>
            </w:r>
            <w:r>
              <w:rPr>
                <w:noProof/>
                <w:webHidden/>
              </w:rPr>
              <w:fldChar w:fldCharType="begin"/>
            </w:r>
            <w:r>
              <w:rPr>
                <w:noProof/>
                <w:webHidden/>
              </w:rPr>
              <w:instrText xml:space="preserve"> PAGEREF _Toc229219600 \h </w:instrText>
            </w:r>
            <w:r>
              <w:rPr>
                <w:noProof/>
                <w:webHidden/>
              </w:rPr>
            </w:r>
            <w:r>
              <w:rPr>
                <w:noProof/>
                <w:webHidden/>
              </w:rPr>
              <w:fldChar w:fldCharType="separate"/>
            </w:r>
            <w:r>
              <w:rPr>
                <w:noProof/>
                <w:webHidden/>
              </w:rPr>
              <w:t>47</w:t>
            </w:r>
            <w:r>
              <w:rPr>
                <w:noProof/>
                <w:webHidden/>
              </w:rPr>
              <w:fldChar w:fldCharType="end"/>
            </w:r>
          </w:hyperlink>
        </w:p>
        <w:p w14:paraId="4FF3D0DA" w14:textId="77777777" w:rsidR="00274C70" w:rsidRDefault="00274C70">
          <w:pPr>
            <w:pStyle w:val="Sumrio1"/>
            <w:tabs>
              <w:tab w:val="right" w:leader="dot" w:pos="8828"/>
            </w:tabs>
            <w:rPr>
              <w:noProof/>
            </w:rPr>
          </w:pPr>
          <w:hyperlink w:anchor="_Toc229219601" w:history="1">
            <w:r w:rsidRPr="00342270">
              <w:rPr>
                <w:rStyle w:val="Hyperlink"/>
                <w:noProof/>
              </w:rPr>
              <w:t>9. Betacaroteno — quando a suplementação faz o oposto do esperado</w:t>
            </w:r>
            <w:r>
              <w:rPr>
                <w:noProof/>
                <w:webHidden/>
              </w:rPr>
              <w:tab/>
            </w:r>
            <w:r>
              <w:rPr>
                <w:noProof/>
                <w:webHidden/>
              </w:rPr>
              <w:fldChar w:fldCharType="begin"/>
            </w:r>
            <w:r>
              <w:rPr>
                <w:noProof/>
                <w:webHidden/>
              </w:rPr>
              <w:instrText xml:space="preserve"> PAGEREF _Toc229219601 \h </w:instrText>
            </w:r>
            <w:r>
              <w:rPr>
                <w:noProof/>
                <w:webHidden/>
              </w:rPr>
            </w:r>
            <w:r>
              <w:rPr>
                <w:noProof/>
                <w:webHidden/>
              </w:rPr>
              <w:fldChar w:fldCharType="separate"/>
            </w:r>
            <w:r>
              <w:rPr>
                <w:noProof/>
                <w:webHidden/>
              </w:rPr>
              <w:t>48</w:t>
            </w:r>
            <w:r>
              <w:rPr>
                <w:noProof/>
                <w:webHidden/>
              </w:rPr>
              <w:fldChar w:fldCharType="end"/>
            </w:r>
          </w:hyperlink>
        </w:p>
        <w:p w14:paraId="57A015DC" w14:textId="77777777" w:rsidR="00274C70" w:rsidRDefault="00274C70">
          <w:pPr>
            <w:pStyle w:val="Sumrio2"/>
            <w:tabs>
              <w:tab w:val="right" w:leader="dot" w:pos="8828"/>
            </w:tabs>
            <w:rPr>
              <w:noProof/>
            </w:rPr>
          </w:pPr>
          <w:hyperlink w:anchor="_Toc229219602" w:history="1">
            <w:r w:rsidRPr="00342270">
              <w:rPr>
                <w:rStyle w:val="Hyperlink"/>
                <w:noProof/>
              </w:rPr>
              <w:t>9.1 Contexto clínico</w:t>
            </w:r>
            <w:r>
              <w:rPr>
                <w:noProof/>
                <w:webHidden/>
              </w:rPr>
              <w:tab/>
            </w:r>
            <w:r>
              <w:rPr>
                <w:noProof/>
                <w:webHidden/>
              </w:rPr>
              <w:fldChar w:fldCharType="begin"/>
            </w:r>
            <w:r>
              <w:rPr>
                <w:noProof/>
                <w:webHidden/>
              </w:rPr>
              <w:instrText xml:space="preserve"> PAGEREF _Toc229219602 \h </w:instrText>
            </w:r>
            <w:r>
              <w:rPr>
                <w:noProof/>
                <w:webHidden/>
              </w:rPr>
            </w:r>
            <w:r>
              <w:rPr>
                <w:noProof/>
                <w:webHidden/>
              </w:rPr>
              <w:fldChar w:fldCharType="separate"/>
            </w:r>
            <w:r>
              <w:rPr>
                <w:noProof/>
                <w:webHidden/>
              </w:rPr>
              <w:t>48</w:t>
            </w:r>
            <w:r>
              <w:rPr>
                <w:noProof/>
                <w:webHidden/>
              </w:rPr>
              <w:fldChar w:fldCharType="end"/>
            </w:r>
          </w:hyperlink>
        </w:p>
        <w:p w14:paraId="33736A85" w14:textId="77777777" w:rsidR="00274C70" w:rsidRDefault="00274C70">
          <w:pPr>
            <w:pStyle w:val="Sumrio2"/>
            <w:tabs>
              <w:tab w:val="right" w:leader="dot" w:pos="8828"/>
            </w:tabs>
            <w:rPr>
              <w:noProof/>
            </w:rPr>
          </w:pPr>
          <w:hyperlink w:anchor="_Toc229219603" w:history="1">
            <w:r w:rsidRPr="00342270">
              <w:rPr>
                <w:rStyle w:val="Hyperlink"/>
                <w:noProof/>
              </w:rPr>
              <w:t>9.2 A evidência observacional</w:t>
            </w:r>
            <w:r>
              <w:rPr>
                <w:noProof/>
                <w:webHidden/>
              </w:rPr>
              <w:tab/>
            </w:r>
            <w:r>
              <w:rPr>
                <w:noProof/>
                <w:webHidden/>
              </w:rPr>
              <w:fldChar w:fldCharType="begin"/>
            </w:r>
            <w:r>
              <w:rPr>
                <w:noProof/>
                <w:webHidden/>
              </w:rPr>
              <w:instrText xml:space="preserve"> PAGEREF _Toc229219603 \h </w:instrText>
            </w:r>
            <w:r>
              <w:rPr>
                <w:noProof/>
                <w:webHidden/>
              </w:rPr>
            </w:r>
            <w:r>
              <w:rPr>
                <w:noProof/>
                <w:webHidden/>
              </w:rPr>
              <w:fldChar w:fldCharType="separate"/>
            </w:r>
            <w:r>
              <w:rPr>
                <w:noProof/>
                <w:webHidden/>
              </w:rPr>
              <w:t>48</w:t>
            </w:r>
            <w:r>
              <w:rPr>
                <w:noProof/>
                <w:webHidden/>
              </w:rPr>
              <w:fldChar w:fldCharType="end"/>
            </w:r>
          </w:hyperlink>
        </w:p>
        <w:p w14:paraId="6DCA42BC" w14:textId="77777777" w:rsidR="00274C70" w:rsidRDefault="00274C70">
          <w:pPr>
            <w:pStyle w:val="Sumrio2"/>
            <w:tabs>
              <w:tab w:val="right" w:leader="dot" w:pos="8828"/>
            </w:tabs>
            <w:rPr>
              <w:noProof/>
            </w:rPr>
          </w:pPr>
          <w:hyperlink w:anchor="_Toc229219604" w:history="1">
            <w:r w:rsidRPr="00342270">
              <w:rPr>
                <w:rStyle w:val="Hyperlink"/>
                <w:noProof/>
              </w:rPr>
              <w:t>9.3 Os ensaios randomizados</w:t>
            </w:r>
            <w:r>
              <w:rPr>
                <w:noProof/>
                <w:webHidden/>
              </w:rPr>
              <w:tab/>
            </w:r>
            <w:r>
              <w:rPr>
                <w:noProof/>
                <w:webHidden/>
              </w:rPr>
              <w:fldChar w:fldCharType="begin"/>
            </w:r>
            <w:r>
              <w:rPr>
                <w:noProof/>
                <w:webHidden/>
              </w:rPr>
              <w:instrText xml:space="preserve"> PAGEREF _Toc229219604 \h </w:instrText>
            </w:r>
            <w:r>
              <w:rPr>
                <w:noProof/>
                <w:webHidden/>
              </w:rPr>
            </w:r>
            <w:r>
              <w:rPr>
                <w:noProof/>
                <w:webHidden/>
              </w:rPr>
              <w:fldChar w:fldCharType="separate"/>
            </w:r>
            <w:r>
              <w:rPr>
                <w:noProof/>
                <w:webHidden/>
              </w:rPr>
              <w:t>49</w:t>
            </w:r>
            <w:r>
              <w:rPr>
                <w:noProof/>
                <w:webHidden/>
              </w:rPr>
              <w:fldChar w:fldCharType="end"/>
            </w:r>
          </w:hyperlink>
        </w:p>
        <w:p w14:paraId="036F1F03" w14:textId="77777777" w:rsidR="00274C70" w:rsidRDefault="00274C70">
          <w:pPr>
            <w:pStyle w:val="Sumrio2"/>
            <w:tabs>
              <w:tab w:val="right" w:leader="dot" w:pos="8828"/>
            </w:tabs>
            <w:rPr>
              <w:noProof/>
            </w:rPr>
          </w:pPr>
          <w:hyperlink w:anchor="_Toc229219605" w:history="1">
            <w:r w:rsidRPr="00342270">
              <w:rPr>
                <w:rStyle w:val="Hyperlink"/>
                <w:noProof/>
              </w:rPr>
              <w:t>9.4 Lição metodológica</w:t>
            </w:r>
            <w:r>
              <w:rPr>
                <w:noProof/>
                <w:webHidden/>
              </w:rPr>
              <w:tab/>
            </w:r>
            <w:r>
              <w:rPr>
                <w:noProof/>
                <w:webHidden/>
              </w:rPr>
              <w:fldChar w:fldCharType="begin"/>
            </w:r>
            <w:r>
              <w:rPr>
                <w:noProof/>
                <w:webHidden/>
              </w:rPr>
              <w:instrText xml:space="preserve"> PAGEREF _Toc229219605 \h </w:instrText>
            </w:r>
            <w:r>
              <w:rPr>
                <w:noProof/>
                <w:webHidden/>
              </w:rPr>
            </w:r>
            <w:r>
              <w:rPr>
                <w:noProof/>
                <w:webHidden/>
              </w:rPr>
              <w:fldChar w:fldCharType="separate"/>
            </w:r>
            <w:r>
              <w:rPr>
                <w:noProof/>
                <w:webHidden/>
              </w:rPr>
              <w:t>50</w:t>
            </w:r>
            <w:r>
              <w:rPr>
                <w:noProof/>
                <w:webHidden/>
              </w:rPr>
              <w:fldChar w:fldCharType="end"/>
            </w:r>
          </w:hyperlink>
        </w:p>
        <w:p w14:paraId="59055B2E" w14:textId="77777777" w:rsidR="00274C70" w:rsidRDefault="00274C70">
          <w:pPr>
            <w:pStyle w:val="Sumrio2"/>
            <w:tabs>
              <w:tab w:val="right" w:leader="dot" w:pos="8828"/>
            </w:tabs>
            <w:rPr>
              <w:noProof/>
            </w:rPr>
          </w:pPr>
          <w:hyperlink w:anchor="_Toc229219606" w:history="1">
            <w:r w:rsidRPr="00342270">
              <w:rPr>
                <w:rStyle w:val="Hyperlink"/>
                <w:noProof/>
              </w:rPr>
              <w:t>9.5 Para discussão em sala</w:t>
            </w:r>
            <w:r>
              <w:rPr>
                <w:noProof/>
                <w:webHidden/>
              </w:rPr>
              <w:tab/>
            </w:r>
            <w:r>
              <w:rPr>
                <w:noProof/>
                <w:webHidden/>
              </w:rPr>
              <w:fldChar w:fldCharType="begin"/>
            </w:r>
            <w:r>
              <w:rPr>
                <w:noProof/>
                <w:webHidden/>
              </w:rPr>
              <w:instrText xml:space="preserve"> PAGEREF _Toc229219606 \h </w:instrText>
            </w:r>
            <w:r>
              <w:rPr>
                <w:noProof/>
                <w:webHidden/>
              </w:rPr>
            </w:r>
            <w:r>
              <w:rPr>
                <w:noProof/>
                <w:webHidden/>
              </w:rPr>
              <w:fldChar w:fldCharType="separate"/>
            </w:r>
            <w:r>
              <w:rPr>
                <w:noProof/>
                <w:webHidden/>
              </w:rPr>
              <w:t>51</w:t>
            </w:r>
            <w:r>
              <w:rPr>
                <w:noProof/>
                <w:webHidden/>
              </w:rPr>
              <w:fldChar w:fldCharType="end"/>
            </w:r>
          </w:hyperlink>
        </w:p>
        <w:p w14:paraId="3D87CA2E" w14:textId="77777777" w:rsidR="00274C70" w:rsidRDefault="00274C70">
          <w:pPr>
            <w:pStyle w:val="Sumrio1"/>
            <w:tabs>
              <w:tab w:val="right" w:leader="dot" w:pos="8828"/>
            </w:tabs>
            <w:rPr>
              <w:noProof/>
            </w:rPr>
          </w:pPr>
          <w:hyperlink w:anchor="_Toc229219607" w:history="1">
            <w:r w:rsidRPr="00342270">
              <w:rPr>
                <w:rStyle w:val="Hyperlink"/>
                <w:noProof/>
              </w:rPr>
              <w:t>10. Vitamina D — quando o marcador é confundido com causa</w:t>
            </w:r>
            <w:r>
              <w:rPr>
                <w:noProof/>
                <w:webHidden/>
              </w:rPr>
              <w:tab/>
            </w:r>
            <w:r>
              <w:rPr>
                <w:noProof/>
                <w:webHidden/>
              </w:rPr>
              <w:fldChar w:fldCharType="begin"/>
            </w:r>
            <w:r>
              <w:rPr>
                <w:noProof/>
                <w:webHidden/>
              </w:rPr>
              <w:instrText xml:space="preserve"> PAGEREF _Toc229219607 \h </w:instrText>
            </w:r>
            <w:r>
              <w:rPr>
                <w:noProof/>
                <w:webHidden/>
              </w:rPr>
            </w:r>
            <w:r>
              <w:rPr>
                <w:noProof/>
                <w:webHidden/>
              </w:rPr>
              <w:fldChar w:fldCharType="separate"/>
            </w:r>
            <w:r>
              <w:rPr>
                <w:noProof/>
                <w:webHidden/>
              </w:rPr>
              <w:t>51</w:t>
            </w:r>
            <w:r>
              <w:rPr>
                <w:noProof/>
                <w:webHidden/>
              </w:rPr>
              <w:fldChar w:fldCharType="end"/>
            </w:r>
          </w:hyperlink>
        </w:p>
        <w:p w14:paraId="1D6411B7" w14:textId="77777777" w:rsidR="00274C70" w:rsidRDefault="00274C70">
          <w:pPr>
            <w:pStyle w:val="Sumrio2"/>
            <w:tabs>
              <w:tab w:val="right" w:leader="dot" w:pos="8828"/>
            </w:tabs>
            <w:rPr>
              <w:noProof/>
            </w:rPr>
          </w:pPr>
          <w:hyperlink w:anchor="_Toc229219608" w:history="1">
            <w:r w:rsidRPr="00342270">
              <w:rPr>
                <w:rStyle w:val="Hyperlink"/>
                <w:noProof/>
              </w:rPr>
              <w:t>10.1 Contexto clínico</w:t>
            </w:r>
            <w:r>
              <w:rPr>
                <w:noProof/>
                <w:webHidden/>
              </w:rPr>
              <w:tab/>
            </w:r>
            <w:r>
              <w:rPr>
                <w:noProof/>
                <w:webHidden/>
              </w:rPr>
              <w:fldChar w:fldCharType="begin"/>
            </w:r>
            <w:r>
              <w:rPr>
                <w:noProof/>
                <w:webHidden/>
              </w:rPr>
              <w:instrText xml:space="preserve"> PAGEREF _Toc229219608 \h </w:instrText>
            </w:r>
            <w:r>
              <w:rPr>
                <w:noProof/>
                <w:webHidden/>
              </w:rPr>
            </w:r>
            <w:r>
              <w:rPr>
                <w:noProof/>
                <w:webHidden/>
              </w:rPr>
              <w:fldChar w:fldCharType="separate"/>
            </w:r>
            <w:r>
              <w:rPr>
                <w:noProof/>
                <w:webHidden/>
              </w:rPr>
              <w:t>51</w:t>
            </w:r>
            <w:r>
              <w:rPr>
                <w:noProof/>
                <w:webHidden/>
              </w:rPr>
              <w:fldChar w:fldCharType="end"/>
            </w:r>
          </w:hyperlink>
        </w:p>
        <w:p w14:paraId="23086C81" w14:textId="77777777" w:rsidR="00274C70" w:rsidRDefault="00274C70">
          <w:pPr>
            <w:pStyle w:val="Sumrio2"/>
            <w:tabs>
              <w:tab w:val="right" w:leader="dot" w:pos="8828"/>
            </w:tabs>
            <w:rPr>
              <w:noProof/>
            </w:rPr>
          </w:pPr>
          <w:hyperlink w:anchor="_Toc229219609" w:history="1">
            <w:r w:rsidRPr="00342270">
              <w:rPr>
                <w:rStyle w:val="Hyperlink"/>
                <w:noProof/>
              </w:rPr>
              <w:t>10.2 A evidência observacional</w:t>
            </w:r>
            <w:r>
              <w:rPr>
                <w:noProof/>
                <w:webHidden/>
              </w:rPr>
              <w:tab/>
            </w:r>
            <w:r>
              <w:rPr>
                <w:noProof/>
                <w:webHidden/>
              </w:rPr>
              <w:fldChar w:fldCharType="begin"/>
            </w:r>
            <w:r>
              <w:rPr>
                <w:noProof/>
                <w:webHidden/>
              </w:rPr>
              <w:instrText xml:space="preserve"> PAGEREF _Toc229219609 \h </w:instrText>
            </w:r>
            <w:r>
              <w:rPr>
                <w:noProof/>
                <w:webHidden/>
              </w:rPr>
            </w:r>
            <w:r>
              <w:rPr>
                <w:noProof/>
                <w:webHidden/>
              </w:rPr>
              <w:fldChar w:fldCharType="separate"/>
            </w:r>
            <w:r>
              <w:rPr>
                <w:noProof/>
                <w:webHidden/>
              </w:rPr>
              <w:t>52</w:t>
            </w:r>
            <w:r>
              <w:rPr>
                <w:noProof/>
                <w:webHidden/>
              </w:rPr>
              <w:fldChar w:fldCharType="end"/>
            </w:r>
          </w:hyperlink>
        </w:p>
        <w:p w14:paraId="15374E3C" w14:textId="77777777" w:rsidR="00274C70" w:rsidRDefault="00274C70">
          <w:pPr>
            <w:pStyle w:val="Sumrio2"/>
            <w:tabs>
              <w:tab w:val="right" w:leader="dot" w:pos="8828"/>
            </w:tabs>
            <w:rPr>
              <w:noProof/>
            </w:rPr>
          </w:pPr>
          <w:hyperlink w:anchor="_Toc229219610" w:history="1">
            <w:r w:rsidRPr="00342270">
              <w:rPr>
                <w:rStyle w:val="Hyperlink"/>
                <w:noProof/>
              </w:rPr>
              <w:t>10.3 Os ensaios randomizados</w:t>
            </w:r>
            <w:r>
              <w:rPr>
                <w:noProof/>
                <w:webHidden/>
              </w:rPr>
              <w:tab/>
            </w:r>
            <w:r>
              <w:rPr>
                <w:noProof/>
                <w:webHidden/>
              </w:rPr>
              <w:fldChar w:fldCharType="begin"/>
            </w:r>
            <w:r>
              <w:rPr>
                <w:noProof/>
                <w:webHidden/>
              </w:rPr>
              <w:instrText xml:space="preserve"> PAGEREF _Toc229219610 \h </w:instrText>
            </w:r>
            <w:r>
              <w:rPr>
                <w:noProof/>
                <w:webHidden/>
              </w:rPr>
            </w:r>
            <w:r>
              <w:rPr>
                <w:noProof/>
                <w:webHidden/>
              </w:rPr>
              <w:fldChar w:fldCharType="separate"/>
            </w:r>
            <w:r>
              <w:rPr>
                <w:noProof/>
                <w:webHidden/>
              </w:rPr>
              <w:t>53</w:t>
            </w:r>
            <w:r>
              <w:rPr>
                <w:noProof/>
                <w:webHidden/>
              </w:rPr>
              <w:fldChar w:fldCharType="end"/>
            </w:r>
          </w:hyperlink>
        </w:p>
        <w:p w14:paraId="05C0FE36" w14:textId="77777777" w:rsidR="00274C70" w:rsidRDefault="00274C70">
          <w:pPr>
            <w:pStyle w:val="Sumrio2"/>
            <w:tabs>
              <w:tab w:val="right" w:leader="dot" w:pos="8828"/>
            </w:tabs>
            <w:rPr>
              <w:noProof/>
            </w:rPr>
          </w:pPr>
          <w:hyperlink w:anchor="_Toc229219611" w:history="1">
            <w:r w:rsidRPr="00342270">
              <w:rPr>
                <w:rStyle w:val="Hyperlink"/>
                <w:noProof/>
              </w:rPr>
              <w:t>10.4 A leitura mais cuidadosa que se seguiu</w:t>
            </w:r>
            <w:r>
              <w:rPr>
                <w:noProof/>
                <w:webHidden/>
              </w:rPr>
              <w:tab/>
            </w:r>
            <w:r>
              <w:rPr>
                <w:noProof/>
                <w:webHidden/>
              </w:rPr>
              <w:fldChar w:fldCharType="begin"/>
            </w:r>
            <w:r>
              <w:rPr>
                <w:noProof/>
                <w:webHidden/>
              </w:rPr>
              <w:instrText xml:space="preserve"> PAGEREF _Toc229219611 \h </w:instrText>
            </w:r>
            <w:r>
              <w:rPr>
                <w:noProof/>
                <w:webHidden/>
              </w:rPr>
            </w:r>
            <w:r>
              <w:rPr>
                <w:noProof/>
                <w:webHidden/>
              </w:rPr>
              <w:fldChar w:fldCharType="separate"/>
            </w:r>
            <w:r>
              <w:rPr>
                <w:noProof/>
                <w:webHidden/>
              </w:rPr>
              <w:t>53</w:t>
            </w:r>
            <w:r>
              <w:rPr>
                <w:noProof/>
                <w:webHidden/>
              </w:rPr>
              <w:fldChar w:fldCharType="end"/>
            </w:r>
          </w:hyperlink>
        </w:p>
        <w:p w14:paraId="57E509C0" w14:textId="77777777" w:rsidR="00274C70" w:rsidRDefault="00274C70">
          <w:pPr>
            <w:pStyle w:val="Sumrio2"/>
            <w:tabs>
              <w:tab w:val="right" w:leader="dot" w:pos="8828"/>
            </w:tabs>
            <w:rPr>
              <w:noProof/>
            </w:rPr>
          </w:pPr>
          <w:hyperlink w:anchor="_Toc229219612" w:history="1">
            <w:r w:rsidRPr="00342270">
              <w:rPr>
                <w:rStyle w:val="Hyperlink"/>
                <w:noProof/>
              </w:rPr>
              <w:t>10.5 Lição metodológica</w:t>
            </w:r>
            <w:r>
              <w:rPr>
                <w:noProof/>
                <w:webHidden/>
              </w:rPr>
              <w:tab/>
            </w:r>
            <w:r>
              <w:rPr>
                <w:noProof/>
                <w:webHidden/>
              </w:rPr>
              <w:fldChar w:fldCharType="begin"/>
            </w:r>
            <w:r>
              <w:rPr>
                <w:noProof/>
                <w:webHidden/>
              </w:rPr>
              <w:instrText xml:space="preserve"> PAGEREF _Toc229219612 \h </w:instrText>
            </w:r>
            <w:r>
              <w:rPr>
                <w:noProof/>
                <w:webHidden/>
              </w:rPr>
            </w:r>
            <w:r>
              <w:rPr>
                <w:noProof/>
                <w:webHidden/>
              </w:rPr>
              <w:fldChar w:fldCharType="separate"/>
            </w:r>
            <w:r>
              <w:rPr>
                <w:noProof/>
                <w:webHidden/>
              </w:rPr>
              <w:t>54</w:t>
            </w:r>
            <w:r>
              <w:rPr>
                <w:noProof/>
                <w:webHidden/>
              </w:rPr>
              <w:fldChar w:fldCharType="end"/>
            </w:r>
          </w:hyperlink>
        </w:p>
        <w:p w14:paraId="08B3E411" w14:textId="77777777" w:rsidR="00274C70" w:rsidRDefault="00274C70">
          <w:pPr>
            <w:pStyle w:val="Sumrio2"/>
            <w:tabs>
              <w:tab w:val="right" w:leader="dot" w:pos="8828"/>
            </w:tabs>
            <w:rPr>
              <w:noProof/>
            </w:rPr>
          </w:pPr>
          <w:hyperlink w:anchor="_Toc229219613" w:history="1">
            <w:r w:rsidRPr="00342270">
              <w:rPr>
                <w:rStyle w:val="Hyperlink"/>
                <w:noProof/>
              </w:rPr>
              <w:t>10.6 Para discussão em sala</w:t>
            </w:r>
            <w:r>
              <w:rPr>
                <w:noProof/>
                <w:webHidden/>
              </w:rPr>
              <w:tab/>
            </w:r>
            <w:r>
              <w:rPr>
                <w:noProof/>
                <w:webHidden/>
              </w:rPr>
              <w:fldChar w:fldCharType="begin"/>
            </w:r>
            <w:r>
              <w:rPr>
                <w:noProof/>
                <w:webHidden/>
              </w:rPr>
              <w:instrText xml:space="preserve"> PAGEREF _Toc229219613 \h </w:instrText>
            </w:r>
            <w:r>
              <w:rPr>
                <w:noProof/>
                <w:webHidden/>
              </w:rPr>
            </w:r>
            <w:r>
              <w:rPr>
                <w:noProof/>
                <w:webHidden/>
              </w:rPr>
              <w:fldChar w:fldCharType="separate"/>
            </w:r>
            <w:r>
              <w:rPr>
                <w:noProof/>
                <w:webHidden/>
              </w:rPr>
              <w:t>55</w:t>
            </w:r>
            <w:r>
              <w:rPr>
                <w:noProof/>
                <w:webHidden/>
              </w:rPr>
              <w:fldChar w:fldCharType="end"/>
            </w:r>
          </w:hyperlink>
        </w:p>
        <w:p w14:paraId="7841276E" w14:textId="77777777" w:rsidR="00274C70" w:rsidRDefault="00274C70">
          <w:pPr>
            <w:pStyle w:val="Sumrio1"/>
            <w:tabs>
              <w:tab w:val="right" w:leader="dot" w:pos="8828"/>
            </w:tabs>
            <w:rPr>
              <w:noProof/>
            </w:rPr>
          </w:pPr>
          <w:hyperlink w:anchor="_Toc229219614" w:history="1">
            <w:r w:rsidRPr="00342270">
              <w:rPr>
                <w:rStyle w:val="Hyperlink"/>
                <w:noProof/>
              </w:rPr>
              <w:t>11. Ômega-3 — um caso ainda em evolução</w:t>
            </w:r>
            <w:r>
              <w:rPr>
                <w:noProof/>
                <w:webHidden/>
              </w:rPr>
              <w:tab/>
            </w:r>
            <w:r>
              <w:rPr>
                <w:noProof/>
                <w:webHidden/>
              </w:rPr>
              <w:fldChar w:fldCharType="begin"/>
            </w:r>
            <w:r>
              <w:rPr>
                <w:noProof/>
                <w:webHidden/>
              </w:rPr>
              <w:instrText xml:space="preserve"> PAGEREF _Toc229219614 \h </w:instrText>
            </w:r>
            <w:r>
              <w:rPr>
                <w:noProof/>
                <w:webHidden/>
              </w:rPr>
            </w:r>
            <w:r>
              <w:rPr>
                <w:noProof/>
                <w:webHidden/>
              </w:rPr>
              <w:fldChar w:fldCharType="separate"/>
            </w:r>
            <w:r>
              <w:rPr>
                <w:noProof/>
                <w:webHidden/>
              </w:rPr>
              <w:t>56</w:t>
            </w:r>
            <w:r>
              <w:rPr>
                <w:noProof/>
                <w:webHidden/>
              </w:rPr>
              <w:fldChar w:fldCharType="end"/>
            </w:r>
          </w:hyperlink>
        </w:p>
        <w:p w14:paraId="76929D32" w14:textId="77777777" w:rsidR="00274C70" w:rsidRDefault="00274C70">
          <w:pPr>
            <w:pStyle w:val="Sumrio2"/>
            <w:tabs>
              <w:tab w:val="right" w:leader="dot" w:pos="8828"/>
            </w:tabs>
            <w:rPr>
              <w:noProof/>
            </w:rPr>
          </w:pPr>
          <w:hyperlink w:anchor="_Toc229219615" w:history="1">
            <w:r w:rsidRPr="00342270">
              <w:rPr>
                <w:rStyle w:val="Hyperlink"/>
                <w:noProof/>
              </w:rPr>
              <w:t>11.1 Contexto clínico</w:t>
            </w:r>
            <w:r>
              <w:rPr>
                <w:noProof/>
                <w:webHidden/>
              </w:rPr>
              <w:tab/>
            </w:r>
            <w:r>
              <w:rPr>
                <w:noProof/>
                <w:webHidden/>
              </w:rPr>
              <w:fldChar w:fldCharType="begin"/>
            </w:r>
            <w:r>
              <w:rPr>
                <w:noProof/>
                <w:webHidden/>
              </w:rPr>
              <w:instrText xml:space="preserve"> PAGEREF _Toc229219615 \h </w:instrText>
            </w:r>
            <w:r>
              <w:rPr>
                <w:noProof/>
                <w:webHidden/>
              </w:rPr>
            </w:r>
            <w:r>
              <w:rPr>
                <w:noProof/>
                <w:webHidden/>
              </w:rPr>
              <w:fldChar w:fldCharType="separate"/>
            </w:r>
            <w:r>
              <w:rPr>
                <w:noProof/>
                <w:webHidden/>
              </w:rPr>
              <w:t>56</w:t>
            </w:r>
            <w:r>
              <w:rPr>
                <w:noProof/>
                <w:webHidden/>
              </w:rPr>
              <w:fldChar w:fldCharType="end"/>
            </w:r>
          </w:hyperlink>
        </w:p>
        <w:p w14:paraId="71A57921" w14:textId="77777777" w:rsidR="00274C70" w:rsidRDefault="00274C70">
          <w:pPr>
            <w:pStyle w:val="Sumrio2"/>
            <w:tabs>
              <w:tab w:val="right" w:leader="dot" w:pos="8828"/>
            </w:tabs>
            <w:rPr>
              <w:noProof/>
            </w:rPr>
          </w:pPr>
          <w:hyperlink w:anchor="_Toc229219616" w:history="1">
            <w:r w:rsidRPr="00342270">
              <w:rPr>
                <w:rStyle w:val="Hyperlink"/>
                <w:noProof/>
              </w:rPr>
              <w:t>11.2 A fase contemporânea: ensaios discordantes</w:t>
            </w:r>
            <w:r>
              <w:rPr>
                <w:noProof/>
                <w:webHidden/>
              </w:rPr>
              <w:tab/>
            </w:r>
            <w:r>
              <w:rPr>
                <w:noProof/>
                <w:webHidden/>
              </w:rPr>
              <w:fldChar w:fldCharType="begin"/>
            </w:r>
            <w:r>
              <w:rPr>
                <w:noProof/>
                <w:webHidden/>
              </w:rPr>
              <w:instrText xml:space="preserve"> PAGEREF _Toc229219616 \h </w:instrText>
            </w:r>
            <w:r>
              <w:rPr>
                <w:noProof/>
                <w:webHidden/>
              </w:rPr>
            </w:r>
            <w:r>
              <w:rPr>
                <w:noProof/>
                <w:webHidden/>
              </w:rPr>
              <w:fldChar w:fldCharType="separate"/>
            </w:r>
            <w:r>
              <w:rPr>
                <w:noProof/>
                <w:webHidden/>
              </w:rPr>
              <w:t>56</w:t>
            </w:r>
            <w:r>
              <w:rPr>
                <w:noProof/>
                <w:webHidden/>
              </w:rPr>
              <w:fldChar w:fldCharType="end"/>
            </w:r>
          </w:hyperlink>
        </w:p>
        <w:p w14:paraId="7424CB77" w14:textId="77777777" w:rsidR="00274C70" w:rsidRDefault="00274C70">
          <w:pPr>
            <w:pStyle w:val="Sumrio2"/>
            <w:tabs>
              <w:tab w:val="right" w:leader="dot" w:pos="8828"/>
            </w:tabs>
            <w:rPr>
              <w:noProof/>
            </w:rPr>
          </w:pPr>
          <w:hyperlink w:anchor="_Toc229219617" w:history="1">
            <w:r w:rsidRPr="00342270">
              <w:rPr>
                <w:rStyle w:val="Hyperlink"/>
                <w:noProof/>
              </w:rPr>
              <w:t>11.3 O sinal de fibrilação atrial</w:t>
            </w:r>
            <w:r>
              <w:rPr>
                <w:noProof/>
                <w:webHidden/>
              </w:rPr>
              <w:tab/>
            </w:r>
            <w:r>
              <w:rPr>
                <w:noProof/>
                <w:webHidden/>
              </w:rPr>
              <w:fldChar w:fldCharType="begin"/>
            </w:r>
            <w:r>
              <w:rPr>
                <w:noProof/>
                <w:webHidden/>
              </w:rPr>
              <w:instrText xml:space="preserve"> PAGEREF _Toc229219617 \h </w:instrText>
            </w:r>
            <w:r>
              <w:rPr>
                <w:noProof/>
                <w:webHidden/>
              </w:rPr>
            </w:r>
            <w:r>
              <w:rPr>
                <w:noProof/>
                <w:webHidden/>
              </w:rPr>
              <w:fldChar w:fldCharType="separate"/>
            </w:r>
            <w:r>
              <w:rPr>
                <w:noProof/>
                <w:webHidden/>
              </w:rPr>
              <w:t>57</w:t>
            </w:r>
            <w:r>
              <w:rPr>
                <w:noProof/>
                <w:webHidden/>
              </w:rPr>
              <w:fldChar w:fldCharType="end"/>
            </w:r>
          </w:hyperlink>
        </w:p>
        <w:p w14:paraId="429E8466" w14:textId="77777777" w:rsidR="00274C70" w:rsidRDefault="00274C70">
          <w:pPr>
            <w:pStyle w:val="Sumrio2"/>
            <w:tabs>
              <w:tab w:val="right" w:leader="dot" w:pos="8828"/>
            </w:tabs>
            <w:rPr>
              <w:noProof/>
            </w:rPr>
          </w:pPr>
          <w:hyperlink w:anchor="_Toc229219618" w:history="1">
            <w:r w:rsidRPr="00342270">
              <w:rPr>
                <w:rStyle w:val="Hyperlink"/>
                <w:noProof/>
              </w:rPr>
              <w:t>11.4 A leitura possível neste momento</w:t>
            </w:r>
            <w:r>
              <w:rPr>
                <w:noProof/>
                <w:webHidden/>
              </w:rPr>
              <w:tab/>
            </w:r>
            <w:r>
              <w:rPr>
                <w:noProof/>
                <w:webHidden/>
              </w:rPr>
              <w:fldChar w:fldCharType="begin"/>
            </w:r>
            <w:r>
              <w:rPr>
                <w:noProof/>
                <w:webHidden/>
              </w:rPr>
              <w:instrText xml:space="preserve"> PAGEREF _Toc229219618 \h </w:instrText>
            </w:r>
            <w:r>
              <w:rPr>
                <w:noProof/>
                <w:webHidden/>
              </w:rPr>
            </w:r>
            <w:r>
              <w:rPr>
                <w:noProof/>
                <w:webHidden/>
              </w:rPr>
              <w:fldChar w:fldCharType="separate"/>
            </w:r>
            <w:r>
              <w:rPr>
                <w:noProof/>
                <w:webHidden/>
              </w:rPr>
              <w:t>58</w:t>
            </w:r>
            <w:r>
              <w:rPr>
                <w:noProof/>
                <w:webHidden/>
              </w:rPr>
              <w:fldChar w:fldCharType="end"/>
            </w:r>
          </w:hyperlink>
        </w:p>
        <w:p w14:paraId="564A13BF" w14:textId="77777777" w:rsidR="00274C70" w:rsidRDefault="00274C70">
          <w:pPr>
            <w:pStyle w:val="Sumrio2"/>
            <w:tabs>
              <w:tab w:val="right" w:leader="dot" w:pos="8828"/>
            </w:tabs>
            <w:rPr>
              <w:noProof/>
            </w:rPr>
          </w:pPr>
          <w:hyperlink w:anchor="_Toc229219619" w:history="1">
            <w:r w:rsidRPr="00342270">
              <w:rPr>
                <w:rStyle w:val="Hyperlink"/>
                <w:noProof/>
              </w:rPr>
              <w:t>11.5 Lição metodológica</w:t>
            </w:r>
            <w:r>
              <w:rPr>
                <w:noProof/>
                <w:webHidden/>
              </w:rPr>
              <w:tab/>
            </w:r>
            <w:r>
              <w:rPr>
                <w:noProof/>
                <w:webHidden/>
              </w:rPr>
              <w:fldChar w:fldCharType="begin"/>
            </w:r>
            <w:r>
              <w:rPr>
                <w:noProof/>
                <w:webHidden/>
              </w:rPr>
              <w:instrText xml:space="preserve"> PAGEREF _Toc229219619 \h </w:instrText>
            </w:r>
            <w:r>
              <w:rPr>
                <w:noProof/>
                <w:webHidden/>
              </w:rPr>
            </w:r>
            <w:r>
              <w:rPr>
                <w:noProof/>
                <w:webHidden/>
              </w:rPr>
              <w:fldChar w:fldCharType="separate"/>
            </w:r>
            <w:r>
              <w:rPr>
                <w:noProof/>
                <w:webHidden/>
              </w:rPr>
              <w:t>58</w:t>
            </w:r>
            <w:r>
              <w:rPr>
                <w:noProof/>
                <w:webHidden/>
              </w:rPr>
              <w:fldChar w:fldCharType="end"/>
            </w:r>
          </w:hyperlink>
        </w:p>
        <w:p w14:paraId="72E4664B" w14:textId="77777777" w:rsidR="00274C70" w:rsidRDefault="00274C70">
          <w:pPr>
            <w:pStyle w:val="Sumrio2"/>
            <w:tabs>
              <w:tab w:val="right" w:leader="dot" w:pos="8828"/>
            </w:tabs>
            <w:rPr>
              <w:noProof/>
            </w:rPr>
          </w:pPr>
          <w:hyperlink w:anchor="_Toc229219620" w:history="1">
            <w:r w:rsidRPr="00342270">
              <w:rPr>
                <w:rStyle w:val="Hyperlink"/>
                <w:noProof/>
              </w:rPr>
              <w:t>11.6 Para discussão em sala</w:t>
            </w:r>
            <w:r>
              <w:rPr>
                <w:noProof/>
                <w:webHidden/>
              </w:rPr>
              <w:tab/>
            </w:r>
            <w:r>
              <w:rPr>
                <w:noProof/>
                <w:webHidden/>
              </w:rPr>
              <w:fldChar w:fldCharType="begin"/>
            </w:r>
            <w:r>
              <w:rPr>
                <w:noProof/>
                <w:webHidden/>
              </w:rPr>
              <w:instrText xml:space="preserve"> PAGEREF _Toc229219620 \h </w:instrText>
            </w:r>
            <w:r>
              <w:rPr>
                <w:noProof/>
                <w:webHidden/>
              </w:rPr>
            </w:r>
            <w:r>
              <w:rPr>
                <w:noProof/>
                <w:webHidden/>
              </w:rPr>
              <w:fldChar w:fldCharType="separate"/>
            </w:r>
            <w:r>
              <w:rPr>
                <w:noProof/>
                <w:webHidden/>
              </w:rPr>
              <w:t>59</w:t>
            </w:r>
            <w:r>
              <w:rPr>
                <w:noProof/>
                <w:webHidden/>
              </w:rPr>
              <w:fldChar w:fldCharType="end"/>
            </w:r>
          </w:hyperlink>
        </w:p>
        <w:p w14:paraId="3F353844" w14:textId="77777777" w:rsidR="00274C70" w:rsidRDefault="00274C70">
          <w:pPr>
            <w:pStyle w:val="Sumrio1"/>
            <w:tabs>
              <w:tab w:val="right" w:leader="dot" w:pos="8828"/>
            </w:tabs>
            <w:rPr>
              <w:noProof/>
            </w:rPr>
          </w:pPr>
          <w:hyperlink w:anchor="_Toc229219621" w:history="1">
            <w:r w:rsidRPr="00342270">
              <w:rPr>
                <w:rStyle w:val="Hyperlink"/>
                <w:noProof/>
              </w:rPr>
              <w:t>12. Antiarrítmicos pós-IAM (CAST) — quando o desfecho substituto engana</w:t>
            </w:r>
            <w:r>
              <w:rPr>
                <w:noProof/>
                <w:webHidden/>
              </w:rPr>
              <w:tab/>
            </w:r>
            <w:r>
              <w:rPr>
                <w:noProof/>
                <w:webHidden/>
              </w:rPr>
              <w:fldChar w:fldCharType="begin"/>
            </w:r>
            <w:r>
              <w:rPr>
                <w:noProof/>
                <w:webHidden/>
              </w:rPr>
              <w:instrText xml:space="preserve"> PAGEREF _Toc229219621 \h </w:instrText>
            </w:r>
            <w:r>
              <w:rPr>
                <w:noProof/>
                <w:webHidden/>
              </w:rPr>
            </w:r>
            <w:r>
              <w:rPr>
                <w:noProof/>
                <w:webHidden/>
              </w:rPr>
              <w:fldChar w:fldCharType="separate"/>
            </w:r>
            <w:r>
              <w:rPr>
                <w:noProof/>
                <w:webHidden/>
              </w:rPr>
              <w:t>60</w:t>
            </w:r>
            <w:r>
              <w:rPr>
                <w:noProof/>
                <w:webHidden/>
              </w:rPr>
              <w:fldChar w:fldCharType="end"/>
            </w:r>
          </w:hyperlink>
        </w:p>
        <w:p w14:paraId="77BC6DA1" w14:textId="77777777" w:rsidR="00274C70" w:rsidRDefault="00274C70">
          <w:pPr>
            <w:pStyle w:val="Sumrio2"/>
            <w:tabs>
              <w:tab w:val="right" w:leader="dot" w:pos="8828"/>
            </w:tabs>
            <w:rPr>
              <w:noProof/>
            </w:rPr>
          </w:pPr>
          <w:hyperlink w:anchor="_Toc229219622" w:history="1">
            <w:r w:rsidRPr="00342270">
              <w:rPr>
                <w:rStyle w:val="Hyperlink"/>
                <w:noProof/>
              </w:rPr>
              <w:t>12.1 Contexto clínico</w:t>
            </w:r>
            <w:r>
              <w:rPr>
                <w:noProof/>
                <w:webHidden/>
              </w:rPr>
              <w:tab/>
            </w:r>
            <w:r>
              <w:rPr>
                <w:noProof/>
                <w:webHidden/>
              </w:rPr>
              <w:fldChar w:fldCharType="begin"/>
            </w:r>
            <w:r>
              <w:rPr>
                <w:noProof/>
                <w:webHidden/>
              </w:rPr>
              <w:instrText xml:space="preserve"> PAGEREF _Toc229219622 \h </w:instrText>
            </w:r>
            <w:r>
              <w:rPr>
                <w:noProof/>
                <w:webHidden/>
              </w:rPr>
            </w:r>
            <w:r>
              <w:rPr>
                <w:noProof/>
                <w:webHidden/>
              </w:rPr>
              <w:fldChar w:fldCharType="separate"/>
            </w:r>
            <w:r>
              <w:rPr>
                <w:noProof/>
                <w:webHidden/>
              </w:rPr>
              <w:t>60</w:t>
            </w:r>
            <w:r>
              <w:rPr>
                <w:noProof/>
                <w:webHidden/>
              </w:rPr>
              <w:fldChar w:fldCharType="end"/>
            </w:r>
          </w:hyperlink>
        </w:p>
        <w:p w14:paraId="12C6AD08" w14:textId="77777777" w:rsidR="00274C70" w:rsidRDefault="00274C70">
          <w:pPr>
            <w:pStyle w:val="Sumrio2"/>
            <w:tabs>
              <w:tab w:val="right" w:leader="dot" w:pos="8828"/>
            </w:tabs>
            <w:rPr>
              <w:noProof/>
            </w:rPr>
          </w:pPr>
          <w:hyperlink w:anchor="_Toc229219623" w:history="1">
            <w:r w:rsidRPr="00342270">
              <w:rPr>
                <w:rStyle w:val="Hyperlink"/>
                <w:noProof/>
              </w:rPr>
              <w:t>12.2 A evidência observacional e o vácuo experimental</w:t>
            </w:r>
            <w:r>
              <w:rPr>
                <w:noProof/>
                <w:webHidden/>
              </w:rPr>
              <w:tab/>
            </w:r>
            <w:r>
              <w:rPr>
                <w:noProof/>
                <w:webHidden/>
              </w:rPr>
              <w:fldChar w:fldCharType="begin"/>
            </w:r>
            <w:r>
              <w:rPr>
                <w:noProof/>
                <w:webHidden/>
              </w:rPr>
              <w:instrText xml:space="preserve"> PAGEREF _Toc229219623 \h </w:instrText>
            </w:r>
            <w:r>
              <w:rPr>
                <w:noProof/>
                <w:webHidden/>
              </w:rPr>
            </w:r>
            <w:r>
              <w:rPr>
                <w:noProof/>
                <w:webHidden/>
              </w:rPr>
              <w:fldChar w:fldCharType="separate"/>
            </w:r>
            <w:r>
              <w:rPr>
                <w:noProof/>
                <w:webHidden/>
              </w:rPr>
              <w:t>60</w:t>
            </w:r>
            <w:r>
              <w:rPr>
                <w:noProof/>
                <w:webHidden/>
              </w:rPr>
              <w:fldChar w:fldCharType="end"/>
            </w:r>
          </w:hyperlink>
        </w:p>
        <w:p w14:paraId="6AE8C2D4" w14:textId="77777777" w:rsidR="00274C70" w:rsidRDefault="00274C70">
          <w:pPr>
            <w:pStyle w:val="Sumrio2"/>
            <w:tabs>
              <w:tab w:val="right" w:leader="dot" w:pos="8828"/>
            </w:tabs>
            <w:rPr>
              <w:noProof/>
            </w:rPr>
          </w:pPr>
          <w:hyperlink w:anchor="_Toc229219624" w:history="1">
            <w:r w:rsidRPr="00342270">
              <w:rPr>
                <w:rStyle w:val="Hyperlink"/>
                <w:noProof/>
              </w:rPr>
              <w:t>12.3 CAST: o ensaio randomizado</w:t>
            </w:r>
            <w:r>
              <w:rPr>
                <w:noProof/>
                <w:webHidden/>
              </w:rPr>
              <w:tab/>
            </w:r>
            <w:r>
              <w:rPr>
                <w:noProof/>
                <w:webHidden/>
              </w:rPr>
              <w:fldChar w:fldCharType="begin"/>
            </w:r>
            <w:r>
              <w:rPr>
                <w:noProof/>
                <w:webHidden/>
              </w:rPr>
              <w:instrText xml:space="preserve"> PAGEREF _Toc229219624 \h </w:instrText>
            </w:r>
            <w:r>
              <w:rPr>
                <w:noProof/>
                <w:webHidden/>
              </w:rPr>
            </w:r>
            <w:r>
              <w:rPr>
                <w:noProof/>
                <w:webHidden/>
              </w:rPr>
              <w:fldChar w:fldCharType="separate"/>
            </w:r>
            <w:r>
              <w:rPr>
                <w:noProof/>
                <w:webHidden/>
              </w:rPr>
              <w:t>61</w:t>
            </w:r>
            <w:r>
              <w:rPr>
                <w:noProof/>
                <w:webHidden/>
              </w:rPr>
              <w:fldChar w:fldCharType="end"/>
            </w:r>
          </w:hyperlink>
        </w:p>
        <w:p w14:paraId="7E871E52" w14:textId="77777777" w:rsidR="00274C70" w:rsidRDefault="00274C70">
          <w:pPr>
            <w:pStyle w:val="Sumrio2"/>
            <w:tabs>
              <w:tab w:val="right" w:leader="dot" w:pos="8828"/>
            </w:tabs>
            <w:rPr>
              <w:noProof/>
            </w:rPr>
          </w:pPr>
          <w:hyperlink w:anchor="_Toc229219625" w:history="1">
            <w:r w:rsidRPr="00342270">
              <w:rPr>
                <w:rStyle w:val="Hyperlink"/>
                <w:noProof/>
              </w:rPr>
              <w:t>12.4 Lição metodológica</w:t>
            </w:r>
            <w:r>
              <w:rPr>
                <w:noProof/>
                <w:webHidden/>
              </w:rPr>
              <w:tab/>
            </w:r>
            <w:r>
              <w:rPr>
                <w:noProof/>
                <w:webHidden/>
              </w:rPr>
              <w:fldChar w:fldCharType="begin"/>
            </w:r>
            <w:r>
              <w:rPr>
                <w:noProof/>
                <w:webHidden/>
              </w:rPr>
              <w:instrText xml:space="preserve"> PAGEREF _Toc229219625 \h </w:instrText>
            </w:r>
            <w:r>
              <w:rPr>
                <w:noProof/>
                <w:webHidden/>
              </w:rPr>
            </w:r>
            <w:r>
              <w:rPr>
                <w:noProof/>
                <w:webHidden/>
              </w:rPr>
              <w:fldChar w:fldCharType="separate"/>
            </w:r>
            <w:r>
              <w:rPr>
                <w:noProof/>
                <w:webHidden/>
              </w:rPr>
              <w:t>62</w:t>
            </w:r>
            <w:r>
              <w:rPr>
                <w:noProof/>
                <w:webHidden/>
              </w:rPr>
              <w:fldChar w:fldCharType="end"/>
            </w:r>
          </w:hyperlink>
        </w:p>
        <w:p w14:paraId="20A331CB" w14:textId="77777777" w:rsidR="00274C70" w:rsidRDefault="00274C70">
          <w:pPr>
            <w:pStyle w:val="Sumrio2"/>
            <w:tabs>
              <w:tab w:val="right" w:leader="dot" w:pos="8828"/>
            </w:tabs>
            <w:rPr>
              <w:noProof/>
            </w:rPr>
          </w:pPr>
          <w:hyperlink w:anchor="_Toc229219626" w:history="1">
            <w:r w:rsidRPr="00342270">
              <w:rPr>
                <w:rStyle w:val="Hyperlink"/>
                <w:noProof/>
              </w:rPr>
              <w:t>12.5 Para discussão em sala</w:t>
            </w:r>
            <w:r>
              <w:rPr>
                <w:noProof/>
                <w:webHidden/>
              </w:rPr>
              <w:tab/>
            </w:r>
            <w:r>
              <w:rPr>
                <w:noProof/>
                <w:webHidden/>
              </w:rPr>
              <w:fldChar w:fldCharType="begin"/>
            </w:r>
            <w:r>
              <w:rPr>
                <w:noProof/>
                <w:webHidden/>
              </w:rPr>
              <w:instrText xml:space="preserve"> PAGEREF _Toc229219626 \h </w:instrText>
            </w:r>
            <w:r>
              <w:rPr>
                <w:noProof/>
                <w:webHidden/>
              </w:rPr>
            </w:r>
            <w:r>
              <w:rPr>
                <w:noProof/>
                <w:webHidden/>
              </w:rPr>
              <w:fldChar w:fldCharType="separate"/>
            </w:r>
            <w:r>
              <w:rPr>
                <w:noProof/>
                <w:webHidden/>
              </w:rPr>
              <w:t>63</w:t>
            </w:r>
            <w:r>
              <w:rPr>
                <w:noProof/>
                <w:webHidden/>
              </w:rPr>
              <w:fldChar w:fldCharType="end"/>
            </w:r>
          </w:hyperlink>
        </w:p>
        <w:p w14:paraId="2FB9F1EB" w14:textId="77777777" w:rsidR="00274C70" w:rsidRDefault="00274C70">
          <w:pPr>
            <w:pStyle w:val="Sumrio1"/>
            <w:tabs>
              <w:tab w:val="right" w:leader="dot" w:pos="8828"/>
            </w:tabs>
            <w:rPr>
              <w:noProof/>
            </w:rPr>
          </w:pPr>
          <w:hyperlink w:anchor="_Toc229219627" w:history="1">
            <w:r w:rsidRPr="00342270">
              <w:rPr>
                <w:rStyle w:val="Hyperlink"/>
                <w:noProof/>
              </w:rPr>
              <w:t>Referências</w:t>
            </w:r>
            <w:r>
              <w:rPr>
                <w:noProof/>
                <w:webHidden/>
              </w:rPr>
              <w:tab/>
            </w:r>
            <w:r>
              <w:rPr>
                <w:noProof/>
                <w:webHidden/>
              </w:rPr>
              <w:fldChar w:fldCharType="begin"/>
            </w:r>
            <w:r>
              <w:rPr>
                <w:noProof/>
                <w:webHidden/>
              </w:rPr>
              <w:instrText xml:space="preserve"> PAGEREF _Toc229219627 \h </w:instrText>
            </w:r>
            <w:r>
              <w:rPr>
                <w:noProof/>
                <w:webHidden/>
              </w:rPr>
            </w:r>
            <w:r>
              <w:rPr>
                <w:noProof/>
                <w:webHidden/>
              </w:rPr>
              <w:fldChar w:fldCharType="separate"/>
            </w:r>
            <w:r>
              <w:rPr>
                <w:noProof/>
                <w:webHidden/>
              </w:rPr>
              <w:t>63</w:t>
            </w:r>
            <w:r>
              <w:rPr>
                <w:noProof/>
                <w:webHidden/>
              </w:rPr>
              <w:fldChar w:fldCharType="end"/>
            </w:r>
          </w:hyperlink>
        </w:p>
        <w:p w14:paraId="0B828E8E" w14:textId="77777777" w:rsidR="00274C70" w:rsidRDefault="00274C70">
          <w:pPr>
            <w:pStyle w:val="Sumrio1"/>
            <w:tabs>
              <w:tab w:val="right" w:leader="dot" w:pos="8828"/>
            </w:tabs>
            <w:rPr>
              <w:noProof/>
            </w:rPr>
          </w:pPr>
          <w:hyperlink w:anchor="_Toc229219628" w:history="1">
            <w:r w:rsidRPr="00342270">
              <w:rPr>
                <w:rStyle w:val="Hyperlink"/>
                <w:noProof/>
              </w:rPr>
              <w:t>Sobre este projeto</w:t>
            </w:r>
            <w:r>
              <w:rPr>
                <w:noProof/>
                <w:webHidden/>
              </w:rPr>
              <w:tab/>
            </w:r>
            <w:r>
              <w:rPr>
                <w:noProof/>
                <w:webHidden/>
              </w:rPr>
              <w:fldChar w:fldCharType="begin"/>
            </w:r>
            <w:r>
              <w:rPr>
                <w:noProof/>
                <w:webHidden/>
              </w:rPr>
              <w:instrText xml:space="preserve"> PAGEREF _Toc229219628 \h </w:instrText>
            </w:r>
            <w:r>
              <w:rPr>
                <w:noProof/>
                <w:webHidden/>
              </w:rPr>
            </w:r>
            <w:r>
              <w:rPr>
                <w:noProof/>
                <w:webHidden/>
              </w:rPr>
              <w:fldChar w:fldCharType="separate"/>
            </w:r>
            <w:r>
              <w:rPr>
                <w:noProof/>
                <w:webHidden/>
              </w:rPr>
              <w:t>68</w:t>
            </w:r>
            <w:r>
              <w:rPr>
                <w:noProof/>
                <w:webHidden/>
              </w:rPr>
              <w:fldChar w:fldCharType="end"/>
            </w:r>
          </w:hyperlink>
        </w:p>
        <w:p w14:paraId="2AA38A52" w14:textId="77777777" w:rsidR="00274C70" w:rsidRDefault="00274C70">
          <w:pPr>
            <w:pStyle w:val="Sumrio2"/>
            <w:tabs>
              <w:tab w:val="right" w:leader="dot" w:pos="8828"/>
            </w:tabs>
            <w:rPr>
              <w:noProof/>
            </w:rPr>
          </w:pPr>
          <w:hyperlink w:anchor="_Toc229219629" w:history="1">
            <w:r w:rsidRPr="00342270">
              <w:rPr>
                <w:rStyle w:val="Hyperlink"/>
                <w:noProof/>
              </w:rPr>
              <w:t>12.6 Autor</w:t>
            </w:r>
            <w:r>
              <w:rPr>
                <w:noProof/>
                <w:webHidden/>
              </w:rPr>
              <w:tab/>
            </w:r>
            <w:r>
              <w:rPr>
                <w:noProof/>
                <w:webHidden/>
              </w:rPr>
              <w:fldChar w:fldCharType="begin"/>
            </w:r>
            <w:r>
              <w:rPr>
                <w:noProof/>
                <w:webHidden/>
              </w:rPr>
              <w:instrText xml:space="preserve"> PAGEREF _Toc229219629 \h </w:instrText>
            </w:r>
            <w:r>
              <w:rPr>
                <w:noProof/>
                <w:webHidden/>
              </w:rPr>
            </w:r>
            <w:r>
              <w:rPr>
                <w:noProof/>
                <w:webHidden/>
              </w:rPr>
              <w:fldChar w:fldCharType="separate"/>
            </w:r>
            <w:r>
              <w:rPr>
                <w:noProof/>
                <w:webHidden/>
              </w:rPr>
              <w:t>68</w:t>
            </w:r>
            <w:r>
              <w:rPr>
                <w:noProof/>
                <w:webHidden/>
              </w:rPr>
              <w:fldChar w:fldCharType="end"/>
            </w:r>
          </w:hyperlink>
        </w:p>
        <w:p w14:paraId="5EFE301F" w14:textId="77777777" w:rsidR="00274C70" w:rsidRDefault="00274C70">
          <w:pPr>
            <w:pStyle w:val="Sumrio2"/>
            <w:tabs>
              <w:tab w:val="right" w:leader="dot" w:pos="8828"/>
            </w:tabs>
            <w:rPr>
              <w:noProof/>
            </w:rPr>
          </w:pPr>
          <w:hyperlink w:anchor="_Toc229219630" w:history="1">
            <w:r w:rsidRPr="00342270">
              <w:rPr>
                <w:rStyle w:val="Hyperlink"/>
                <w:noProof/>
              </w:rPr>
              <w:t>12.7 Metodologia e tecnologias</w:t>
            </w:r>
            <w:r>
              <w:rPr>
                <w:noProof/>
                <w:webHidden/>
              </w:rPr>
              <w:tab/>
            </w:r>
            <w:r>
              <w:rPr>
                <w:noProof/>
                <w:webHidden/>
              </w:rPr>
              <w:fldChar w:fldCharType="begin"/>
            </w:r>
            <w:r>
              <w:rPr>
                <w:noProof/>
                <w:webHidden/>
              </w:rPr>
              <w:instrText xml:space="preserve"> PAGEREF _Toc229219630 \h </w:instrText>
            </w:r>
            <w:r>
              <w:rPr>
                <w:noProof/>
                <w:webHidden/>
              </w:rPr>
            </w:r>
            <w:r>
              <w:rPr>
                <w:noProof/>
                <w:webHidden/>
              </w:rPr>
              <w:fldChar w:fldCharType="separate"/>
            </w:r>
            <w:r>
              <w:rPr>
                <w:noProof/>
                <w:webHidden/>
              </w:rPr>
              <w:t>68</w:t>
            </w:r>
            <w:r>
              <w:rPr>
                <w:noProof/>
                <w:webHidden/>
              </w:rPr>
              <w:fldChar w:fldCharType="end"/>
            </w:r>
          </w:hyperlink>
        </w:p>
        <w:p w14:paraId="58890847" w14:textId="77777777" w:rsidR="00274C70" w:rsidRDefault="00274C70">
          <w:pPr>
            <w:pStyle w:val="Sumrio3"/>
            <w:tabs>
              <w:tab w:val="right" w:leader="dot" w:pos="8828"/>
            </w:tabs>
            <w:rPr>
              <w:noProof/>
            </w:rPr>
          </w:pPr>
          <w:hyperlink w:anchor="_Toc229219631" w:history="1">
            <w:r w:rsidRPr="00342270">
              <w:rPr>
                <w:rStyle w:val="Hyperlink"/>
                <w:noProof/>
              </w:rPr>
              <w:t>12.7.1 Inteligência artificial</w:t>
            </w:r>
            <w:r>
              <w:rPr>
                <w:noProof/>
                <w:webHidden/>
              </w:rPr>
              <w:tab/>
            </w:r>
            <w:r>
              <w:rPr>
                <w:noProof/>
                <w:webHidden/>
              </w:rPr>
              <w:fldChar w:fldCharType="begin"/>
            </w:r>
            <w:r>
              <w:rPr>
                <w:noProof/>
                <w:webHidden/>
              </w:rPr>
              <w:instrText xml:space="preserve"> PAGEREF _Toc229219631 \h </w:instrText>
            </w:r>
            <w:r>
              <w:rPr>
                <w:noProof/>
                <w:webHidden/>
              </w:rPr>
            </w:r>
            <w:r>
              <w:rPr>
                <w:noProof/>
                <w:webHidden/>
              </w:rPr>
              <w:fldChar w:fldCharType="separate"/>
            </w:r>
            <w:r>
              <w:rPr>
                <w:noProof/>
                <w:webHidden/>
              </w:rPr>
              <w:t>68</w:t>
            </w:r>
            <w:r>
              <w:rPr>
                <w:noProof/>
                <w:webHidden/>
              </w:rPr>
              <w:fldChar w:fldCharType="end"/>
            </w:r>
          </w:hyperlink>
        </w:p>
        <w:p w14:paraId="1C0F5EAB" w14:textId="77777777" w:rsidR="00274C70" w:rsidRDefault="00274C70">
          <w:pPr>
            <w:pStyle w:val="Sumrio2"/>
            <w:tabs>
              <w:tab w:val="right" w:leader="dot" w:pos="8828"/>
            </w:tabs>
            <w:rPr>
              <w:noProof/>
            </w:rPr>
          </w:pPr>
          <w:hyperlink w:anchor="_Toc229219632" w:history="1">
            <w:r w:rsidRPr="00342270">
              <w:rPr>
                <w:rStyle w:val="Hyperlink"/>
                <w:noProof/>
              </w:rPr>
              <w:t>12.8 Repositório e colaboração</w:t>
            </w:r>
            <w:r>
              <w:rPr>
                <w:noProof/>
                <w:webHidden/>
              </w:rPr>
              <w:tab/>
            </w:r>
            <w:r>
              <w:rPr>
                <w:noProof/>
                <w:webHidden/>
              </w:rPr>
              <w:fldChar w:fldCharType="begin"/>
            </w:r>
            <w:r>
              <w:rPr>
                <w:noProof/>
                <w:webHidden/>
              </w:rPr>
              <w:instrText xml:space="preserve"> PAGEREF _Toc229219632 \h </w:instrText>
            </w:r>
            <w:r>
              <w:rPr>
                <w:noProof/>
                <w:webHidden/>
              </w:rPr>
            </w:r>
            <w:r>
              <w:rPr>
                <w:noProof/>
                <w:webHidden/>
              </w:rPr>
              <w:fldChar w:fldCharType="separate"/>
            </w:r>
            <w:r>
              <w:rPr>
                <w:noProof/>
                <w:webHidden/>
              </w:rPr>
              <w:t>69</w:t>
            </w:r>
            <w:r>
              <w:rPr>
                <w:noProof/>
                <w:webHidden/>
              </w:rPr>
              <w:fldChar w:fldCharType="end"/>
            </w:r>
          </w:hyperlink>
        </w:p>
        <w:p w14:paraId="14AF758E" w14:textId="77777777" w:rsidR="00274C70" w:rsidRDefault="00274C70">
          <w:pPr>
            <w:pStyle w:val="Sumrio2"/>
            <w:tabs>
              <w:tab w:val="right" w:leader="dot" w:pos="8828"/>
            </w:tabs>
            <w:rPr>
              <w:noProof/>
            </w:rPr>
          </w:pPr>
          <w:hyperlink w:anchor="_Toc229219633" w:history="1">
            <w:r w:rsidRPr="00342270">
              <w:rPr>
                <w:rStyle w:val="Hyperlink"/>
                <w:noProof/>
              </w:rPr>
              <w:t>12.9 Outros projetos do autor</w:t>
            </w:r>
            <w:r>
              <w:rPr>
                <w:noProof/>
                <w:webHidden/>
              </w:rPr>
              <w:tab/>
            </w:r>
            <w:r>
              <w:rPr>
                <w:noProof/>
                <w:webHidden/>
              </w:rPr>
              <w:fldChar w:fldCharType="begin"/>
            </w:r>
            <w:r>
              <w:rPr>
                <w:noProof/>
                <w:webHidden/>
              </w:rPr>
              <w:instrText xml:space="preserve"> PAGEREF _Toc229219633 \h </w:instrText>
            </w:r>
            <w:r>
              <w:rPr>
                <w:noProof/>
                <w:webHidden/>
              </w:rPr>
            </w:r>
            <w:r>
              <w:rPr>
                <w:noProof/>
                <w:webHidden/>
              </w:rPr>
              <w:fldChar w:fldCharType="separate"/>
            </w:r>
            <w:r>
              <w:rPr>
                <w:noProof/>
                <w:webHidden/>
              </w:rPr>
              <w:t>69</w:t>
            </w:r>
            <w:r>
              <w:rPr>
                <w:noProof/>
                <w:webHidden/>
              </w:rPr>
              <w:fldChar w:fldCharType="end"/>
            </w:r>
          </w:hyperlink>
        </w:p>
        <w:p w14:paraId="2A3D7B3D" w14:textId="77777777" w:rsidR="00274C70" w:rsidRDefault="00274C70">
          <w:pPr>
            <w:pStyle w:val="Sumrio2"/>
            <w:tabs>
              <w:tab w:val="right" w:leader="dot" w:pos="8828"/>
            </w:tabs>
            <w:rPr>
              <w:noProof/>
            </w:rPr>
          </w:pPr>
          <w:hyperlink w:anchor="_Toc229219634" w:history="1">
            <w:r w:rsidRPr="00342270">
              <w:rPr>
                <w:rStyle w:val="Hyperlink"/>
                <w:noProof/>
              </w:rPr>
              <w:t>12.10 Licenciamento</w:t>
            </w:r>
            <w:r>
              <w:rPr>
                <w:noProof/>
                <w:webHidden/>
              </w:rPr>
              <w:tab/>
            </w:r>
            <w:r>
              <w:rPr>
                <w:noProof/>
                <w:webHidden/>
              </w:rPr>
              <w:fldChar w:fldCharType="begin"/>
            </w:r>
            <w:r>
              <w:rPr>
                <w:noProof/>
                <w:webHidden/>
              </w:rPr>
              <w:instrText xml:space="preserve"> PAGEREF _Toc229219634 \h </w:instrText>
            </w:r>
            <w:r>
              <w:rPr>
                <w:noProof/>
                <w:webHidden/>
              </w:rPr>
            </w:r>
            <w:r>
              <w:rPr>
                <w:noProof/>
                <w:webHidden/>
              </w:rPr>
              <w:fldChar w:fldCharType="separate"/>
            </w:r>
            <w:r>
              <w:rPr>
                <w:noProof/>
                <w:webHidden/>
              </w:rPr>
              <w:t>69</w:t>
            </w:r>
            <w:r>
              <w:rPr>
                <w:noProof/>
                <w:webHidden/>
              </w:rPr>
              <w:fldChar w:fldCharType="end"/>
            </w:r>
          </w:hyperlink>
        </w:p>
        <w:p w14:paraId="13ADA4E9" w14:textId="77777777" w:rsidR="00274C70" w:rsidRDefault="00274C70">
          <w:pPr>
            <w:pStyle w:val="Sumrio2"/>
            <w:tabs>
              <w:tab w:val="right" w:leader="dot" w:pos="8828"/>
            </w:tabs>
            <w:rPr>
              <w:noProof/>
            </w:rPr>
          </w:pPr>
          <w:hyperlink w:anchor="_Toc229219635" w:history="1">
            <w:r w:rsidRPr="00342270">
              <w:rPr>
                <w:rStyle w:val="Hyperlink"/>
                <w:noProof/>
              </w:rPr>
              <w:t>12.11 Citação sugerida</w:t>
            </w:r>
            <w:r>
              <w:rPr>
                <w:noProof/>
                <w:webHidden/>
              </w:rPr>
              <w:tab/>
            </w:r>
            <w:r>
              <w:rPr>
                <w:noProof/>
                <w:webHidden/>
              </w:rPr>
              <w:fldChar w:fldCharType="begin"/>
            </w:r>
            <w:r>
              <w:rPr>
                <w:noProof/>
                <w:webHidden/>
              </w:rPr>
              <w:instrText xml:space="preserve"> PAGEREF _Toc229219635 \h </w:instrText>
            </w:r>
            <w:r>
              <w:rPr>
                <w:noProof/>
                <w:webHidden/>
              </w:rPr>
            </w:r>
            <w:r>
              <w:rPr>
                <w:noProof/>
                <w:webHidden/>
              </w:rPr>
              <w:fldChar w:fldCharType="separate"/>
            </w:r>
            <w:r>
              <w:rPr>
                <w:noProof/>
                <w:webHidden/>
              </w:rPr>
              <w:t>70</w:t>
            </w:r>
            <w:r>
              <w:rPr>
                <w:noProof/>
                <w:webHidden/>
              </w:rPr>
              <w:fldChar w:fldCharType="end"/>
            </w:r>
          </w:hyperlink>
        </w:p>
        <w:p w14:paraId="079C38A5" w14:textId="77777777" w:rsidR="00274C70" w:rsidRDefault="00274C70">
          <w:pPr>
            <w:pStyle w:val="Sumrio2"/>
            <w:tabs>
              <w:tab w:val="right" w:leader="dot" w:pos="8828"/>
            </w:tabs>
            <w:rPr>
              <w:noProof/>
            </w:rPr>
          </w:pPr>
          <w:hyperlink w:anchor="_Toc229219636" w:history="1">
            <w:r w:rsidRPr="00342270">
              <w:rPr>
                <w:rStyle w:val="Hyperlink"/>
                <w:noProof/>
              </w:rPr>
              <w:t>12.12 Agradecimentos</w:t>
            </w:r>
            <w:r>
              <w:rPr>
                <w:noProof/>
                <w:webHidden/>
              </w:rPr>
              <w:tab/>
            </w:r>
            <w:r>
              <w:rPr>
                <w:noProof/>
                <w:webHidden/>
              </w:rPr>
              <w:fldChar w:fldCharType="begin"/>
            </w:r>
            <w:r>
              <w:rPr>
                <w:noProof/>
                <w:webHidden/>
              </w:rPr>
              <w:instrText xml:space="preserve"> PAGEREF _Toc229219636 \h </w:instrText>
            </w:r>
            <w:r>
              <w:rPr>
                <w:noProof/>
                <w:webHidden/>
              </w:rPr>
            </w:r>
            <w:r>
              <w:rPr>
                <w:noProof/>
                <w:webHidden/>
              </w:rPr>
              <w:fldChar w:fldCharType="separate"/>
            </w:r>
            <w:r>
              <w:rPr>
                <w:noProof/>
                <w:webHidden/>
              </w:rPr>
              <w:t>70</w:t>
            </w:r>
            <w:r>
              <w:rPr>
                <w:noProof/>
                <w:webHidden/>
              </w:rPr>
              <w:fldChar w:fldCharType="end"/>
            </w:r>
          </w:hyperlink>
        </w:p>
        <w:p w14:paraId="0F35B5AF" w14:textId="77777777" w:rsidR="00274C70" w:rsidRDefault="00274C70">
          <w:pPr>
            <w:pStyle w:val="Sumrio2"/>
            <w:tabs>
              <w:tab w:val="right" w:leader="dot" w:pos="8828"/>
            </w:tabs>
            <w:rPr>
              <w:noProof/>
            </w:rPr>
          </w:pPr>
          <w:hyperlink w:anchor="_Toc229219637" w:history="1">
            <w:r w:rsidRPr="00342270">
              <w:rPr>
                <w:rStyle w:val="Hyperlink"/>
                <w:noProof/>
              </w:rPr>
              <w:t>12.13 Contato</w:t>
            </w:r>
            <w:r>
              <w:rPr>
                <w:noProof/>
                <w:webHidden/>
              </w:rPr>
              <w:tab/>
            </w:r>
            <w:r>
              <w:rPr>
                <w:noProof/>
                <w:webHidden/>
              </w:rPr>
              <w:fldChar w:fldCharType="begin"/>
            </w:r>
            <w:r>
              <w:rPr>
                <w:noProof/>
                <w:webHidden/>
              </w:rPr>
              <w:instrText xml:space="preserve"> PAGEREF _Toc229219637 \h </w:instrText>
            </w:r>
            <w:r>
              <w:rPr>
                <w:noProof/>
                <w:webHidden/>
              </w:rPr>
            </w:r>
            <w:r>
              <w:rPr>
                <w:noProof/>
                <w:webHidden/>
              </w:rPr>
              <w:fldChar w:fldCharType="separate"/>
            </w:r>
            <w:r>
              <w:rPr>
                <w:noProof/>
                <w:webHidden/>
              </w:rPr>
              <w:t>70</w:t>
            </w:r>
            <w:r>
              <w:rPr>
                <w:noProof/>
                <w:webHidden/>
              </w:rPr>
              <w:fldChar w:fldCharType="end"/>
            </w:r>
          </w:hyperlink>
        </w:p>
        <w:p w14:paraId="1A87C6B4" w14:textId="77777777" w:rsidR="00C34FD2" w:rsidRDefault="00000000">
          <w:r>
            <w:fldChar w:fldCharType="end"/>
          </w:r>
        </w:p>
      </w:sdtContent>
    </w:sdt>
    <w:p w14:paraId="37F176C5" w14:textId="77777777" w:rsidR="00274C70" w:rsidRDefault="00274C70">
      <w:pPr>
        <w:rPr>
          <w:rFonts w:asciiTheme="majorHAnsi" w:eastAsiaTheme="majorEastAsia" w:hAnsiTheme="majorHAnsi" w:cstheme="majorBidi"/>
          <w:color w:val="0F4761" w:themeColor="accent1" w:themeShade="BF"/>
          <w:sz w:val="40"/>
          <w:szCs w:val="40"/>
        </w:rPr>
      </w:pPr>
      <w:bookmarkStart w:id="0" w:name="apresentação"/>
      <w:bookmarkStart w:id="1" w:name="_Toc229219536"/>
      <w:r>
        <w:br w:type="page"/>
      </w:r>
    </w:p>
    <w:p w14:paraId="65DEAFD8" w14:textId="0B9D9889" w:rsidR="00C34FD2" w:rsidRDefault="00000000">
      <w:pPr>
        <w:pStyle w:val="Ttulo1"/>
      </w:pPr>
      <w:r>
        <w:lastRenderedPageBreak/>
        <w:t>Apresentação</w:t>
      </w:r>
      <w:bookmarkEnd w:id="1"/>
    </w:p>
    <w:p w14:paraId="2B0CE41C" w14:textId="77777777" w:rsidR="00C34FD2" w:rsidRDefault="00000000">
      <w:pPr>
        <w:pStyle w:val="FirstParagraph"/>
      </w:pPr>
      <w:r>
        <w:t xml:space="preserve">Este material reúne, em formato de livro para leitura offline, a discussão sobre inferência causal em epidemiologia originalmente publicada como recurso educacional aberto em </w:t>
      </w:r>
      <w:hyperlink r:id="rId5">
        <w:r>
          <w:rPr>
            <w:rStyle w:val="Hyperlink"/>
          </w:rPr>
          <w:t>henriquealvarenga.com/correlacao-causalidade</w:t>
        </w:r>
      </w:hyperlink>
      <w:r>
        <w:t>.</w:t>
      </w:r>
    </w:p>
    <w:p w14:paraId="2897DC91" w14:textId="77777777" w:rsidR="00C34FD2" w:rsidRDefault="00000000">
      <w:pPr>
        <w:pStyle w:val="Corpodetexto"/>
      </w:pPr>
      <w:r>
        <w:t xml:space="preserve">A primeira parte percorre, em cinco capítulos, a trajetória conceitual da causalidade — de Hume, Mill e Koch até os formalismos contemporâneos (resultados potenciais, DAGs e </w:t>
      </w:r>
      <w:r>
        <w:rPr>
          <w:i/>
          <w:iCs/>
        </w:rPr>
        <w:t>target trial</w:t>
      </w:r>
      <w:r>
        <w:t>) e o debate atual sobre o estatuto epistemológico das considerações de Bradford Hill.</w:t>
      </w:r>
    </w:p>
    <w:p w14:paraId="64F56AB5" w14:textId="77777777" w:rsidR="00C34FD2" w:rsidRDefault="00000000">
      <w:pPr>
        <w:pStyle w:val="Corpodetexto"/>
      </w:pPr>
      <w:r>
        <w:t>A segunda parte traz seis casos clássicos da literatura clínica recente em que a inferência causal a partir de dados observacionais foi posteriormente reavaliada por ensaios randomizados — terapia de reposição hormonal, vitamina E, betacaroteno, vitamina D, ômega-3 e antiarrítmicos pós-infarto (CAST).</w:t>
      </w:r>
    </w:p>
    <w:p w14:paraId="360B9F42" w14:textId="77777777" w:rsidR="00C34FD2" w:rsidRDefault="00000000">
      <w:pPr>
        <w:pStyle w:val="Corpodetexto"/>
      </w:pPr>
      <w:r>
        <w:t>A bibliografia, ao final, agrega todas as referências citadas, em estilo Vancouver, com metadados verificados em PubMed.</w:t>
      </w:r>
    </w:p>
    <w:p w14:paraId="7A6BFD32" w14:textId="77777777" w:rsidR="00274C70" w:rsidRDefault="00274C70">
      <w:pPr>
        <w:rPr>
          <w:rFonts w:asciiTheme="majorHAnsi" w:eastAsiaTheme="majorEastAsia" w:hAnsiTheme="majorHAnsi" w:cstheme="majorBidi"/>
          <w:color w:val="0F4761" w:themeColor="accent1" w:themeShade="BF"/>
          <w:sz w:val="40"/>
          <w:szCs w:val="40"/>
        </w:rPr>
      </w:pPr>
      <w:bookmarkStart w:id="2" w:name="antes-da-epidemiologia-hume-mill-e-koch"/>
      <w:bookmarkStart w:id="3" w:name="_Toc229219537"/>
      <w:bookmarkEnd w:id="0"/>
      <w:r>
        <w:br w:type="page"/>
      </w:r>
    </w:p>
    <w:p w14:paraId="76E98A54" w14:textId="4566237B" w:rsidR="00C34FD2" w:rsidRDefault="00000000">
      <w:pPr>
        <w:pStyle w:val="Ttulo1"/>
      </w:pPr>
      <w:r>
        <w:lastRenderedPageBreak/>
        <w:t>1. Antes da epidemiologia — Hume, Mill e Koch</w:t>
      </w:r>
      <w:bookmarkEnd w:id="3"/>
    </w:p>
    <w:p w14:paraId="786CB32C" w14:textId="77777777" w:rsidR="00C34FD2" w:rsidRDefault="00000000">
      <w:pPr>
        <w:pStyle w:val="Ttulo2"/>
      </w:pPr>
      <w:bookmarkStart w:id="4" w:name="david-hume"/>
      <w:bookmarkStart w:id="5" w:name="_Toc229219538"/>
      <w:r>
        <w:t>1.1 David Hume</w:t>
      </w:r>
      <w:bookmarkEnd w:id="5"/>
    </w:p>
    <w:tbl>
      <w:tblPr>
        <w:tblStyle w:val="Table"/>
        <w:tblW w:w="5000" w:type="pct"/>
        <w:tblLayout w:type="fixed"/>
        <w:tblLook w:val="0000" w:firstRow="0" w:lastRow="0" w:firstColumn="0" w:lastColumn="0" w:noHBand="0" w:noVBand="0"/>
      </w:tblPr>
      <w:tblGrid>
        <w:gridCol w:w="9054"/>
      </w:tblGrid>
      <w:tr w:rsidR="00C34FD2" w14:paraId="7A7EB206" w14:textId="77777777">
        <w:tc>
          <w:tcPr>
            <w:tcW w:w="7920" w:type="dxa"/>
          </w:tcPr>
          <w:p w14:paraId="7D228628" w14:textId="77777777" w:rsidR="00C34FD2" w:rsidRDefault="00000000" w:rsidP="00274C70">
            <w:pPr>
              <w:pStyle w:val="Compact"/>
            </w:pPr>
            <w:bookmarkStart w:id="6" w:name="fig-hume"/>
            <w:r>
              <w:rPr>
                <w:noProof/>
              </w:rPr>
              <w:drawing>
                <wp:inline distT="0" distB="0" distL="0" distR="0" wp14:anchorId="217AE1BB" wp14:editId="04CB4E62">
                  <wp:extent cx="1968500" cy="25527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David-Hume.jpg"/>
                          <pic:cNvPicPr>
                            <a:picLocks noChangeAspect="1" noChangeArrowheads="1"/>
                          </pic:cNvPicPr>
                        </pic:nvPicPr>
                        <pic:blipFill>
                          <a:blip r:embed="rId6"/>
                          <a:stretch>
                            <a:fillRect/>
                          </a:stretch>
                        </pic:blipFill>
                        <pic:spPr bwMode="auto">
                          <a:xfrm>
                            <a:off x="0" y="0"/>
                            <a:ext cx="1968500" cy="2552700"/>
                          </a:xfrm>
                          <a:prstGeom prst="rect">
                            <a:avLst/>
                          </a:prstGeom>
                          <a:noFill/>
                          <a:ln w="9525">
                            <a:noFill/>
                            <a:headEnd/>
                            <a:tailEnd/>
                          </a:ln>
                        </pic:spPr>
                      </pic:pic>
                    </a:graphicData>
                  </a:graphic>
                </wp:inline>
              </w:drawing>
            </w:r>
          </w:p>
          <w:p w14:paraId="3081B161" w14:textId="77777777" w:rsidR="00C34FD2" w:rsidRDefault="00000000">
            <w:pPr>
              <w:pStyle w:val="ImageCaption"/>
              <w:spacing w:before="200"/>
            </w:pPr>
            <w:r>
              <w:t>Figura 1: David Hume</w:t>
            </w:r>
          </w:p>
        </w:tc>
        <w:bookmarkEnd w:id="6"/>
      </w:tr>
    </w:tbl>
    <w:p w14:paraId="69807D93" w14:textId="77777777" w:rsidR="00C34FD2" w:rsidRDefault="00000000">
      <w:pPr>
        <w:pStyle w:val="Corpodetexto"/>
      </w:pPr>
      <w:r>
        <w:t xml:space="preserve">David Hume (1711–1776), no </w:t>
      </w:r>
      <w:r>
        <w:rPr>
          <w:i/>
          <w:iCs/>
        </w:rPr>
        <w:t>Tratado da Natureza Humana</w:t>
      </w:r>
      <w:r>
        <w:t xml:space="preserve"> (1739) e na </w:t>
      </w:r>
      <w:r>
        <w:rPr>
          <w:i/>
          <w:iCs/>
        </w:rPr>
        <w:t>Investigação Acerca do Entendimento Humano</w:t>
      </w:r>
      <w:r>
        <w:t xml:space="preserve"> (1748), sustenta que causalidade não é objeto de percepção. Sucessões repetidas de eventos A e B produzem, na mente do observador, a expectativa de que A seja a causa de B; é nesse hábito psicológico, e não num vínculo entre os eventos, que a noção de causa se constitui.</w:t>
      </w:r>
    </w:p>
    <w:p w14:paraId="015E51BD" w14:textId="77777777" w:rsidR="00C34FD2" w:rsidRDefault="00000000">
      <w:pPr>
        <w:pStyle w:val="Corpodetexto"/>
      </w:pPr>
      <w:r>
        <w:t>A formulação de Hume sugere que a inferência de causa se deve a:</w:t>
      </w:r>
    </w:p>
    <w:p w14:paraId="1A727144" w14:textId="77777777" w:rsidR="00C34FD2" w:rsidRDefault="00000000">
      <w:pPr>
        <w:pStyle w:val="Compact"/>
        <w:numPr>
          <w:ilvl w:val="0"/>
          <w:numId w:val="2"/>
        </w:numPr>
      </w:pPr>
      <w:r>
        <w:t>contiguidade espacial e temporal,</w:t>
      </w:r>
      <w:r>
        <w:br/>
      </w:r>
    </w:p>
    <w:p w14:paraId="336FFA9F" w14:textId="77777777" w:rsidR="00C34FD2" w:rsidRDefault="00000000">
      <w:pPr>
        <w:pStyle w:val="Compact"/>
        <w:numPr>
          <w:ilvl w:val="0"/>
          <w:numId w:val="2"/>
        </w:numPr>
      </w:pPr>
      <w:r>
        <w:t>precedência da causa em relação ao efeito, e</w:t>
      </w:r>
      <w:r>
        <w:br/>
      </w:r>
    </w:p>
    <w:p w14:paraId="69EE7E96" w14:textId="77777777" w:rsidR="00C34FD2" w:rsidRDefault="00000000">
      <w:pPr>
        <w:pStyle w:val="Compact"/>
        <w:numPr>
          <w:ilvl w:val="0"/>
          <w:numId w:val="2"/>
        </w:numPr>
      </w:pPr>
      <w:r>
        <w:t>conjunção constante (1).</w:t>
      </w:r>
    </w:p>
    <w:p w14:paraId="7D7B3A5C" w14:textId="77777777" w:rsidR="00C34FD2" w:rsidRDefault="00000000">
      <w:pPr>
        <w:pStyle w:val="FirstParagraph"/>
      </w:pPr>
      <w:r>
        <w:t>A lista não inclui comparação. O sistema humeano descreve um observador diante de uma sequência de eventos, sem grupo de controle e sem perguntar o que teria acontecido se a exposição não tivesse ocorrido, pergunta hipotética que viria a organizar toda a epidemiologia contemporânea, mas que é estranha ao vocabulário de Hume (1).</w:t>
      </w:r>
    </w:p>
    <w:p w14:paraId="7B7AD94C" w14:textId="77777777" w:rsidR="00C34FD2" w:rsidRDefault="00000000">
      <w:pPr>
        <w:pStyle w:val="Corpodetexto"/>
      </w:pPr>
      <w:r>
        <w:t>Aplicadas à clínica, as três marcas validam qualquer série de casos suficientemente longa em que pacientes expostos a determinada intervenção apresentam o desfecho de interesse. O diagnóstico humeano de causa é coerente com seus próprios termos; o diagnóstico epidemiológico exige um passo adicional, a comparação com o curso esperado na ausência da intervenção.</w:t>
      </w:r>
    </w:p>
    <w:p w14:paraId="32EF3ECF" w14:textId="77777777" w:rsidR="00C34FD2" w:rsidRDefault="00000000">
      <w:pPr>
        <w:pStyle w:val="Corpodetexto"/>
      </w:pPr>
      <w:r>
        <w:lastRenderedPageBreak/>
        <w:t>Hume também mostrou, no século XVIII, que o raciocínio indutivo — do tipo “B sempre seguiu A no passado, logo seguirá A no futuro” — não tem fundamento lógico. Ele identificou isso como uma limitação séria do conhecimento empírico humano: por mais vezes que A e B tenham aparecido juntos, nada na lógica garante que aparecerão juntos na próxima vez. Hume não rejeitou a indução, no entanto. Aceitou que continuamos a fazer previsões mesmo sem essa garantia, e atribuiu essa confiança a hábito mental, não a demonstração racional. O mesmo problema reaparece dois séculos depois no argumento de Savitz, Pearce e Rothman (2): a inferência causal em epidemiologia é processo indireto, que avança pela exclusão progressiva de explicações concorrentes.</w:t>
      </w:r>
    </w:p>
    <w:p w14:paraId="3A282158" w14:textId="77777777" w:rsidR="00274C70" w:rsidRDefault="00274C70">
      <w:pPr>
        <w:rPr>
          <w:rFonts w:asciiTheme="majorHAnsi" w:eastAsiaTheme="majorEastAsia" w:hAnsiTheme="majorHAnsi" w:cstheme="majorBidi"/>
          <w:color w:val="0F4761" w:themeColor="accent1" w:themeShade="BF"/>
          <w:sz w:val="32"/>
          <w:szCs w:val="32"/>
        </w:rPr>
      </w:pPr>
      <w:bookmarkStart w:id="7" w:name="stuart-mill"/>
      <w:bookmarkStart w:id="8" w:name="_Toc229219539"/>
      <w:bookmarkEnd w:id="4"/>
      <w:r>
        <w:br w:type="page"/>
      </w:r>
    </w:p>
    <w:p w14:paraId="1F494AF7" w14:textId="369CD870" w:rsidR="00C34FD2" w:rsidRDefault="00000000">
      <w:pPr>
        <w:pStyle w:val="Ttulo2"/>
      </w:pPr>
      <w:r>
        <w:lastRenderedPageBreak/>
        <w:t>1.2 Stuart Mill</w:t>
      </w:r>
      <w:bookmarkEnd w:id="8"/>
    </w:p>
    <w:tbl>
      <w:tblPr>
        <w:tblStyle w:val="Table"/>
        <w:tblW w:w="5000" w:type="pct"/>
        <w:tblLayout w:type="fixed"/>
        <w:tblLook w:val="0000" w:firstRow="0" w:lastRow="0" w:firstColumn="0" w:lastColumn="0" w:noHBand="0" w:noVBand="0"/>
      </w:tblPr>
      <w:tblGrid>
        <w:gridCol w:w="9054"/>
      </w:tblGrid>
      <w:tr w:rsidR="00C34FD2" w14:paraId="0D0CFE3C" w14:textId="77777777">
        <w:tc>
          <w:tcPr>
            <w:tcW w:w="7920" w:type="dxa"/>
          </w:tcPr>
          <w:p w14:paraId="59CDAF4F" w14:textId="77777777" w:rsidR="00C34FD2" w:rsidRDefault="00000000" w:rsidP="00274C70">
            <w:pPr>
              <w:pStyle w:val="Compact"/>
            </w:pPr>
            <w:bookmarkStart w:id="9" w:name="fig-mill"/>
            <w:r>
              <w:rPr>
                <w:noProof/>
              </w:rPr>
              <w:drawing>
                <wp:inline distT="0" distB="0" distL="0" distR="0" wp14:anchorId="68A72144" wp14:editId="30230136">
                  <wp:extent cx="2209800" cy="3022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Stuart-Mill.jpg"/>
                          <pic:cNvPicPr>
                            <a:picLocks noChangeAspect="1" noChangeArrowheads="1"/>
                          </pic:cNvPicPr>
                        </pic:nvPicPr>
                        <pic:blipFill>
                          <a:blip r:embed="rId7"/>
                          <a:stretch>
                            <a:fillRect/>
                          </a:stretch>
                        </pic:blipFill>
                        <pic:spPr bwMode="auto">
                          <a:xfrm>
                            <a:off x="0" y="0"/>
                            <a:ext cx="2209800" cy="3022600"/>
                          </a:xfrm>
                          <a:prstGeom prst="rect">
                            <a:avLst/>
                          </a:prstGeom>
                          <a:noFill/>
                          <a:ln w="9525">
                            <a:noFill/>
                            <a:headEnd/>
                            <a:tailEnd/>
                          </a:ln>
                        </pic:spPr>
                      </pic:pic>
                    </a:graphicData>
                  </a:graphic>
                </wp:inline>
              </w:drawing>
            </w:r>
          </w:p>
          <w:p w14:paraId="42CB51C6" w14:textId="77777777" w:rsidR="00C34FD2" w:rsidRDefault="00000000">
            <w:pPr>
              <w:pStyle w:val="ImageCaption"/>
              <w:spacing w:before="200"/>
            </w:pPr>
            <w:r>
              <w:t>Figura 2: Stuart Mill</w:t>
            </w:r>
          </w:p>
        </w:tc>
        <w:bookmarkEnd w:id="9"/>
      </w:tr>
    </w:tbl>
    <w:p w14:paraId="46820D74" w14:textId="77777777" w:rsidR="00C34FD2" w:rsidRDefault="00000000">
      <w:pPr>
        <w:pStyle w:val="Corpodetexto"/>
      </w:pPr>
      <w:r>
        <w:t xml:space="preserve">John Stuart Mill (1806–1873), em </w:t>
      </w:r>
      <w:r>
        <w:rPr>
          <w:i/>
          <w:iCs/>
        </w:rPr>
        <w:t>A System of Logic</w:t>
      </w:r>
      <w:r>
        <w:t xml:space="preserve"> (1843), articula o que falta em Hume: comparação explícita entre situações. Os métodos de Mill são procedimentos para extrair inferência causal de comparações sistemáticas. Postulou 5 métodos: concordância, diferença, conjunto, resíduos, variação concomitante.</w:t>
      </w:r>
    </w:p>
    <w:p w14:paraId="064AE3D3" w14:textId="77777777" w:rsidR="00C34FD2" w:rsidRDefault="00000000">
      <w:pPr>
        <w:pStyle w:val="Corpodetexto"/>
      </w:pPr>
      <w:r>
        <w:rPr>
          <w:b/>
          <w:bCs/>
        </w:rPr>
        <w:t>Concordância</w:t>
      </w:r>
      <w:r>
        <w:t>. Quando o fenômeno a ser explicado ocorre em situações que diferem em vários aspectos mas concordam em uma única circunstância, essa circunstância é candidata a causa. A regra opera por eliminação: se um fator está presente em todos os casos do fenômeno e todos os demais variam, ele é o candidato comum que sobra. É a lógica clássica de investigação de surto — entre os adoecidos, identifica-se o que comeram, beberam ou tocaram em comum.</w:t>
      </w:r>
    </w:p>
    <w:p w14:paraId="0212D07A" w14:textId="77777777" w:rsidR="00C34FD2" w:rsidRDefault="00000000">
      <w:pPr>
        <w:pStyle w:val="Corpodetexto"/>
      </w:pPr>
      <w:r>
        <w:rPr>
          <w:b/>
          <w:bCs/>
        </w:rPr>
        <w:t>Diferença</w:t>
      </w:r>
      <w:r>
        <w:t>. Quando duas situações são idênticas exceto em uma circunstância, e o fenômeno ocorre apenas naquela em que essa circunstância está presente, a circunstância é a causa, ou parte dela. Para Mill, é o método mais robusto, porque a comparação é controlada. O ensaio clínico randomizado é a versão estatística desse método aplicada a populações: dois grupos balanceados, uma única intervenção diferente, um desfecho que se move.</w:t>
      </w:r>
    </w:p>
    <w:p w14:paraId="26D47BFD" w14:textId="77777777" w:rsidR="00C34FD2" w:rsidRDefault="00000000">
      <w:pPr>
        <w:pStyle w:val="Corpodetexto"/>
      </w:pPr>
      <w:r>
        <w:rPr>
          <w:b/>
          <w:bCs/>
        </w:rPr>
        <w:t>Conjunto</w:t>
      </w:r>
      <w:r>
        <w:t>. Combinação dos dois anteriores: o fenômeno aparece em situações que compartilham a circunstância candidata e está ausente em situações sem ela, ainda que as duas séries variem em outros aspectos. O método combina concordância (entre as presenças) e diferença (entre presença e ausência), reduzindo explicações alternativas que sobreviveriam a um dos dois métodos isoladamente.</w:t>
      </w:r>
    </w:p>
    <w:p w14:paraId="40A55E12" w14:textId="77777777" w:rsidR="00C34FD2" w:rsidRDefault="00000000">
      <w:pPr>
        <w:pStyle w:val="Corpodetexto"/>
      </w:pPr>
      <w:r>
        <w:rPr>
          <w:b/>
          <w:bCs/>
        </w:rPr>
        <w:lastRenderedPageBreak/>
        <w:t>Resíduos</w:t>
      </w:r>
      <w:r>
        <w:t>. Quando uma situação produz vários efeitos e parte deles tem causas já conhecidas, o efeito que sobra é atribuível à parte da circunstância ainda não explicada. Em saúde, parte da redução pressórica observada com uma intervenção dietética é explicada pela perda de peso; o resíduo — a redução adicional não atribuível ao peso — orienta a investigação para um mecanismo independente.</w:t>
      </w:r>
    </w:p>
    <w:p w14:paraId="2316BC1F" w14:textId="77777777" w:rsidR="00C34FD2" w:rsidRDefault="00000000">
      <w:pPr>
        <w:pStyle w:val="Corpodetexto"/>
      </w:pPr>
      <w:r>
        <w:rPr>
          <w:b/>
          <w:bCs/>
        </w:rPr>
        <w:t>Variação concomitante</w:t>
      </w:r>
      <w:r>
        <w:t>. Quando duas circunstâncias variam juntas — uma aumenta, a outra aumenta; uma diminui, a outra diminui —, há razão para considerar que estão causalmente relacionadas, ou que ambas dependem de um terceiro fator comum. É o método que reconhece a dose-resposta como sinal informativo. Mill adverte, no entanto, que covariação não estabelece causalidade: outras configurações precisam ser eliminadas. É a antessala do problema do confundimento.</w:t>
      </w:r>
    </w:p>
    <w:p w14:paraId="3A3BB419" w14:textId="77777777" w:rsidR="00C34FD2" w:rsidRDefault="00000000">
      <w:pPr>
        <w:pStyle w:val="Corpodetexto"/>
      </w:pPr>
      <w:r>
        <w:t>O método da diferença lembra um ensaio clínico randomizado, mas estudos epidemiológicos reais, inclusive RCTs bem conduzidos, não satisfazem esse requisito: os grupos diferem em circunstâncias particulares incontáveis (1).</w:t>
      </w:r>
    </w:p>
    <w:p w14:paraId="554AD67E" w14:textId="77777777" w:rsidR="00274C70" w:rsidRDefault="00274C70">
      <w:pPr>
        <w:rPr>
          <w:rFonts w:asciiTheme="majorHAnsi" w:eastAsiaTheme="majorEastAsia" w:hAnsiTheme="majorHAnsi" w:cstheme="majorBidi"/>
          <w:color w:val="0F4761" w:themeColor="accent1" w:themeShade="BF"/>
          <w:sz w:val="32"/>
          <w:szCs w:val="32"/>
        </w:rPr>
      </w:pPr>
      <w:bookmarkStart w:id="10" w:name="henle-koch"/>
      <w:bookmarkStart w:id="11" w:name="_Toc229219540"/>
      <w:bookmarkEnd w:id="7"/>
      <w:r>
        <w:br w:type="page"/>
      </w:r>
    </w:p>
    <w:p w14:paraId="1F78FDD3" w14:textId="2B14BAB1" w:rsidR="00C34FD2" w:rsidRDefault="00000000">
      <w:pPr>
        <w:pStyle w:val="Ttulo2"/>
      </w:pPr>
      <w:r>
        <w:lastRenderedPageBreak/>
        <w:t>1.3 Henle-Koch</w:t>
      </w:r>
      <w:bookmarkEnd w:id="11"/>
    </w:p>
    <w:tbl>
      <w:tblPr>
        <w:tblStyle w:val="Table"/>
        <w:tblW w:w="5000" w:type="pct"/>
        <w:tblLayout w:type="fixed"/>
        <w:tblLook w:val="0000" w:firstRow="0" w:lastRow="0" w:firstColumn="0" w:lastColumn="0" w:noHBand="0" w:noVBand="0"/>
      </w:tblPr>
      <w:tblGrid>
        <w:gridCol w:w="9054"/>
      </w:tblGrid>
      <w:tr w:rsidR="00C34FD2" w14:paraId="273A4EB8" w14:textId="77777777">
        <w:tc>
          <w:tcPr>
            <w:tcW w:w="7920" w:type="dxa"/>
          </w:tcPr>
          <w:p w14:paraId="7FAE39DA" w14:textId="77777777" w:rsidR="00C34FD2" w:rsidRDefault="00000000" w:rsidP="00274C70">
            <w:pPr>
              <w:pStyle w:val="Compact"/>
            </w:pPr>
            <w:bookmarkStart w:id="12" w:name="fig-koch"/>
            <w:r>
              <w:rPr>
                <w:noProof/>
              </w:rPr>
              <w:drawing>
                <wp:inline distT="0" distB="0" distL="0" distR="0" wp14:anchorId="0F49BD5E" wp14:editId="07D5F822">
                  <wp:extent cx="2032000" cy="27178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Henle-Koch.jpg"/>
                          <pic:cNvPicPr>
                            <a:picLocks noChangeAspect="1" noChangeArrowheads="1"/>
                          </pic:cNvPicPr>
                        </pic:nvPicPr>
                        <pic:blipFill>
                          <a:blip r:embed="rId8"/>
                          <a:stretch>
                            <a:fillRect/>
                          </a:stretch>
                        </pic:blipFill>
                        <pic:spPr bwMode="auto">
                          <a:xfrm>
                            <a:off x="0" y="0"/>
                            <a:ext cx="2032000" cy="2717800"/>
                          </a:xfrm>
                          <a:prstGeom prst="rect">
                            <a:avLst/>
                          </a:prstGeom>
                          <a:noFill/>
                          <a:ln w="9525">
                            <a:noFill/>
                            <a:headEnd/>
                            <a:tailEnd/>
                          </a:ln>
                        </pic:spPr>
                      </pic:pic>
                    </a:graphicData>
                  </a:graphic>
                </wp:inline>
              </w:drawing>
            </w:r>
          </w:p>
          <w:p w14:paraId="59EE54DB" w14:textId="77777777" w:rsidR="00C34FD2" w:rsidRDefault="00000000">
            <w:pPr>
              <w:pStyle w:val="ImageCaption"/>
              <w:spacing w:before="200"/>
            </w:pPr>
            <w:r>
              <w:t>Figura 3: Henle-Koch</w:t>
            </w:r>
          </w:p>
        </w:tc>
        <w:bookmarkEnd w:id="12"/>
      </w:tr>
    </w:tbl>
    <w:p w14:paraId="02EAB7AC" w14:textId="77777777" w:rsidR="00C34FD2" w:rsidRDefault="00000000">
      <w:pPr>
        <w:pStyle w:val="Corpodetexto"/>
      </w:pPr>
      <w:r>
        <w:t>Robert Koch (1843–1910), partindo de formulações de Jakob Henle, propõe no fim do século XIX critérios para estabelecer que um microrganismo é o agente causal de uma doença infecciosa específica:</w:t>
      </w:r>
    </w:p>
    <w:p w14:paraId="0194F843" w14:textId="77777777" w:rsidR="00C34FD2" w:rsidRDefault="00000000">
      <w:pPr>
        <w:pStyle w:val="Compact"/>
        <w:numPr>
          <w:ilvl w:val="0"/>
          <w:numId w:val="3"/>
        </w:numPr>
      </w:pPr>
      <w:r>
        <w:t>O microrganismo deve ser encontrado em todos os indivíduos doentes e ausente nos saudáveis.</w:t>
      </w:r>
    </w:p>
    <w:p w14:paraId="4B04CD5A" w14:textId="77777777" w:rsidR="00C34FD2" w:rsidRDefault="00000000">
      <w:pPr>
        <w:pStyle w:val="Compact"/>
        <w:numPr>
          <w:ilvl w:val="0"/>
          <w:numId w:val="3"/>
        </w:numPr>
      </w:pPr>
      <w:r>
        <w:t>Deve ser isolado e cultivado em cultura pura.</w:t>
      </w:r>
    </w:p>
    <w:p w14:paraId="1246CA36" w14:textId="77777777" w:rsidR="00C34FD2" w:rsidRDefault="00000000">
      <w:pPr>
        <w:pStyle w:val="Compact"/>
        <w:numPr>
          <w:ilvl w:val="0"/>
          <w:numId w:val="3"/>
        </w:numPr>
      </w:pPr>
      <w:r>
        <w:t>Inoculado em hospedeiro susceptível, deve reproduzir a doença.</w:t>
      </w:r>
    </w:p>
    <w:p w14:paraId="40C83C27" w14:textId="77777777" w:rsidR="00C34FD2" w:rsidRDefault="00000000">
      <w:pPr>
        <w:pStyle w:val="Compact"/>
        <w:numPr>
          <w:ilvl w:val="0"/>
          <w:numId w:val="3"/>
        </w:numPr>
      </w:pPr>
      <w:r>
        <w:t>Deve ser reisolado do hospedeiro experimentalmente infectado.</w:t>
      </w:r>
    </w:p>
    <w:p w14:paraId="5CB88965" w14:textId="77777777" w:rsidR="00C34FD2" w:rsidRDefault="00000000">
      <w:pPr>
        <w:pStyle w:val="FirstParagraph"/>
      </w:pPr>
      <w:r>
        <w:t>A formulação postula causalidade determinística e invariável: dado o agente, temos a doença.</w:t>
      </w:r>
    </w:p>
    <w:p w14:paraId="2E7BD0BE" w14:textId="77777777" w:rsidR="00C34FD2" w:rsidRDefault="00000000">
      <w:pPr>
        <w:pStyle w:val="Corpodetexto"/>
      </w:pPr>
      <w:r>
        <w:t>Entretanto, essa concepção de microbiologia clássica é incompatível com a epidemiologia das doenças crônicas. Tabaco não produz câncer de pulmão em todos os fumantes; hipertensão não produz acidente vascular em todos os hipertensos. As causas estudadas pela epidemiologia das doenças crônicas são probabilísticas e invariantes apenas no nível populacional (3).</w:t>
      </w:r>
    </w:p>
    <w:p w14:paraId="5F03D5D3" w14:textId="77777777" w:rsidR="00C34FD2" w:rsidRDefault="00000000">
      <w:pPr>
        <w:pStyle w:val="Ttulo2"/>
      </w:pPr>
      <w:bookmarkStart w:id="13" w:name="síntese"/>
      <w:bookmarkStart w:id="14" w:name="_Toc229219541"/>
      <w:bookmarkEnd w:id="10"/>
      <w:r>
        <w:t>1.4 Síntese</w:t>
      </w:r>
      <w:bookmarkEnd w:id="14"/>
    </w:p>
    <w:p w14:paraId="312EE076" w14:textId="77777777" w:rsidR="00C34FD2" w:rsidRDefault="00000000">
      <w:pPr>
        <w:pStyle w:val="FirstParagraph"/>
      </w:pPr>
      <w:r>
        <w:t>A herança das três tradições para a epidemiologia moderna pode ser resumida em três proposições.</w:t>
      </w:r>
    </w:p>
    <w:p w14:paraId="6E65DC6A" w14:textId="77777777" w:rsidR="00C34FD2" w:rsidRDefault="00000000">
      <w:pPr>
        <w:pStyle w:val="Corpodetexto"/>
      </w:pPr>
      <w:r>
        <w:t>De Hume, causalidade não é objeto de percepção: ela é inferida. O problema da indução implica que essa inferência nunca pode ser garantida pela lógica.</w:t>
      </w:r>
    </w:p>
    <w:p w14:paraId="54C5CEA2" w14:textId="77777777" w:rsidR="00C34FD2" w:rsidRDefault="00000000">
      <w:pPr>
        <w:pStyle w:val="Corpodetexto"/>
      </w:pPr>
      <w:r>
        <w:lastRenderedPageBreak/>
        <w:t>De Mill, sem comparação não há inferência causal. O ideal experimental milliano antecipa a lógica do ensaio clínico randomizado, embora a exigência de comparar situações idênticas não funcione em populações reais.</w:t>
      </w:r>
    </w:p>
    <w:p w14:paraId="43950DEB" w14:textId="77777777" w:rsidR="00C34FD2" w:rsidRDefault="00000000">
      <w:pPr>
        <w:pStyle w:val="Corpodetexto"/>
      </w:pPr>
      <w:r>
        <w:t>De Koch, causa exige mecanismo identificável e reproduzível. A exigência funciona em microbiologia clássica, mas quebra em doenças multifatoriais, em que a relação entre exposição e desfecho é probabilística e dependente do contexto.</w:t>
      </w:r>
    </w:p>
    <w:p w14:paraId="4843CDE2" w14:textId="77777777" w:rsidR="00C34FD2" w:rsidRDefault="00000000">
      <w:pPr>
        <w:pStyle w:val="Corpodetexto"/>
      </w:pPr>
      <w:r>
        <w:t>Schwartz, Susser e Susser (4) descrevem essa transição como sucessão de paradigmas: cada nova era da epidemiologia redefine o objeto da disciplina sem apagar inteiramente as intuições anteriores. A epidemiologia do século XX precisa fazer o que nenhuma das três tradições, isoladamente, autoriza: comparar populações que não são idênticas, inferir causas que não são determinísticas, e fundamentar essa inferência sem a garantia da dedução.</w:t>
      </w:r>
    </w:p>
    <w:p w14:paraId="6C3E24F3" w14:textId="77777777" w:rsidR="00C34FD2" w:rsidRDefault="00000000">
      <w:pPr>
        <w:pStyle w:val="Ttulo2"/>
      </w:pPr>
      <w:bookmarkStart w:id="15" w:name="exercícios"/>
      <w:bookmarkStart w:id="16" w:name="_Toc229219542"/>
      <w:bookmarkEnd w:id="13"/>
      <w:r>
        <w:t>1.5 Exercícios</w:t>
      </w:r>
      <w:bookmarkEnd w:id="16"/>
    </w:p>
    <w:p w14:paraId="271C73EB" w14:textId="77777777" w:rsidR="00C34FD2" w:rsidRDefault="00000000">
      <w:pPr>
        <w:pStyle w:val="FirstParagraph"/>
      </w:pPr>
      <w:r>
        <w:rPr>
          <w:b/>
          <w:bCs/>
        </w:rPr>
        <w:t>1.</w:t>
      </w:r>
      <w:r>
        <w:t xml:space="preserve"> Construa um cenário clínico em que uma série de casos satisfaça as três marcas humeanas — contiguidade, precedência, conjunção constante — sem que haja relação causal entre intervenção e desfecho (efeito placebo). Identifique o elemento metodológico, ausente da formulação de Hume, que distingue uma série de casos de um RCT.</w:t>
      </w:r>
    </w:p>
    <w:p w14:paraId="0997B898" w14:textId="77777777" w:rsidR="00C34FD2" w:rsidRDefault="00000000">
      <w:pPr>
        <w:pStyle w:val="Corpodetexto"/>
      </w:pPr>
      <w:r>
        <w:rPr>
          <w:b/>
          <w:bCs/>
        </w:rPr>
        <w:t>2.</w:t>
      </w:r>
      <w:r>
        <w:t xml:space="preserve"> Em um centro de cardiologia, todos os pacientes que receberam um novo dispositivo de monitorização remota apresentaram melhora dos sintomas de insuficiência cardíaca em três meses. O cardiologista conclui que o dispositivo funciona. Aplicando o método da diferença de Mill com rigor, que dado falta para essa conclusão ser defensável? Por que a aplicação literal dos postulados de Koch a esse tipo de pergunta é incoerente?</w:t>
      </w:r>
    </w:p>
    <w:p w14:paraId="1C9157DE" w14:textId="77777777" w:rsidR="00C34FD2" w:rsidRDefault="00000000">
      <w:pPr>
        <w:pStyle w:val="Corpodetexto"/>
      </w:pPr>
      <w:r>
        <w:rPr>
          <w:b/>
          <w:bCs/>
        </w:rPr>
        <w:t>3.</w:t>
      </w:r>
      <w:r>
        <w:t xml:space="preserve"> Em Morabia (1), identifique passagens em que o autor sustenta que o sistema de Hume e o método de Mill, isoladamente, não autorizam o tipo de inferência observacional que a epidemiologia contemporânea pratica. Em uma frase para cada filósofo, explique por que sua tradição, sozinha, não dá conta dessa tarefa.</w:t>
      </w:r>
    </w:p>
    <w:p w14:paraId="0BCE9D7D" w14:textId="77777777" w:rsidR="00274C70" w:rsidRDefault="00274C70">
      <w:pPr>
        <w:rPr>
          <w:rFonts w:asciiTheme="majorHAnsi" w:eastAsiaTheme="majorEastAsia" w:hAnsiTheme="majorHAnsi" w:cstheme="majorBidi"/>
          <w:color w:val="0F4761" w:themeColor="accent1" w:themeShade="BF"/>
          <w:sz w:val="40"/>
          <w:szCs w:val="40"/>
        </w:rPr>
      </w:pPr>
      <w:bookmarkStart w:id="17" w:name="X98ab91b4bf182ea0eaa091a6ac9a83bbbb33c40"/>
      <w:bookmarkStart w:id="18" w:name="_Toc229219543"/>
      <w:bookmarkEnd w:id="2"/>
      <w:bookmarkEnd w:id="15"/>
      <w:r>
        <w:br w:type="page"/>
      </w:r>
    </w:p>
    <w:p w14:paraId="0EE49F6A" w14:textId="33137079" w:rsidR="00C34FD2" w:rsidRDefault="00000000">
      <w:pPr>
        <w:pStyle w:val="Ttulo1"/>
      </w:pPr>
      <w:r>
        <w:lastRenderedPageBreak/>
        <w:t>2. A virada do século XX — Surgeon General, Hill e Rothman</w:t>
      </w:r>
      <w:bookmarkEnd w:id="18"/>
    </w:p>
    <w:p w14:paraId="73C46F16" w14:textId="77777777" w:rsidR="00C34FD2" w:rsidRDefault="00000000">
      <w:pPr>
        <w:pStyle w:val="FirstParagraph"/>
      </w:pPr>
      <w:r>
        <w:t>A epidemiologia da segunda metade do século XX enfrenta um objeto que os postulados de Henle-Koch não cobrem: doenças crônicas, multifatoriais, sem agente único e sem causalidade determinística. O caso paradigmático é tabaco e câncer de pulmão. Não há “germe do câncer de pulmão” no sentido kochiano; nem todos os fumantes desenvolvem a doença; entre os que desenvolvem, alguns nunca fumaram.</w:t>
      </w:r>
    </w:p>
    <w:p w14:paraId="51E68711" w14:textId="77777777" w:rsidR="00C34FD2" w:rsidRDefault="00000000">
      <w:pPr>
        <w:pStyle w:val="Corpodetexto"/>
      </w:pPr>
      <w:r>
        <w:t>Morabia (3) sustenta que essa diferença é estrutural, não temporária. As causas estudadas pela epidemiologia das doenças crônicas são invariantes apenas no nível populacional, não no nível do indivíduo. Postulados desenhados para causação determinística — onde dada presença do agente, dada a doença — produzem erro categorial quando aplicados a relações como tabaco-câncer. A exigência de identificação de agente específico, central em Koch, deixa de ser método e passa a ser obstáculo.</w:t>
      </w:r>
    </w:p>
    <w:p w14:paraId="13D87C8F" w14:textId="77777777" w:rsidR="00C34FD2" w:rsidRDefault="00000000">
      <w:pPr>
        <w:pStyle w:val="Corpodetexto"/>
      </w:pPr>
      <w:r>
        <w:t>Schwartz, Susser e Susser (4) organizam essa transição em uma sucessão de paradigmas:</w:t>
      </w:r>
    </w:p>
    <w:p w14:paraId="732F2435" w14:textId="77777777" w:rsidR="00C34FD2" w:rsidRDefault="00000000">
      <w:pPr>
        <w:pStyle w:val="Compact"/>
        <w:numPr>
          <w:ilvl w:val="0"/>
          <w:numId w:val="4"/>
        </w:numPr>
      </w:pPr>
      <w:r>
        <w:t>Estatística sanitária do século XIX (sem teoria de mecanismo), era bacteriológica fundada nos postulados de Henle-Koch (causalidade determinística pareada com mecanismo identificado),</w:t>
      </w:r>
    </w:p>
    <w:p w14:paraId="728CF02C" w14:textId="77777777" w:rsidR="00C34FD2" w:rsidRDefault="00000000">
      <w:pPr>
        <w:pStyle w:val="Compact"/>
        <w:numPr>
          <w:ilvl w:val="0"/>
          <w:numId w:val="4"/>
        </w:numPr>
      </w:pPr>
      <w:r>
        <w:t>Epidemiologia das doenças crônicas estruturada em torno do conceito de fator de risco probabilístico</w:t>
      </w:r>
    </w:p>
    <w:p w14:paraId="23E6CFFB" w14:textId="77777777" w:rsidR="00C34FD2" w:rsidRDefault="00000000">
      <w:pPr>
        <w:pStyle w:val="Compact"/>
        <w:numPr>
          <w:ilvl w:val="0"/>
          <w:numId w:val="4"/>
        </w:numPr>
      </w:pPr>
      <w:r>
        <w:t>Propostas contemporâneas de pensar causa em múltiplos níveis (gene, indivíduo, comunidade, contexto histórico).</w:t>
      </w:r>
    </w:p>
    <w:p w14:paraId="68C59DBB" w14:textId="77777777" w:rsidR="00C34FD2" w:rsidRDefault="00000000">
      <w:pPr>
        <w:pStyle w:val="FirstParagraph"/>
      </w:pPr>
      <w:r>
        <w:t>Cada paradigma redefine o que conta como causa e arrasta consigo intuições do anterior.</w:t>
      </w:r>
    </w:p>
    <w:p w14:paraId="00410F11" w14:textId="77777777" w:rsidR="00C34FD2" w:rsidRDefault="00000000">
      <w:pPr>
        <w:pStyle w:val="Ttulo2"/>
      </w:pPr>
      <w:bookmarkStart w:id="19" w:name="Xcb74f42e772c8cded728eac0b4fa8bd30d2a7e0"/>
      <w:bookmarkStart w:id="20" w:name="_Toc229219544"/>
      <w:r>
        <w:lastRenderedPageBreak/>
        <w:t>2.1 O Surgeon General Report e a palestra de Hill</w:t>
      </w:r>
      <w:bookmarkEnd w:id="20"/>
    </w:p>
    <w:tbl>
      <w:tblPr>
        <w:tblStyle w:val="Table"/>
        <w:tblW w:w="5000" w:type="pct"/>
        <w:tblLayout w:type="fixed"/>
        <w:tblLook w:val="0000" w:firstRow="0" w:lastRow="0" w:firstColumn="0" w:lastColumn="0" w:noHBand="0" w:noVBand="0"/>
      </w:tblPr>
      <w:tblGrid>
        <w:gridCol w:w="9054"/>
      </w:tblGrid>
      <w:tr w:rsidR="00C34FD2" w14:paraId="45D29D78" w14:textId="77777777">
        <w:tc>
          <w:tcPr>
            <w:tcW w:w="7920" w:type="dxa"/>
          </w:tcPr>
          <w:p w14:paraId="5AEBA384" w14:textId="77777777" w:rsidR="00C34FD2" w:rsidRDefault="00000000" w:rsidP="00274C70">
            <w:pPr>
              <w:pStyle w:val="Compact"/>
            </w:pPr>
            <w:bookmarkStart w:id="21" w:name="fig-hill"/>
            <w:r>
              <w:rPr>
                <w:noProof/>
              </w:rPr>
              <w:drawing>
                <wp:inline distT="0" distB="0" distL="0" distR="0" wp14:anchorId="6343A8DD" wp14:editId="09A38B39">
                  <wp:extent cx="2349500" cy="34417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Bradford-Hill.jpg"/>
                          <pic:cNvPicPr>
                            <a:picLocks noChangeAspect="1" noChangeArrowheads="1"/>
                          </pic:cNvPicPr>
                        </pic:nvPicPr>
                        <pic:blipFill>
                          <a:blip r:embed="rId9"/>
                          <a:stretch>
                            <a:fillRect/>
                          </a:stretch>
                        </pic:blipFill>
                        <pic:spPr bwMode="auto">
                          <a:xfrm>
                            <a:off x="0" y="0"/>
                            <a:ext cx="2349500" cy="3441700"/>
                          </a:xfrm>
                          <a:prstGeom prst="rect">
                            <a:avLst/>
                          </a:prstGeom>
                          <a:noFill/>
                          <a:ln w="9525">
                            <a:noFill/>
                            <a:headEnd/>
                            <a:tailEnd/>
                          </a:ln>
                        </pic:spPr>
                      </pic:pic>
                    </a:graphicData>
                  </a:graphic>
                </wp:inline>
              </w:drawing>
            </w:r>
          </w:p>
          <w:p w14:paraId="1CECDC78" w14:textId="77777777" w:rsidR="00C34FD2" w:rsidRDefault="00000000">
            <w:pPr>
              <w:pStyle w:val="ImageCaption"/>
              <w:spacing w:before="200"/>
            </w:pPr>
            <w:r>
              <w:t>Figura 4: Bradford Hill</w:t>
            </w:r>
          </w:p>
        </w:tc>
        <w:bookmarkEnd w:id="21"/>
      </w:tr>
    </w:tbl>
    <w:p w14:paraId="3BEFCF13" w14:textId="77777777" w:rsidR="00C34FD2" w:rsidRDefault="00000000">
      <w:pPr>
        <w:pStyle w:val="Corpodetexto"/>
      </w:pPr>
      <w:r>
        <w:t xml:space="preserve">Em janeiro de 1964, o relatório do U.S. Surgeon General — </w:t>
      </w:r>
      <w:r>
        <w:rPr>
          <w:i/>
          <w:iCs/>
        </w:rPr>
        <w:t>Smoking and Health: Report of the Advisory Committee to the Surgeon General of the Public Health Service</w:t>
      </w:r>
      <w:r>
        <w:t xml:space="preserve"> (5) — apresenta o primeiro pronunciamento oficial federal afirmando que tabagismo é causa de câncer de pulmão. O documento se sustenta em literatura observacional e laboratorial; nenhum ensaio clínico randomizado existia ou poderia ser conduzido. A conclusão sofreu objeções metodológicas respeitáveis, a mais conhecida sustentando que confundimento por traços genéticos comuns à propensão a fumar e a desenvolver câncer poderia explicar a associação observada. A objeção era logicamente válida e exigia resposta sistemática.</w:t>
      </w:r>
    </w:p>
    <w:p w14:paraId="79E7D481" w14:textId="77777777" w:rsidR="00C34FD2" w:rsidRDefault="00000000">
      <w:pPr>
        <w:pStyle w:val="Corpodetexto"/>
      </w:pPr>
      <w:r>
        <w:t xml:space="preserve">Em 1965, Austin Bradford Hill profere palestra na Royal Society of Medicine, intitulada “The Environment and Disease: Association or Causation?” (6). Hill participara, nas décadas anteriores, de investigações empíricas centrais sobre a relação tabaco-câncer; a palestra codifica princípios que vinham orientando essa prática. O texto é breve, escrito em prosa direta, e estabelece um vocabulário que persiste até hoje. Hill apresenta nove pontos de vista — </w:t>
      </w:r>
      <w:r>
        <w:rPr>
          <w:i/>
          <w:iCs/>
        </w:rPr>
        <w:t>viewpoints</w:t>
      </w:r>
      <w:r>
        <w:t>, em seu próprio termo — para auxiliar a decisão sobre se uma associação observacional reflete relação causal. Não os apresenta como critérios a serem somados.</w:t>
      </w:r>
    </w:p>
    <w:p w14:paraId="4DD05971" w14:textId="77777777" w:rsidR="00C34FD2" w:rsidRDefault="00000000">
      <w:pPr>
        <w:pStyle w:val="Ttulo2"/>
      </w:pPr>
      <w:bookmarkStart w:id="22" w:name="os-nove-pontos-de-vista"/>
      <w:bookmarkStart w:id="23" w:name="_Toc229219545"/>
      <w:bookmarkEnd w:id="19"/>
      <w:r>
        <w:lastRenderedPageBreak/>
        <w:t>2.2 Os nove pontos de vista</w:t>
      </w:r>
      <w:bookmarkEnd w:id="23"/>
    </w:p>
    <w:p w14:paraId="4D041233" w14:textId="77777777" w:rsidR="00C34FD2" w:rsidRDefault="00000000">
      <w:pPr>
        <w:pStyle w:val="FirstParagraph"/>
      </w:pPr>
      <w:r>
        <w:t>A advertência inicial de Hill é explícita: nenhum dos nove é, isoladamente, condição suficiente para inferir causa, e apenas a temporalidade é estritamente necessária. Os pontos auxiliam o exame da evidência; nenhum o resolve.</w:t>
      </w:r>
    </w:p>
    <w:p w14:paraId="303B19AD" w14:textId="77777777" w:rsidR="00C34FD2" w:rsidRDefault="00000000">
      <w:pPr>
        <w:pStyle w:val="Corpodetexto"/>
      </w:pPr>
      <w:r>
        <w:rPr>
          <w:b/>
          <w:bCs/>
        </w:rPr>
        <w:t>1. Força.</w:t>
      </w:r>
      <w:r>
        <w:t xml:space="preserve"> Magnitude do efeito. Hill argumenta que associações fortes são mais difíceis de atribuir a vieses ou confundimento residual, e ilustra com a razão de mortalidade por câncer de pulmão entre fumantes pesados e não-fumantes — da ordem de vinte para um. Adverte, porém, que efeitos pequenos podem ser causais.</w:t>
      </w:r>
    </w:p>
    <w:p w14:paraId="6654D1F2" w14:textId="77777777" w:rsidR="00C34FD2" w:rsidRDefault="00000000">
      <w:pPr>
        <w:pStyle w:val="Corpodetexto"/>
      </w:pPr>
      <w:r>
        <w:rPr>
          <w:b/>
          <w:bCs/>
        </w:rPr>
        <w:t>2. Consistência.</w:t>
      </w:r>
      <w:r>
        <w:t xml:space="preserve"> A associação reaparece entre populações, observadores, desenhos de estudo e contextos diferentes. Replicação reduz a probabilidade de o achado ser artefato de uma amostra ou método particular.</w:t>
      </w:r>
    </w:p>
    <w:p w14:paraId="5F07116C" w14:textId="77777777" w:rsidR="00C34FD2" w:rsidRDefault="00000000">
      <w:pPr>
        <w:pStyle w:val="Corpodetexto"/>
      </w:pPr>
      <w:r>
        <w:rPr>
          <w:b/>
          <w:bCs/>
        </w:rPr>
        <w:t>3. Especificidade.</w:t>
      </w:r>
      <w:r>
        <w:t xml:space="preserve"> Uma causa produz um efeito específico, não múltiplos. Hill apresenta o ponto com reservas: muitas associações causais reais não satisfazem especificidade — o tabaco causa câncer de pulmão, doença cardiovascular, DPOC e outros cânceres.</w:t>
      </w:r>
    </w:p>
    <w:p w14:paraId="2D343447" w14:textId="77777777" w:rsidR="00C34FD2" w:rsidRDefault="00000000">
      <w:pPr>
        <w:pStyle w:val="Corpodetexto"/>
      </w:pPr>
      <w:r>
        <w:rPr>
          <w:b/>
          <w:bCs/>
        </w:rPr>
        <w:t>4. Temporalidade.</w:t>
      </w:r>
      <w:r>
        <w:t xml:space="preserve"> A causa precede o efeito. Para Hill, é a única condição com status especial: sem temporalidade, a inferência causal sequer pode ser formulada.</w:t>
      </w:r>
    </w:p>
    <w:p w14:paraId="46C64BAE" w14:textId="77777777" w:rsidR="00C34FD2" w:rsidRDefault="00000000">
      <w:pPr>
        <w:pStyle w:val="Corpodetexto"/>
      </w:pPr>
      <w:r>
        <w:rPr>
          <w:b/>
          <w:bCs/>
        </w:rPr>
        <w:t>5. Gradiente biológico.</w:t>
      </w:r>
      <w:r>
        <w:t xml:space="preserve"> Relação dose-resposta. Aumenta a plausibilidade da interpretação causal — quanto mais exposição, mais desfecho.</w:t>
      </w:r>
    </w:p>
    <w:p w14:paraId="40521B6B" w14:textId="77777777" w:rsidR="00C34FD2" w:rsidRDefault="00000000">
      <w:pPr>
        <w:pStyle w:val="Corpodetexto"/>
      </w:pPr>
      <w:r>
        <w:rPr>
          <w:b/>
          <w:bCs/>
        </w:rPr>
        <w:t>6. Plausibilidade.</w:t>
      </w:r>
      <w:r>
        <w:t xml:space="preserve"> Compatibilidade com o conhecimento biológico ou mecanístico do período. Hill alerta que plausibilidade é contingente: o que parece implausível agora pode tornar-se plausível com nova evidência mecanística, e vice-versa.</w:t>
      </w:r>
    </w:p>
    <w:p w14:paraId="28F29D1B" w14:textId="77777777" w:rsidR="00C34FD2" w:rsidRDefault="00000000">
      <w:pPr>
        <w:pStyle w:val="Corpodetexto"/>
      </w:pPr>
      <w:r>
        <w:rPr>
          <w:b/>
          <w:bCs/>
        </w:rPr>
        <w:t>7. Coerência.</w:t>
      </w:r>
      <w:r>
        <w:t xml:space="preserve"> A interpretação causal não conflita com o conhecimento estabelecido sobre a história natural e a biologia da doença. Próximo de plausibilidade, mas operando no plano descritivo (compatibilidade entre fatos) em vez do plano explicativo (mecanismo).</w:t>
      </w:r>
    </w:p>
    <w:p w14:paraId="7E81E85A" w14:textId="77777777" w:rsidR="00C34FD2" w:rsidRDefault="00000000">
      <w:pPr>
        <w:pStyle w:val="Corpodetexto"/>
      </w:pPr>
      <w:r>
        <w:rPr>
          <w:b/>
          <w:bCs/>
        </w:rPr>
        <w:t>8. Evidência experimental.</w:t>
      </w:r>
      <w:r>
        <w:t xml:space="preserve"> Manipular a exposição e observar mudança correspondente no desfecho. Para Hill, o argumento mais forte. Em saúde pública, intervenções controladas são frequentemente impossíveis por motivos éticos ou logísticos; quase-experimentos cumprem parte do papel.</w:t>
      </w:r>
    </w:p>
    <w:p w14:paraId="58BBB2D7" w14:textId="77777777" w:rsidR="00C34FD2" w:rsidRDefault="00000000">
      <w:pPr>
        <w:pStyle w:val="Corpodetexto"/>
      </w:pPr>
      <w:r>
        <w:rPr>
          <w:b/>
          <w:bCs/>
        </w:rPr>
        <w:t>9. Analogia.</w:t>
      </w:r>
      <w:r>
        <w:t xml:space="preserve"> Paralelo com situação causal já estabelecida. Hill apresenta este ponto como o mais fraco — analogia justifica suspeita, raramente sustenta inferência.</w:t>
      </w:r>
    </w:p>
    <w:p w14:paraId="33C8BC65" w14:textId="77777777" w:rsidR="00C34FD2" w:rsidRDefault="00000000">
      <w:pPr>
        <w:pStyle w:val="Corpodetexto"/>
      </w:pPr>
      <w:r>
        <w:t>A conclusão da palestra retoma a advertência inicial: a tarefa do epidemiologista não é provar causalidade no sentido dedutivo, e sim avaliar se a explicação causal é mais provável que as alternativas concorrentes — acaso, viés, confundimento, causalidade reversa. Os nove pontos auxiliam essa avaliação; nenhum a resolve.</w:t>
      </w:r>
    </w:p>
    <w:p w14:paraId="36F043D0" w14:textId="77777777" w:rsidR="00C34FD2" w:rsidRDefault="00000000">
      <w:pPr>
        <w:pStyle w:val="Ttulo2"/>
      </w:pPr>
      <w:bookmarkStart w:id="24" w:name="rothman-e-a-causa-suficiente"/>
      <w:bookmarkStart w:id="25" w:name="_Toc229219546"/>
      <w:bookmarkEnd w:id="22"/>
      <w:r>
        <w:lastRenderedPageBreak/>
        <w:t>2.3 Rothman e a causa suficiente</w:t>
      </w:r>
      <w:bookmarkEnd w:id="25"/>
    </w:p>
    <w:tbl>
      <w:tblPr>
        <w:tblStyle w:val="Table"/>
        <w:tblW w:w="5000" w:type="pct"/>
        <w:tblLayout w:type="fixed"/>
        <w:tblLook w:val="0000" w:firstRow="0" w:lastRow="0" w:firstColumn="0" w:lastColumn="0" w:noHBand="0" w:noVBand="0"/>
      </w:tblPr>
      <w:tblGrid>
        <w:gridCol w:w="9054"/>
      </w:tblGrid>
      <w:tr w:rsidR="00C34FD2" w14:paraId="79D9297B" w14:textId="77777777">
        <w:tc>
          <w:tcPr>
            <w:tcW w:w="7920" w:type="dxa"/>
          </w:tcPr>
          <w:p w14:paraId="3A66433A" w14:textId="77777777" w:rsidR="00C34FD2" w:rsidRDefault="00000000">
            <w:pPr>
              <w:pStyle w:val="Compact"/>
              <w:jc w:val="center"/>
            </w:pPr>
            <w:bookmarkStart w:id="26" w:name="fig-rothman-paper"/>
            <w:r>
              <w:rPr>
                <w:noProof/>
              </w:rPr>
              <w:drawing>
                <wp:inline distT="0" distB="0" distL="0" distR="0" wp14:anchorId="0A25CD01" wp14:editId="67366438">
                  <wp:extent cx="5334000" cy="251281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images/Kenneth-rothman.png"/>
                          <pic:cNvPicPr>
                            <a:picLocks noChangeAspect="1" noChangeArrowheads="1"/>
                          </pic:cNvPicPr>
                        </pic:nvPicPr>
                        <pic:blipFill>
                          <a:blip r:embed="rId10"/>
                          <a:stretch>
                            <a:fillRect/>
                          </a:stretch>
                        </pic:blipFill>
                        <pic:spPr bwMode="auto">
                          <a:xfrm>
                            <a:off x="0" y="0"/>
                            <a:ext cx="5334000" cy="2512819"/>
                          </a:xfrm>
                          <a:prstGeom prst="rect">
                            <a:avLst/>
                          </a:prstGeom>
                          <a:noFill/>
                          <a:ln w="9525">
                            <a:noFill/>
                            <a:headEnd/>
                            <a:tailEnd/>
                          </a:ln>
                        </pic:spPr>
                      </pic:pic>
                    </a:graphicData>
                  </a:graphic>
                </wp:inline>
              </w:drawing>
            </w:r>
          </w:p>
          <w:p w14:paraId="002DD88C" w14:textId="77777777" w:rsidR="00C34FD2" w:rsidRDefault="00000000">
            <w:pPr>
              <w:pStyle w:val="ImageCaption"/>
              <w:spacing w:before="200"/>
            </w:pPr>
            <w:r>
              <w:t>Figura 5: Capa do artigo de Kenenth Rothman (1976).</w:t>
            </w:r>
          </w:p>
        </w:tc>
        <w:bookmarkEnd w:id="26"/>
      </w:tr>
    </w:tbl>
    <w:p w14:paraId="1B193D7D" w14:textId="77777777" w:rsidR="00C34FD2" w:rsidRDefault="00000000">
      <w:pPr>
        <w:pStyle w:val="Corpodetexto"/>
      </w:pPr>
      <w:r>
        <w:t xml:space="preserve">Onze anos depois, em texto curto publicado no </w:t>
      </w:r>
      <w:r>
        <w:rPr>
          <w:i/>
          <w:iCs/>
        </w:rPr>
        <w:t>American Journal of Epidemiology</w:t>
      </w:r>
      <w:r>
        <w:t xml:space="preserve"> (7), Kenneth Rothman propõe modelo formal que organiza a noção multifatorial de causa: o </w:t>
      </w:r>
      <w:r>
        <w:rPr>
          <w:b/>
          <w:bCs/>
        </w:rPr>
        <w:t>modelo de causa suficiente</w:t>
      </w:r>
      <w:r>
        <w:t xml:space="preserve"> (</w:t>
      </w:r>
      <w:r>
        <w:rPr>
          <w:i/>
          <w:iCs/>
        </w:rPr>
        <w:t>sufficient component cause model</w:t>
      </w:r>
      <w:r>
        <w:t xml:space="preserve">), também conhecido como modelo dos </w:t>
      </w:r>
      <w:r>
        <w:rPr>
          <w:i/>
          <w:iCs/>
        </w:rPr>
        <w:t>causal pies</w:t>
      </w:r>
      <w:r>
        <w:t>.</w:t>
      </w:r>
    </w:p>
    <w:tbl>
      <w:tblPr>
        <w:tblStyle w:val="Table"/>
        <w:tblW w:w="5000" w:type="pct"/>
        <w:tblLayout w:type="fixed"/>
        <w:tblLook w:val="0000" w:firstRow="0" w:lastRow="0" w:firstColumn="0" w:lastColumn="0" w:noHBand="0" w:noVBand="0"/>
      </w:tblPr>
      <w:tblGrid>
        <w:gridCol w:w="9054"/>
      </w:tblGrid>
      <w:tr w:rsidR="00C34FD2" w14:paraId="49FBF56A" w14:textId="77777777">
        <w:tc>
          <w:tcPr>
            <w:tcW w:w="7920" w:type="dxa"/>
          </w:tcPr>
          <w:p w14:paraId="32589231" w14:textId="77777777" w:rsidR="00C34FD2" w:rsidRDefault="00000000">
            <w:pPr>
              <w:pStyle w:val="Compact"/>
              <w:jc w:val="center"/>
            </w:pPr>
            <w:bookmarkStart w:id="27" w:name="fig-rothman-pies"/>
            <w:r>
              <w:rPr>
                <w:noProof/>
              </w:rPr>
              <w:drawing>
                <wp:inline distT="0" distB="0" distL="0" distR="0" wp14:anchorId="2CAFB5C6" wp14:editId="6BDD4950">
                  <wp:extent cx="5334000" cy="2252133"/>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images/rothman-causal-pies.svg"/>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5334000" cy="2252133"/>
                          </a:xfrm>
                          <a:prstGeom prst="rect">
                            <a:avLst/>
                          </a:prstGeom>
                          <a:noFill/>
                          <a:ln w="9525">
                            <a:noFill/>
                            <a:headEnd/>
                            <a:tailEnd/>
                          </a:ln>
                        </pic:spPr>
                      </pic:pic>
                    </a:graphicData>
                  </a:graphic>
                </wp:inline>
              </w:drawing>
            </w:r>
          </w:p>
          <w:p w14:paraId="0AED3AF8" w14:textId="77777777" w:rsidR="00C34FD2" w:rsidRDefault="00000000">
            <w:pPr>
              <w:pStyle w:val="ImageCaption"/>
              <w:spacing w:before="200"/>
            </w:pPr>
            <w:r>
              <w:t>Figura 6: Modelo de causa suficiente: três combinações de fatores (I, II, III) capazes de produzir a doença. O componente A, presente nas três combinações, é a causa necessária — sem ela, nenhuma combinação resulta em doença.</w:t>
            </w:r>
          </w:p>
        </w:tc>
        <w:bookmarkEnd w:id="27"/>
      </w:tr>
    </w:tbl>
    <w:p w14:paraId="6202BB9F" w14:textId="77777777" w:rsidR="00C34FD2" w:rsidRDefault="00000000">
      <w:pPr>
        <w:pStyle w:val="Corpodetexto"/>
      </w:pPr>
      <w:r>
        <w:t>Três definições estruturam o modelo.</w:t>
      </w:r>
    </w:p>
    <w:p w14:paraId="1DE4B3FB" w14:textId="77777777" w:rsidR="00C34FD2" w:rsidRDefault="00000000">
      <w:pPr>
        <w:pStyle w:val="Corpodetexto"/>
      </w:pPr>
      <w:r>
        <w:rPr>
          <w:b/>
          <w:bCs/>
        </w:rPr>
        <w:t>Causa necessária</w:t>
      </w:r>
      <w:r>
        <w:t xml:space="preserve"> é um componente que aparece em todas as causas suficientes para o desfecho. Sem ela, a doença não ocorre, qualquer que seja a combinação dos demais fatores. O exemplo canônico é o HPV em câncer de colo uterino.</w:t>
      </w:r>
    </w:p>
    <w:p w14:paraId="69D96944" w14:textId="77777777" w:rsidR="00C34FD2" w:rsidRDefault="00000000">
      <w:pPr>
        <w:pStyle w:val="Corpodetexto"/>
      </w:pPr>
      <w:r>
        <w:rPr>
          <w:b/>
          <w:bCs/>
        </w:rPr>
        <w:lastRenderedPageBreak/>
        <w:t>Causa suficiente</w:t>
      </w:r>
      <w:r>
        <w:t xml:space="preserve"> é um conjunto de fatores que, quando todos presentes simultaneamente, produzem o desfecho de modo invariável. Cada conjunto pode ser representado como uma “torta causal” — daí o apelido informal.</w:t>
      </w:r>
    </w:p>
    <w:p w14:paraId="54A841AD" w14:textId="77777777" w:rsidR="00C34FD2" w:rsidRDefault="00000000">
      <w:pPr>
        <w:pStyle w:val="Corpodetexto"/>
      </w:pPr>
      <w:r>
        <w:rPr>
          <w:b/>
          <w:bCs/>
        </w:rPr>
        <w:t>Componente</w:t>
      </w:r>
      <w:r>
        <w:t xml:space="preserve"> é cada fator dentro de uma causa suficiente. A torta inteira produz a doença; o componente isolado, em geral, não.</w:t>
      </w:r>
    </w:p>
    <w:p w14:paraId="55EC59DF" w14:textId="77777777" w:rsidR="00C34FD2" w:rsidRDefault="00000000">
      <w:pPr>
        <w:pStyle w:val="Corpodetexto"/>
      </w:pPr>
      <w:r>
        <w:t>A doença pode ter múltiplas causas suficientes (várias tortas distintas, cada qual capaz de produzir o desfecho); um mesmo fator pode aparecer como componente de uma, de várias, ou de todas as causas suficientes (caso da causa necessária).</w:t>
      </w:r>
    </w:p>
    <w:p w14:paraId="6740998D" w14:textId="77777777" w:rsidR="00C34FD2" w:rsidRDefault="00000000">
      <w:pPr>
        <w:pStyle w:val="Corpodetexto"/>
      </w:pPr>
      <w:r>
        <w:t>A implicação imediata, que reorganiza silenciosamente a interpretação de Hill, é a seguinte: a “força” de uma associação não é propriedade intrínseca da causa. Depende da prevalência dos demais componentes na população estudada. Em uma população onde os outros componentes da torta são raros, o efeito do componente em questão será forte; onde são comuns, será fraco. A mesma relação biológica pode produzir associações epidemiológicas de magnitudes distintas em populações distintas — não por ser mais ou menos causal, mas por interagir com a distribuição populacional dos cofatores. Suzuki e Yamamoto (8) elaboram formalmente essa relação entre força de associação e composição populacional, mostrando como o modelo de causa suficiente articula o que estava implícito em Hill.</w:t>
      </w:r>
    </w:p>
    <w:p w14:paraId="344F9263" w14:textId="77777777" w:rsidR="00C34FD2" w:rsidRDefault="00000000">
      <w:pPr>
        <w:pStyle w:val="Ttulo3"/>
      </w:pPr>
      <w:bookmarkStart w:id="28" w:name="sinergia-e-modificação-de-efeito"/>
      <w:bookmarkStart w:id="29" w:name="_Toc229219547"/>
      <w:r>
        <w:t>2.3.1 Sinergia e modificação de efeito</w:t>
      </w:r>
      <w:bookmarkEnd w:id="29"/>
    </w:p>
    <w:p w14:paraId="6BAFA379" w14:textId="77777777" w:rsidR="00C34FD2" w:rsidRDefault="00000000">
      <w:pPr>
        <w:pStyle w:val="FirstParagraph"/>
      </w:pPr>
      <w:r>
        <w:t xml:space="preserve">Dois componentes são </w:t>
      </w:r>
      <w:r>
        <w:rPr>
          <w:b/>
          <w:bCs/>
        </w:rPr>
        <w:t>sinérgicos</w:t>
      </w:r>
      <w:r>
        <w:t xml:space="preserve"> quando aparecem juntos em uma mesma causa suficiente. Na linguagem de Rothman, sinergia equivale ao que outras tradições epidemiológicas chamam de </w:t>
      </w:r>
      <w:r>
        <w:rPr>
          <w:b/>
          <w:bCs/>
        </w:rPr>
        <w:t>modificação de efeito</w:t>
      </w:r>
      <w:r>
        <w:t xml:space="preserve"> ou </w:t>
      </w:r>
      <w:r>
        <w:rPr>
          <w:b/>
          <w:bCs/>
        </w:rPr>
        <w:t>interação positiva</w:t>
      </w:r>
      <w:r>
        <w:t>: dois fatores que, juntos, produzem um efeito maior do que a soma dos efeitos isolados de cada um.</w:t>
      </w:r>
    </w:p>
    <w:p w14:paraId="4C1F4C0C" w14:textId="77777777" w:rsidR="00C34FD2" w:rsidRDefault="00000000">
      <w:pPr>
        <w:pStyle w:val="Corpodetexto"/>
      </w:pPr>
      <w:r>
        <w:t>Considere dois componentes B e F. Três configurações possíveis das causas suficientes que os contêm.</w:t>
      </w:r>
    </w:p>
    <w:p w14:paraId="67B54232" w14:textId="77777777" w:rsidR="00C34FD2" w:rsidRDefault="00000000">
      <w:pPr>
        <w:pStyle w:val="Corpodetexto"/>
      </w:pPr>
      <w:r>
        <w:rPr>
          <w:b/>
          <w:bCs/>
        </w:rPr>
        <w:t>(a) Independência.</w:t>
      </w:r>
      <w:r>
        <w:t xml:space="preserve"> B e F nunca aparecem juntos. Cada um contribui para a doença através de uma causa suficiente diferente. A presença simultânea dos dois produz apenas a soma dos efeitos isolados — não há ganho adicional pela combinação.</w:t>
      </w:r>
    </w:p>
    <w:p w14:paraId="2FB97033" w14:textId="77777777" w:rsidR="00C34FD2" w:rsidRDefault="00000000">
      <w:pPr>
        <w:pStyle w:val="Corpodetexto"/>
      </w:pPr>
      <w:r>
        <w:rPr>
          <w:b/>
          <w:bCs/>
        </w:rPr>
        <w:t>(b) Sinergia incompleta.</w:t>
      </w:r>
      <w:r>
        <w:t xml:space="preserve"> B e F aparecem juntos em uma causa suficiente, e cada um também aparece — sozinho, com outros componentes — em outras causas suficientes. Cada fator tem efeito independente, e o efeito combinado excede a soma. Exemplo clínico: álcool e tabaco em câncer de boca e faringe. Cada fator isolado eleva o risco; juntos, o risco excede a soma das contribuições isoladas.</w:t>
      </w:r>
    </w:p>
    <w:p w14:paraId="78122DEA" w14:textId="77777777" w:rsidR="00C34FD2" w:rsidRDefault="00000000">
      <w:pPr>
        <w:pStyle w:val="Corpodetexto"/>
      </w:pPr>
      <w:r>
        <w:rPr>
          <w:b/>
          <w:bCs/>
        </w:rPr>
        <w:t>(c) Sinergia completa.</w:t>
      </w:r>
      <w:r>
        <w:t xml:space="preserve"> B e F só atuam quando juntos. Nenhum dos dois aparece em qualquer outra causa suficiente. Sem o outro, nenhum tem efeito. Exemplo: gene da fenilcetonúria (PKU) e fenilalanina na dieta. A doença só ocorre quando o indivíduo </w:t>
      </w:r>
      <w:r>
        <w:lastRenderedPageBreak/>
        <w:t xml:space="preserve">tem o gene </w:t>
      </w:r>
      <w:r>
        <w:rPr>
          <w:b/>
          <w:bCs/>
        </w:rPr>
        <w:t>e</w:t>
      </w:r>
      <w:r>
        <w:t xml:space="preserve"> consome fenilalanina; nenhum dos dois fatores produz a doença sozinho.</w:t>
      </w:r>
    </w:p>
    <w:tbl>
      <w:tblPr>
        <w:tblStyle w:val="Table"/>
        <w:tblW w:w="5000" w:type="pct"/>
        <w:tblLayout w:type="fixed"/>
        <w:tblLook w:val="0000" w:firstRow="0" w:lastRow="0" w:firstColumn="0" w:lastColumn="0" w:noHBand="0" w:noVBand="0"/>
      </w:tblPr>
      <w:tblGrid>
        <w:gridCol w:w="9054"/>
      </w:tblGrid>
      <w:tr w:rsidR="00C34FD2" w14:paraId="6E71B24B" w14:textId="77777777">
        <w:tc>
          <w:tcPr>
            <w:tcW w:w="7920" w:type="dxa"/>
          </w:tcPr>
          <w:p w14:paraId="6C785E98" w14:textId="77777777" w:rsidR="00C34FD2" w:rsidRDefault="00000000">
            <w:pPr>
              <w:pStyle w:val="Compact"/>
              <w:jc w:val="center"/>
            </w:pPr>
            <w:bookmarkStart w:id="30" w:name="fig-sinergia"/>
            <w:r>
              <w:rPr>
                <w:noProof/>
              </w:rPr>
              <w:drawing>
                <wp:inline distT="0" distB="0" distL="0" distR="0" wp14:anchorId="235280D8" wp14:editId="2F259ED5">
                  <wp:extent cx="5334000" cy="226695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images/sinergia-tipos.svg"/>
                          <pic:cNvPicPr>
                            <a:picLocks noChangeAspect="1" noChangeArrowheads="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bwMode="auto">
                          <a:xfrm>
                            <a:off x="0" y="0"/>
                            <a:ext cx="5334000" cy="2266950"/>
                          </a:xfrm>
                          <a:prstGeom prst="rect">
                            <a:avLst/>
                          </a:prstGeom>
                          <a:noFill/>
                          <a:ln w="9525">
                            <a:noFill/>
                            <a:headEnd/>
                            <a:tailEnd/>
                          </a:ln>
                        </pic:spPr>
                      </pic:pic>
                    </a:graphicData>
                  </a:graphic>
                </wp:inline>
              </w:drawing>
            </w:r>
          </w:p>
          <w:p w14:paraId="60D1DF55" w14:textId="77777777" w:rsidR="00C34FD2" w:rsidRDefault="00000000">
            <w:pPr>
              <w:pStyle w:val="ImageCaption"/>
              <w:spacing w:before="200"/>
            </w:pPr>
            <w:r>
              <w:t>Figura 7: Três configurações de relação entre componentes B (em teal) e F (em violeta) na arcabouço da causa suficiente: independência, sinergia incompleta, sinergia completa.</w:t>
            </w:r>
          </w:p>
        </w:tc>
        <w:bookmarkEnd w:id="30"/>
      </w:tr>
    </w:tbl>
    <w:p w14:paraId="1AD1CF19" w14:textId="77777777" w:rsidR="00C34FD2" w:rsidRDefault="00000000">
      <w:pPr>
        <w:pStyle w:val="Corpodetexto"/>
      </w:pPr>
      <w:r>
        <w:t xml:space="preserve">Causas necessárias têm relação particular com a sinergia: por construção, são </w:t>
      </w:r>
      <w:r>
        <w:rPr>
          <w:b/>
          <w:bCs/>
        </w:rPr>
        <w:t>parcialmente sinérgicas com todas as outras causas</w:t>
      </w:r>
      <w:r>
        <w:t xml:space="preserve"> do mesmo desfecho. Como uma causa necessária é membro de toda causa suficiente, ela atua sempre em combinação com outros componentes. HPV, em câncer de colo uterino, é parcialmente sinérgico com cada outro componente de cada causa suficiente para esse câncer.</w:t>
      </w:r>
    </w:p>
    <w:p w14:paraId="7E02C27A" w14:textId="77777777" w:rsidR="00C34FD2" w:rsidRDefault="00000000">
      <w:pPr>
        <w:pStyle w:val="Corpodetexto"/>
      </w:pPr>
      <w:r>
        <w:t>A sinergia, como a força de associação, depende da composição da população. Em uma população onde os componentes que tornariam B e F separadamente eficazes estão ausentes, a sinergia entre eles aparece como completa. Em outra população onde esses componentes são frequentes, a mesma relação biológica aparece como incompleta. O conceito descreve um padrão observado, não uma estrutura biológica fixa.</w:t>
      </w:r>
    </w:p>
    <w:p w14:paraId="4AEBBEB3" w14:textId="77777777" w:rsidR="00C34FD2" w:rsidRDefault="00000000">
      <w:pPr>
        <w:pStyle w:val="Ttulo3"/>
      </w:pPr>
      <w:bookmarkStart w:id="31" w:name="fração-etiológica"/>
      <w:bookmarkStart w:id="32" w:name="_Toc229219548"/>
      <w:bookmarkEnd w:id="28"/>
      <w:r>
        <w:t>2.3.2 Fração etiológica</w:t>
      </w:r>
      <w:bookmarkEnd w:id="32"/>
    </w:p>
    <w:p w14:paraId="50FFC6F2" w14:textId="77777777" w:rsidR="00C34FD2" w:rsidRDefault="00000000">
      <w:pPr>
        <w:pStyle w:val="FirstParagraph"/>
      </w:pPr>
      <w:r>
        <w:t>A fração etiológica de um componente é a parcela de casos da doença atribuível às causas suficientes que o contêm. A soma dessas frações pode exceder 100%, porque cada caso é atribuído a cada componente da causa suficiente que o produziu — em câncer de boca, álcool e tabaco têm cada um fração etiológica acima de 50% (7).</w:t>
      </w:r>
    </w:p>
    <w:p w14:paraId="7F801DA8" w14:textId="77777777" w:rsidR="00C34FD2" w:rsidRDefault="00000000">
      <w:pPr>
        <w:pStyle w:val="Corpodetexto"/>
      </w:pPr>
      <w:r>
        <w:t>Implicação prática: bloquear um único componente elimina todos os casos da causa suficiente que o contém.</w:t>
      </w:r>
    </w:p>
    <w:p w14:paraId="70FEBDE0" w14:textId="77777777" w:rsidR="00C34FD2" w:rsidRDefault="00000000">
      <w:pPr>
        <w:pStyle w:val="Ttulo2"/>
      </w:pPr>
      <w:bookmarkStart w:id="33" w:name="síntese-1"/>
      <w:bookmarkStart w:id="34" w:name="_Toc229219549"/>
      <w:bookmarkEnd w:id="24"/>
      <w:bookmarkEnd w:id="31"/>
      <w:r>
        <w:lastRenderedPageBreak/>
        <w:t>2.4 Síntese</w:t>
      </w:r>
      <w:bookmarkEnd w:id="34"/>
    </w:p>
    <w:p w14:paraId="77C72059" w14:textId="77777777" w:rsidR="00C34FD2" w:rsidRDefault="00000000">
      <w:pPr>
        <w:pStyle w:val="FirstParagraph"/>
      </w:pPr>
      <w:r>
        <w:t>Hill e Rothman fazem a primeira refundação conceitual da causalidade em epidemiologia. Hill dá o vocabulário operacional para evidência observacional; Rothman dá a estrutura formal que mostra por que essa tarefa é possível sem a invariabilidade exigida em microbiologia.</w:t>
      </w:r>
    </w:p>
    <w:p w14:paraId="2D30FEC7" w14:textId="77777777" w:rsidR="00C34FD2" w:rsidRDefault="00000000">
      <w:pPr>
        <w:pStyle w:val="Corpodetexto"/>
      </w:pPr>
      <w:r>
        <w:t>Dois problemas ficam abertos: como definir com rigor o que teria acontecido se a exposição não tivesse ocorrido, e como escolher o ajuste estatístico correto quando as variáveis se influenciam mutuamente. O Cap. 03 trata dessas duas questões.</w:t>
      </w:r>
    </w:p>
    <w:p w14:paraId="4BAAE94A" w14:textId="77777777" w:rsidR="00C34FD2" w:rsidRDefault="00000000">
      <w:pPr>
        <w:pStyle w:val="Ttulo2"/>
      </w:pPr>
      <w:bookmarkStart w:id="35" w:name="exercícios-1"/>
      <w:bookmarkStart w:id="36" w:name="_Toc229219550"/>
      <w:bookmarkEnd w:id="33"/>
      <w:r>
        <w:t>2.5 Exercícios</w:t>
      </w:r>
      <w:bookmarkEnd w:id="36"/>
    </w:p>
    <w:p w14:paraId="76C4A348" w14:textId="77777777" w:rsidR="00C34FD2" w:rsidRDefault="00000000">
      <w:pPr>
        <w:pStyle w:val="FirstParagraph"/>
      </w:pPr>
      <w:r>
        <w:rPr>
          <w:b/>
          <w:bCs/>
        </w:rPr>
        <w:t>1.</w:t>
      </w:r>
      <w:r>
        <w:t xml:space="preserve"> Para a relação tabagismo-câncer de pulmão, identifique quais dos nove pontos de Hill são satisfeitos com facilidade e quais exigem cuidado interpretativo. Aplique especificamente o ponto da especificidade: o tabaco satisfaz especificidade? Justifique.</w:t>
      </w:r>
    </w:p>
    <w:p w14:paraId="70B8F478" w14:textId="77777777" w:rsidR="00C34FD2" w:rsidRDefault="00000000">
      <w:pPr>
        <w:pStyle w:val="Corpodetexto"/>
      </w:pPr>
      <w:r>
        <w:rPr>
          <w:b/>
          <w:bCs/>
        </w:rPr>
        <w:t>2.</w:t>
      </w:r>
      <w:r>
        <w:t xml:space="preserve"> No modelo de causa suficiente de Rothman, considere uma doença com duas causas suficientes — a primeira composta dos componentes A, B e C; a segunda composta dos componentes A, D e E. Quem é a causa necessária? O que acontece com a magnitude da associação entre B e a doença se a prevalência de A no grupo exposto for muito baixa? Esboce a resposta usando os </w:t>
      </w:r>
      <w:r>
        <w:rPr>
          <w:i/>
          <w:iCs/>
        </w:rPr>
        <w:t>pies</w:t>
      </w:r>
      <w:r>
        <w:t>.</w:t>
      </w:r>
    </w:p>
    <w:p w14:paraId="02878E6B" w14:textId="77777777" w:rsidR="00C34FD2" w:rsidRDefault="00000000">
      <w:pPr>
        <w:pStyle w:val="Corpodetexto"/>
      </w:pPr>
      <w:r>
        <w:rPr>
          <w:b/>
          <w:bCs/>
        </w:rPr>
        <w:t>3.</w:t>
      </w:r>
      <w:r>
        <w:t xml:space="preserve"> Hill afirma que apenas a temporalidade é, em sentido estrito, condição necessária para inferência causal. Construa um cenário hipotético em que todos os outros oito pontos pareçam satisfeitos, mas a temporalidade esteja em dúvida — e mostre como essa dúvida basta para suspender a conclusão causal.</w:t>
      </w:r>
    </w:p>
    <w:p w14:paraId="129A0AEF" w14:textId="77777777" w:rsidR="00274C70" w:rsidRDefault="00274C70">
      <w:pPr>
        <w:rPr>
          <w:rFonts w:asciiTheme="majorHAnsi" w:eastAsiaTheme="majorEastAsia" w:hAnsiTheme="majorHAnsi" w:cstheme="majorBidi"/>
          <w:color w:val="0F4761" w:themeColor="accent1" w:themeShade="BF"/>
          <w:sz w:val="40"/>
          <w:szCs w:val="40"/>
        </w:rPr>
      </w:pPr>
      <w:bookmarkStart w:id="37" w:name="X49efa3a59b6d8243813aba42f1251ff5b4a5155"/>
      <w:bookmarkStart w:id="38" w:name="_Toc229219551"/>
      <w:bookmarkEnd w:id="17"/>
      <w:bookmarkEnd w:id="35"/>
      <w:r>
        <w:br w:type="page"/>
      </w:r>
    </w:p>
    <w:p w14:paraId="256F44DD" w14:textId="107C7B7C" w:rsidR="00C34FD2" w:rsidRDefault="00000000">
      <w:pPr>
        <w:pStyle w:val="Ttulo1"/>
      </w:pPr>
      <w:r>
        <w:lastRenderedPageBreak/>
        <w:t xml:space="preserve">3. A formalização da inferência causal — resultados potenciais, DAGs e </w:t>
      </w:r>
      <w:r>
        <w:rPr>
          <w:i/>
          <w:iCs/>
        </w:rPr>
        <w:t>target trial</w:t>
      </w:r>
      <w:bookmarkEnd w:id="38"/>
    </w:p>
    <w:p w14:paraId="38B18949" w14:textId="77777777" w:rsidR="00C34FD2" w:rsidRDefault="00000000">
      <w:pPr>
        <w:pStyle w:val="FirstParagraph"/>
      </w:pPr>
      <w:r>
        <w:t xml:space="preserve">Hill e Rothman deram à epidemiologia um vocabulário operacional para inferência a partir de dados observacionais, mas não formalizaram o que significa, com rigor, “X causa Y”. Duas perguntas permaneciam fora do alcance da formulação clássica: qual é o conteúdo preciso de uma afirmação causal, e sob que condições dados observacionais permitem identificá-la. A resposta a essas perguntas, construída entre meados dos anos 1980 e os anos 2010, refundou a disciplina em torno de uma linguagem precisa de </w:t>
      </w:r>
      <w:r>
        <w:rPr>
          <w:b/>
          <w:bCs/>
        </w:rPr>
        <w:t>resultados potenciais</w:t>
      </w:r>
      <w:r>
        <w:t xml:space="preserve"> e </w:t>
      </w:r>
      <w:r>
        <w:rPr>
          <w:b/>
          <w:bCs/>
        </w:rPr>
        <w:t>grafos causais</w:t>
      </w:r>
      <w:r>
        <w:t>.</w:t>
      </w:r>
    </w:p>
    <w:p w14:paraId="0DEC8C71" w14:textId="77777777" w:rsidR="00C34FD2" w:rsidRDefault="00000000">
      <w:pPr>
        <w:pStyle w:val="Ttulo2"/>
      </w:pPr>
      <w:bookmarkStart w:id="39" w:name="resultados-potenciais"/>
      <w:bookmarkStart w:id="40" w:name="_Toc229219552"/>
      <w:r>
        <w:t>3.1 Resultados potenciais</w:t>
      </w:r>
      <w:bookmarkEnd w:id="40"/>
    </w:p>
    <w:p w14:paraId="46D47323" w14:textId="77777777" w:rsidR="00C34FD2" w:rsidRDefault="00000000">
      <w:pPr>
        <w:pStyle w:val="FirstParagraph"/>
      </w:pPr>
      <w:r>
        <w:t xml:space="preserve">A ideia central é simples. Imagine que cada paciente, antes de receber qualquer tratamento, tem </w:t>
      </w:r>
      <w:r>
        <w:rPr>
          <w:b/>
          <w:bCs/>
        </w:rPr>
        <w:t>dois desfechos possíveis</w:t>
      </w:r>
      <w:r>
        <w:t xml:space="preserve">: o que aconteceria se tomasse o medicamento, e o que aconteceria se não tomasse. O efeito do medicamento para aquele paciente é a diferença entre esses dois desfechos. A literatura chama esses dois desfechos hipotéticos de </w:t>
      </w:r>
      <w:r>
        <w:rPr>
          <w:b/>
          <w:bCs/>
        </w:rPr>
        <w:t>resultados potenciais</w:t>
      </w:r>
      <w:r>
        <w:t>.</w:t>
      </w:r>
    </w:p>
    <w:p w14:paraId="5F51E65F" w14:textId="77777777" w:rsidR="00C34FD2" w:rsidRDefault="00000000">
      <w:pPr>
        <w:pStyle w:val="Corpodetexto"/>
      </w:pPr>
      <w:r>
        <w:t xml:space="preserve">Há um problema fundamental. Na vida real, cada paciente só vive </w:t>
      </w:r>
      <w:r>
        <w:rPr>
          <w:b/>
          <w:bCs/>
        </w:rPr>
        <w:t>uma</w:t>
      </w:r>
      <w:r>
        <w:t xml:space="preserve"> das duas histórias. Quem tomou o medicamento não viveu a história de não-tomar; quem não tomou não viveu a história de tomar. O desfecho que teria acontecido sob o tratamento alternativo permanece como cenário hipotético, impossível de medir naquele mesmo indivíduo.</w:t>
      </w:r>
    </w:p>
    <w:p w14:paraId="63FFB07D" w14:textId="77777777" w:rsidR="00C34FD2" w:rsidRDefault="00000000">
      <w:pPr>
        <w:pStyle w:val="Corpodetexto"/>
      </w:pPr>
      <w:r>
        <w:t xml:space="preserve">A consequência é incômoda mas estrutural: o efeito do tratamento em um indivíduo específico </w:t>
      </w:r>
      <w:r>
        <w:rPr>
          <w:b/>
          <w:bCs/>
        </w:rPr>
        <w:t>nunca pode ser observado diretamente</w:t>
      </w:r>
      <w:r>
        <w:t xml:space="preserve">. O que dá para estimar, sob condições que veremos a seguir, é o efeito </w:t>
      </w:r>
      <w:r>
        <w:rPr>
          <w:b/>
          <w:bCs/>
        </w:rPr>
        <w:t>médio na população</w:t>
      </w:r>
      <w:r>
        <w:t>: pacientes que tomaram o medicamento tiveram desfechos, em média, quão diferentes dos pacientes que não tomaram?</w:t>
      </w:r>
    </w:p>
    <w:p w14:paraId="63228D6A" w14:textId="77777777" w:rsidR="00C34FD2" w:rsidRDefault="00000000">
      <w:pPr>
        <w:pStyle w:val="Corpodetexto"/>
      </w:pPr>
      <w:r>
        <w:t>A pergunta epidemiológica passa a ser: quando dados observacionais permitem estimar esse efeito médio?</w:t>
      </w:r>
    </w:p>
    <w:p w14:paraId="3F980BD3" w14:textId="77777777" w:rsidR="00C34FD2" w:rsidRDefault="00000000">
      <w:pPr>
        <w:pStyle w:val="Ttulo2"/>
      </w:pPr>
      <w:bookmarkStart w:id="41" w:name="X0d1593748ac21a1fba09793e0f8f076e0db3f23"/>
      <w:bookmarkStart w:id="42" w:name="_Toc229219553"/>
      <w:bookmarkEnd w:id="39"/>
      <w:r>
        <w:t>3.2 Três condições para estimar o efeito causal</w:t>
      </w:r>
      <w:bookmarkEnd w:id="42"/>
    </w:p>
    <w:p w14:paraId="470A8235" w14:textId="77777777" w:rsidR="00C34FD2" w:rsidRDefault="00000000">
      <w:pPr>
        <w:pStyle w:val="FirstParagraph"/>
      </w:pPr>
      <w:r>
        <w:t>Sob três condições, o efeito médio do tratamento é estimável a partir de dados observacionais. Nenhuma das três é uma propriedade dos dados — são todas suposições sobre a estrutura do problema, e nenhuma pode ser confirmada por teste estatístico. A justificativa para cada uma vem de conhecimento clínico e biológico, não dos números.</w:t>
      </w:r>
    </w:p>
    <w:p w14:paraId="7931FBF3" w14:textId="77777777" w:rsidR="00C34FD2" w:rsidRDefault="00000000">
      <w:pPr>
        <w:pStyle w:val="Corpodetexto"/>
      </w:pPr>
      <w:r>
        <w:rPr>
          <w:b/>
          <w:bCs/>
        </w:rPr>
        <w:t>Permutabilidade.</w:t>
      </w:r>
      <w:r>
        <w:t xml:space="preserve"> Os grupos comparados precisam ser, em média, comparáveis antes do tratamento. Se o grupo que tomou estatina é mais jovem, mais magro, com melhor perfil lipídico e mais ativo do que o grupo que não tomou, os dois grupos não </w:t>
      </w:r>
      <w:r>
        <w:lastRenderedPageBreak/>
        <w:t>são comparáveis: a diferença que se observa em mortalidade pode estar contando o efeito desses outros fatores em vez do efeito da estatina.</w:t>
      </w:r>
    </w:p>
    <w:p w14:paraId="0D9B8B2C" w14:textId="77777777" w:rsidR="00C34FD2" w:rsidRDefault="00000000">
      <w:pPr>
        <w:pStyle w:val="Corpodetexto"/>
      </w:pPr>
      <w:r>
        <w:t xml:space="preserve">Em ensaios clínicos, a randomização garante essa comparabilidade — a moeda decide quem recebe o tratamento, e em média os dois grupos ficam parecidos em tudo, inclusive nos fatores que ninguém mediu. Em estudos observacionais, a comparabilidade exige medir todos os fatores que diferem entre os grupos </w:t>
      </w:r>
      <w:r>
        <w:rPr>
          <w:i/>
          <w:iCs/>
        </w:rPr>
        <w:t>e</w:t>
      </w:r>
      <w:r>
        <w:t xml:space="preserve"> afetam o desfecho, e depois ajustar a análise por eles. A dificuldade é justamente identificar quais fatores são esses — pergunta que não tem resposta nos dados, só no conhecimento substantivo do problema.</w:t>
      </w:r>
    </w:p>
    <w:p w14:paraId="2336CE0F" w14:textId="77777777" w:rsidR="00C34FD2" w:rsidRDefault="00000000">
      <w:pPr>
        <w:pStyle w:val="Corpodetexto"/>
      </w:pPr>
      <w:r>
        <w:rPr>
          <w:b/>
          <w:bCs/>
        </w:rPr>
        <w:t>Positividade.</w:t>
      </w:r>
      <w:r>
        <w:t xml:space="preserve"> Em cada subgrupo de pacientes, precisa haver tanto pessoas que receberam o tratamento quanto pessoas que não receberam. Se todos os pacientes acima de 80 anos receberam o medicamento e nenhum deixou de receber, não há comparação possível para esse subgrupo — não há controle naquela faixa etária. O efeito do medicamento em pacientes acima de 80 anos não é identificável a partir dos dados, por mais sofisticada que seja a análise.</w:t>
      </w:r>
    </w:p>
    <w:p w14:paraId="088BDC56" w14:textId="77777777" w:rsidR="00C34FD2" w:rsidRDefault="00000000">
      <w:pPr>
        <w:pStyle w:val="Corpodetexto"/>
      </w:pPr>
      <w:r>
        <w:rPr>
          <w:b/>
          <w:bCs/>
        </w:rPr>
        <w:t>Consistência.</w:t>
      </w:r>
      <w:r>
        <w:t xml:space="preserve"> O tratamento estudado precisa ser bem definido. Se “tomou o medicamento” inclui pacientes em dose plena, em dose reduzida, com formulações diferentes e com regimes de aderência variados, então não há </w:t>
      </w:r>
      <w:r>
        <w:rPr>
          <w:i/>
          <w:iCs/>
        </w:rPr>
        <w:t>um</w:t>
      </w:r>
      <w:r>
        <w:t xml:space="preserve"> tratamento sendo estudado — há vários. O desfecho de cada paciente corresponde à versão específica que ele tomou; somar tudo como se fosse um único tratamento mistura efeitos potencialmente distintos.</w:t>
      </w:r>
    </w:p>
    <w:p w14:paraId="78907C45" w14:textId="77777777" w:rsidR="00C34FD2" w:rsidRDefault="00000000">
      <w:pPr>
        <w:pStyle w:val="Corpodetexto"/>
      </w:pPr>
      <w:r>
        <w:t>Greenland e Robins (9) foram dos primeiros a articular essas exigências em forma sistemática. A leitura contemporânea é direta: nenhuma análise estatística de dados observacionais pode estimar o efeito causal sem que as três condições sejam plausíveis. A análise é tão boa quanto a defesa que se faz das três suposições.</w:t>
      </w:r>
    </w:p>
    <w:p w14:paraId="59FC69A3" w14:textId="77777777" w:rsidR="00C34FD2" w:rsidRDefault="00000000">
      <w:pPr>
        <w:pStyle w:val="Ttulo2"/>
      </w:pPr>
      <w:bookmarkStart w:id="43" w:name="Xb9b3609783bed89fca4e9fa1a89c4e06b1cfb15"/>
      <w:bookmarkStart w:id="44" w:name="_Toc229219554"/>
      <w:bookmarkEnd w:id="41"/>
      <w:r>
        <w:t>3.3 Confundimento como problema de identificação</w:t>
      </w:r>
      <w:bookmarkEnd w:id="44"/>
    </w:p>
    <w:p w14:paraId="436D74BF" w14:textId="77777777" w:rsidR="00C34FD2" w:rsidRDefault="00000000">
      <w:pPr>
        <w:pStyle w:val="FirstParagraph"/>
      </w:pPr>
      <w:r>
        <w:t>Greenland e Robins (9) reformularam o conceito de confundimento à luz dessa estrutura. Confundimento, na linguagem dos resultados potenciais, é exatamente a falha da permutabilidade entre os grupos comparados: expostos e não expostos diferem, antes da exposição, em fatores que afetam o desfecho. Um confundidor é, então, uma variável cujo ajuste restaura a permutabilidade condicional.</w:t>
      </w:r>
    </w:p>
    <w:p w14:paraId="592497C1" w14:textId="77777777" w:rsidR="00C34FD2" w:rsidRDefault="00000000">
      <w:pPr>
        <w:pStyle w:val="Corpodetexto"/>
      </w:pPr>
      <w:r>
        <w:t>A reformulação resolve uma ambiguidade da definição clássica baseada em “associado à exposição e ao desfecho, e não na via causal”. A definição clássica não distingue, com rigor, entre confundidores legítimos, variáveis intermediárias (mediadores) e consequência comum de exposição e desfecho (colliders) — categorias que demandam tratamento estatístico oposto. A definição em termos de resultados potenciais resolve essa ambiguidade.</w:t>
      </w:r>
    </w:p>
    <w:p w14:paraId="6BDEB52E" w14:textId="77777777" w:rsidR="00C34FD2" w:rsidRDefault="00000000">
      <w:pPr>
        <w:pStyle w:val="Ttulo2"/>
      </w:pPr>
      <w:bookmarkStart w:id="45" w:name="grafos-acíclicos-direcionados"/>
      <w:bookmarkStart w:id="46" w:name="_Toc229219555"/>
      <w:bookmarkEnd w:id="43"/>
      <w:r>
        <w:lastRenderedPageBreak/>
        <w:t>3.4 Grafos acíclicos direcionados</w:t>
      </w:r>
      <w:bookmarkEnd w:id="46"/>
    </w:p>
    <w:p w14:paraId="59D99F65" w14:textId="77777777" w:rsidR="00C34FD2" w:rsidRDefault="00000000">
      <w:pPr>
        <w:pStyle w:val="FirstParagraph"/>
      </w:pPr>
      <w:r>
        <w:t xml:space="preserve">Para representar visualmente as estruturas causais que sustentam essas inferências, a literatura passou a usar </w:t>
      </w:r>
      <w:r>
        <w:rPr>
          <w:b/>
          <w:bCs/>
        </w:rPr>
        <w:t>grafos acíclicos direcionados</w:t>
      </w:r>
      <w:r>
        <w:t xml:space="preserve"> (DAGs). Os nós representam variáveis; as setas representam efeitos causais diretos. “Acíclicos” significa que nenhuma sequência de setas retorna a um nó já visitado — não há causalidade circular instantânea.</w:t>
      </w:r>
    </w:p>
    <w:p w14:paraId="0CC4BEEF" w14:textId="77777777" w:rsidR="00C34FD2" w:rsidRDefault="00000000">
      <w:pPr>
        <w:pStyle w:val="Corpodetexto"/>
      </w:pPr>
      <w:r>
        <w:t xml:space="preserve">Duas propriedades organizam o uso de DAGs em pesquisa clínica. A seta codifica direção causal hipotetizada sem especificar forma funcional: </w:t>
      </w:r>
      <m:oMath>
        <m:r>
          <w:rPr>
            <w:rFonts w:ascii="Cambria Math" w:hAnsi="Cambria Math"/>
          </w:rPr>
          <m:t>X</m:t>
        </m:r>
        <m:r>
          <m:rPr>
            <m:sty m:val="p"/>
          </m:rPr>
          <w:rPr>
            <w:rFonts w:ascii="Cambria Math" w:hAnsi="Cambria Math"/>
          </w:rPr>
          <m:t>→</m:t>
        </m:r>
        <m:r>
          <w:rPr>
            <w:rFonts w:ascii="Cambria Math" w:hAnsi="Cambria Math"/>
          </w:rPr>
          <m:t>Y</m:t>
        </m:r>
      </m:oMath>
      <w:r>
        <w:t xml:space="preserve"> significa que </w:t>
      </w:r>
      <m:oMath>
        <m:r>
          <w:rPr>
            <w:rFonts w:ascii="Cambria Math" w:hAnsi="Cambria Math"/>
          </w:rPr>
          <m:t>X</m:t>
        </m:r>
      </m:oMath>
      <w:r>
        <w:t xml:space="preserve"> pode afetar </w:t>
      </w:r>
      <m:oMath>
        <m:r>
          <w:rPr>
            <w:rFonts w:ascii="Cambria Math" w:hAnsi="Cambria Math"/>
          </w:rPr>
          <m:t>Y</m:t>
        </m:r>
      </m:oMath>
      <w:r>
        <w:t xml:space="preserve">, mas não distingue relação linear, quadrática ou logarítmica. A </w:t>
      </w:r>
      <w:r>
        <w:rPr>
          <w:i/>
          <w:iCs/>
        </w:rPr>
        <w:t>ausência</w:t>
      </w:r>
      <w:r>
        <w:t xml:space="preserve"> de seta carrega a informação principal — afirma que, na estrutura proposta, não existe efeito causal direto entre os nós correspondentes. Construir um DAG é, portanto, exercício de explicitar o conhecimento substantivo sobre o problema antes da análise estatística. Byeon e Lee (10) sistematizam o uso desses grafos em pesquisa clínica e cirúrgica, com ênfase nas armadilhas que decorrem de ignorar a estrutura causal.</w:t>
      </w:r>
    </w:p>
    <w:p w14:paraId="72DD971C" w14:textId="77777777" w:rsidR="00C34FD2" w:rsidRDefault="00000000">
      <w:pPr>
        <w:pStyle w:val="Ttulo3"/>
      </w:pPr>
      <w:bookmarkStart w:id="47" w:name="três-estruturas-elementares"/>
      <w:bookmarkStart w:id="48" w:name="_Toc229219556"/>
      <w:r>
        <w:t>3.4.1 Três estruturas elementares</w:t>
      </w:r>
      <w:bookmarkEnd w:id="48"/>
    </w:p>
    <w:tbl>
      <w:tblPr>
        <w:tblStyle w:val="Table"/>
        <w:tblW w:w="5000" w:type="pct"/>
        <w:tblLayout w:type="fixed"/>
        <w:tblLook w:val="0000" w:firstRow="0" w:lastRow="0" w:firstColumn="0" w:lastColumn="0" w:noHBand="0" w:noVBand="0"/>
      </w:tblPr>
      <w:tblGrid>
        <w:gridCol w:w="9054"/>
      </w:tblGrid>
      <w:tr w:rsidR="00C34FD2" w14:paraId="760089A5" w14:textId="77777777">
        <w:tc>
          <w:tcPr>
            <w:tcW w:w="7920" w:type="dxa"/>
          </w:tcPr>
          <w:p w14:paraId="39FB0788" w14:textId="77777777" w:rsidR="00C34FD2" w:rsidRDefault="00000000">
            <w:pPr>
              <w:pStyle w:val="Compact"/>
              <w:jc w:val="center"/>
            </w:pPr>
            <w:bookmarkStart w:id="49" w:name="fig-dag-estruturas"/>
            <w:r>
              <w:rPr>
                <w:noProof/>
              </w:rPr>
              <w:drawing>
                <wp:inline distT="0" distB="0" distL="0" distR="0" wp14:anchorId="514B2C57" wp14:editId="4BF0F313">
                  <wp:extent cx="5334000" cy="213360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images/dag-estruturas-elementares.svg"/>
                          <pic:cNvPicPr>
                            <a:picLocks noChangeAspect="1" noChangeArrowheads="1"/>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2133600"/>
                          </a:xfrm>
                          <a:prstGeom prst="rect">
                            <a:avLst/>
                          </a:prstGeom>
                          <a:noFill/>
                          <a:ln w="9525">
                            <a:noFill/>
                            <a:headEnd/>
                            <a:tailEnd/>
                          </a:ln>
                        </pic:spPr>
                      </pic:pic>
                    </a:graphicData>
                  </a:graphic>
                </wp:inline>
              </w:drawing>
            </w:r>
          </w:p>
          <w:p w14:paraId="6E5CB7B5" w14:textId="77777777" w:rsidR="00C34FD2" w:rsidRDefault="00000000">
            <w:pPr>
              <w:pStyle w:val="ImageCaption"/>
              <w:spacing w:before="200"/>
            </w:pPr>
            <w:r>
              <w:t>Figura 8: Três estruturas elementares de DAGs. A direção das setas e a presença ou ausência delas determinam que ajuste estatístico identifica o efeito causal e qual o destrói.</w:t>
            </w:r>
          </w:p>
        </w:tc>
        <w:bookmarkEnd w:id="49"/>
      </w:tr>
    </w:tbl>
    <w:p w14:paraId="0DAD788E" w14:textId="77777777" w:rsidR="00C34FD2" w:rsidRDefault="00000000">
      <w:pPr>
        <w:pStyle w:val="Corpodetexto"/>
      </w:pPr>
      <w:r>
        <w:rPr>
          <w:b/>
          <w:bCs/>
        </w:rPr>
        <w:t>Cadeia.</w:t>
      </w:r>
      <w:r>
        <w:t xml:space="preserve"> </w:t>
      </w:r>
      <m:oMath>
        <m:r>
          <w:rPr>
            <w:rFonts w:ascii="Cambria Math" w:hAnsi="Cambria Math"/>
          </w:rPr>
          <m:t>X</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Y</m:t>
        </m:r>
      </m:oMath>
      <w:r>
        <w:t xml:space="preserve">. A variável </w:t>
      </w:r>
      <m:oMath>
        <m:r>
          <w:rPr>
            <w:rFonts w:ascii="Cambria Math" w:hAnsi="Cambria Math"/>
          </w:rPr>
          <m:t>M</m:t>
        </m:r>
      </m:oMath>
      <w:r>
        <w:t xml:space="preserve"> é mediador: parte do efeito causal de </w:t>
      </w:r>
      <m:oMath>
        <m:r>
          <w:rPr>
            <w:rFonts w:ascii="Cambria Math" w:hAnsi="Cambria Math"/>
          </w:rPr>
          <m:t>X</m:t>
        </m:r>
      </m:oMath>
      <w:r>
        <w:t xml:space="preserve"> sobre </w:t>
      </w:r>
      <m:oMath>
        <m:r>
          <w:rPr>
            <w:rFonts w:ascii="Cambria Math" w:hAnsi="Cambria Math"/>
          </w:rPr>
          <m:t>Y</m:t>
        </m:r>
      </m:oMath>
      <w:r>
        <w:t xml:space="preserve"> passa por </w:t>
      </w:r>
      <m:oMath>
        <m:r>
          <w:rPr>
            <w:rFonts w:ascii="Cambria Math" w:hAnsi="Cambria Math"/>
          </w:rPr>
          <m:t>M</m:t>
        </m:r>
      </m:oMath>
      <w:r>
        <w:t>. Ajustar por um mediador remove parte do efeito causal de interesse — um erro que a definição clássica de confundidor pode induzir.</w:t>
      </w:r>
    </w:p>
    <w:p w14:paraId="52F68B91" w14:textId="77777777" w:rsidR="00C34FD2" w:rsidRDefault="00000000">
      <w:pPr>
        <w:pStyle w:val="Corpodetexto"/>
      </w:pPr>
      <w:r>
        <w:rPr>
          <w:b/>
          <w:bCs/>
        </w:rPr>
        <w:t>Garfo.</w:t>
      </w:r>
      <w:r>
        <w:t xml:space="preserve"> </w:t>
      </w:r>
      <m:oMath>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Y</m:t>
        </m:r>
      </m:oMath>
      <w:r>
        <w:t xml:space="preserve">. A variável </w:t>
      </w:r>
      <m:oMath>
        <m:r>
          <w:rPr>
            <w:rFonts w:ascii="Cambria Math" w:hAnsi="Cambria Math"/>
          </w:rPr>
          <m:t>U</m:t>
        </m:r>
      </m:oMath>
      <w:r>
        <w:t xml:space="preserve"> é causa comum (confundidor) de </w:t>
      </w:r>
      <m:oMath>
        <m:r>
          <w:rPr>
            <w:rFonts w:ascii="Cambria Math" w:hAnsi="Cambria Math"/>
          </w:rPr>
          <m:t>X</m:t>
        </m:r>
      </m:oMath>
      <w:r>
        <w:t xml:space="preserve"> e </w:t>
      </w:r>
      <m:oMath>
        <m:r>
          <w:rPr>
            <w:rFonts w:ascii="Cambria Math" w:hAnsi="Cambria Math"/>
          </w:rPr>
          <m:t>Y</m:t>
        </m:r>
      </m:oMath>
      <w:r>
        <w:t xml:space="preserve"> e abre um “caminho de porta dos fundos” (</w:t>
      </w:r>
      <w:r>
        <w:rPr>
          <w:i/>
          <w:iCs/>
        </w:rPr>
        <w:t>backdoor path</w:t>
      </w:r>
      <w:r>
        <w:t xml:space="preserve">) que produz associação não causal entre </w:t>
      </w:r>
      <m:oMath>
        <m:r>
          <w:rPr>
            <w:rFonts w:ascii="Cambria Math" w:hAnsi="Cambria Math"/>
          </w:rPr>
          <m:t>X</m:t>
        </m:r>
      </m:oMath>
      <w:r>
        <w:t xml:space="preserve"> e </w:t>
      </w:r>
      <m:oMath>
        <m:r>
          <w:rPr>
            <w:rFonts w:ascii="Cambria Math" w:hAnsi="Cambria Math"/>
          </w:rPr>
          <m:t>Y</m:t>
        </m:r>
      </m:oMath>
      <w:r>
        <w:t xml:space="preserve">. Ajustar por </w:t>
      </w:r>
      <m:oMath>
        <m:r>
          <w:rPr>
            <w:rFonts w:ascii="Cambria Math" w:hAnsi="Cambria Math"/>
          </w:rPr>
          <m:t>U</m:t>
        </m:r>
      </m:oMath>
      <w:r>
        <w:t xml:space="preserve"> fecha esse caminho e identifica o efeito causal.</w:t>
      </w:r>
    </w:p>
    <w:p w14:paraId="57552B6A" w14:textId="77777777" w:rsidR="00C34FD2" w:rsidRDefault="00000000">
      <w:pPr>
        <w:pStyle w:val="Corpodetexto"/>
      </w:pPr>
      <w:r>
        <w:rPr>
          <w:b/>
          <w:bCs/>
        </w:rPr>
        <w:t>Colisor.</w:t>
      </w:r>
      <w:r>
        <w:t xml:space="preserve"> </w:t>
      </w:r>
      <m:oMath>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Y</m:t>
        </m:r>
      </m:oMath>
      <w:r>
        <w:t xml:space="preserve">. A variável </w:t>
      </w:r>
      <m:oMath>
        <m:r>
          <w:rPr>
            <w:rFonts w:ascii="Cambria Math" w:hAnsi="Cambria Math"/>
          </w:rPr>
          <m:t>C</m:t>
        </m:r>
      </m:oMath>
      <w:r>
        <w:t xml:space="preserve"> é consequência comum de </w:t>
      </w:r>
      <m:oMath>
        <m:r>
          <w:rPr>
            <w:rFonts w:ascii="Cambria Math" w:hAnsi="Cambria Math"/>
          </w:rPr>
          <m:t>X</m:t>
        </m:r>
      </m:oMath>
      <w:r>
        <w:t xml:space="preserve"> e </w:t>
      </w:r>
      <m:oMath>
        <m:r>
          <w:rPr>
            <w:rFonts w:ascii="Cambria Math" w:hAnsi="Cambria Math"/>
          </w:rPr>
          <m:t>Y</m:t>
        </m:r>
      </m:oMath>
      <w:r>
        <w:t xml:space="preserve">. Em sua forma não condicionada, o colisor não produz associação espúria entre </w:t>
      </w:r>
      <m:oMath>
        <m:r>
          <w:rPr>
            <w:rFonts w:ascii="Cambria Math" w:hAnsi="Cambria Math"/>
          </w:rPr>
          <m:t>X</m:t>
        </m:r>
      </m:oMath>
      <w:r>
        <w:t xml:space="preserve"> e </w:t>
      </w:r>
      <m:oMath>
        <m:r>
          <w:rPr>
            <w:rFonts w:ascii="Cambria Math" w:hAnsi="Cambria Math"/>
          </w:rPr>
          <m:t>Y</m:t>
        </m:r>
      </m:oMath>
      <w:r>
        <w:t xml:space="preserve">. Ajustar por </w:t>
      </w:r>
      <m:oMath>
        <m:r>
          <w:rPr>
            <w:rFonts w:ascii="Cambria Math" w:hAnsi="Cambria Math"/>
          </w:rPr>
          <m:t>C</m:t>
        </m:r>
      </m:oMath>
      <w:r>
        <w:t xml:space="preserve"> — </w:t>
      </w:r>
      <w:r>
        <w:lastRenderedPageBreak/>
        <w:t>selecionar a amostra com base nele, estratificar — abre uma associação que não existia. O fenômeno é conhecido pelo menos desde Berkson em contexto hospitalar; o vocabulário gráfico permite reconhecê-lo sistematicamente em estruturas mais complexas.</w:t>
      </w:r>
    </w:p>
    <w:p w14:paraId="796F775E" w14:textId="77777777" w:rsidR="00C34FD2" w:rsidRDefault="00000000">
      <w:pPr>
        <w:pStyle w:val="Ttulo3"/>
      </w:pPr>
      <w:bookmarkStart w:id="50" w:name="X4cbc46df93eef03f59f2e0e37f7015c0cf32339"/>
      <w:bookmarkStart w:id="51" w:name="_Toc229219557"/>
      <w:bookmarkEnd w:id="47"/>
      <w:r>
        <w:t>3.4.2 A regra geral: d-separação e porta dos fundos</w:t>
      </w:r>
      <w:bookmarkEnd w:id="51"/>
    </w:p>
    <w:p w14:paraId="444346A3" w14:textId="77777777" w:rsidR="00C34FD2" w:rsidRDefault="00000000">
      <w:pPr>
        <w:pStyle w:val="FirstParagraph"/>
      </w:pPr>
      <w:r>
        <w:t xml:space="preserve">A regra que generaliza essas três configurações é a </w:t>
      </w:r>
      <w:r>
        <w:rPr>
          <w:b/>
          <w:bCs/>
        </w:rPr>
        <w:t>d-separação</w:t>
      </w:r>
      <w:r>
        <w:t xml:space="preserve"> (10). Um caminho entre dois nós em um DAG está bloqueado quando: (a) contém uma cadeia ou um garfo cujo nó intermediário foi ajustado; (b) contém um colisor cujo nó central — e nenhum de seus descendentes — foi ajustado. Dois nós são d-separados quando todo caminho entre eles está bloqueado; sob d-separação, são condicionalmente independentes.</w:t>
      </w:r>
    </w:p>
    <w:p w14:paraId="63F9ADDC" w14:textId="77777777" w:rsidR="00C34FD2" w:rsidRDefault="00000000">
      <w:pPr>
        <w:pStyle w:val="Corpodetexto"/>
      </w:pPr>
      <w:r>
        <w:t xml:space="preserve">A aplicação direta da regra ao problema do confundimento é o </w:t>
      </w:r>
      <w:r>
        <w:rPr>
          <w:b/>
          <w:bCs/>
        </w:rPr>
        <w:t>critério de porta dos fundos</w:t>
      </w:r>
      <w:r>
        <w:t xml:space="preserve">: para identificar o efeito causal de </w:t>
      </w:r>
      <m:oMath>
        <m:r>
          <w:rPr>
            <w:rFonts w:ascii="Cambria Math" w:hAnsi="Cambria Math"/>
          </w:rPr>
          <m:t>X</m:t>
        </m:r>
      </m:oMath>
      <w:r>
        <w:t xml:space="preserve"> sobre </w:t>
      </w:r>
      <m:oMath>
        <m:r>
          <w:rPr>
            <w:rFonts w:ascii="Cambria Math" w:hAnsi="Cambria Math"/>
          </w:rPr>
          <m:t>Y</m:t>
        </m:r>
      </m:oMath>
      <w:r>
        <w:t xml:space="preserve">, encontre um conjunto </w:t>
      </w:r>
      <m:oMath>
        <m:r>
          <w:rPr>
            <w:rFonts w:ascii="Cambria Math" w:hAnsi="Cambria Math"/>
          </w:rPr>
          <m:t>Z</m:t>
        </m:r>
      </m:oMath>
      <w:r>
        <w:t xml:space="preserve"> que (a) bloqueie todo caminho que entra em </w:t>
      </w:r>
      <m:oMath>
        <m:r>
          <w:rPr>
            <w:rFonts w:ascii="Cambria Math" w:hAnsi="Cambria Math"/>
          </w:rPr>
          <m:t>X</m:t>
        </m:r>
      </m:oMath>
      <w:r>
        <w:t xml:space="preserve"> por trás (backdoor) e (b) não contenha descendentes de </w:t>
      </w:r>
      <m:oMath>
        <m:r>
          <w:rPr>
            <w:rFonts w:ascii="Cambria Math" w:hAnsi="Cambria Math"/>
          </w:rPr>
          <m:t>X</m:t>
        </m:r>
      </m:oMath>
      <w:r>
        <w:t xml:space="preserve"> — ou seja, não introduza colisores. Atendido o critério, o ajuste estatístico por </w:t>
      </w:r>
      <m:oMath>
        <m:r>
          <w:rPr>
            <w:rFonts w:ascii="Cambria Math" w:hAnsi="Cambria Math"/>
          </w:rPr>
          <m:t>Z</m:t>
        </m:r>
      </m:oMath>
      <w:r>
        <w:t xml:space="preserve"> recupera o efeito causal médio. Em DAGs com muitas variáveis, o conjunto </w:t>
      </w:r>
      <m:oMath>
        <m:r>
          <w:rPr>
            <w:rFonts w:ascii="Cambria Math" w:hAnsi="Cambria Math"/>
          </w:rPr>
          <m:t>Z</m:t>
        </m:r>
      </m:oMath>
      <w:r>
        <w:t xml:space="preserve"> que satisfaz o critério não é único, e ferramentas como o DAGitty (10) enumeram os </w:t>
      </w:r>
      <w:r>
        <w:rPr>
          <w:b/>
          <w:bCs/>
        </w:rPr>
        <w:t>conjuntos mínimos de ajuste suficiente</w:t>
      </w:r>
      <w:r>
        <w:t xml:space="preserve"> a partir do grafo.</w:t>
      </w:r>
    </w:p>
    <w:p w14:paraId="7C8FB82B" w14:textId="77777777" w:rsidR="00C34FD2" w:rsidRDefault="00000000">
      <w:pPr>
        <w:pStyle w:val="Ttulo3"/>
      </w:pPr>
      <w:bookmarkStart w:id="52" w:name="X529a77b6ab2680f5abf9bf892ed569ef48a9af7"/>
      <w:bookmarkStart w:id="53" w:name="_Toc229219558"/>
      <w:bookmarkEnd w:id="50"/>
      <w:r>
        <w:t>3.4.3 Viés-M e seleção por significância estatística</w:t>
      </w:r>
      <w:bookmarkEnd w:id="53"/>
    </w:p>
    <w:p w14:paraId="3099555D" w14:textId="77777777" w:rsidR="00C34FD2" w:rsidRDefault="00000000">
      <w:pPr>
        <w:pStyle w:val="FirstParagraph"/>
      </w:pPr>
      <w:r>
        <w:t xml:space="preserve">A intuição tradicional de “ajustar por toda variável associada à exposição e ao desfecho” é incompatível com o aparato gráfico. A configuração mais ilustrativa é o </w:t>
      </w:r>
      <w:r>
        <w:rPr>
          <w:b/>
          <w:bCs/>
        </w:rPr>
        <w:t>viés-M</w:t>
      </w:r>
      <w:r>
        <w:t xml:space="preserve"> (</w:t>
      </w:r>
      <w:r>
        <w:rPr>
          <w:i/>
          <w:iCs/>
        </w:rPr>
        <w:t>M-bias</w:t>
      </w:r>
      <w:r>
        <w:t>), em que ajustar por uma variável associada simultaneamente a exposição e desfecho introduz, em vez de reduzir, viés.</w:t>
      </w:r>
    </w:p>
    <w:tbl>
      <w:tblPr>
        <w:tblStyle w:val="Table"/>
        <w:tblW w:w="5000" w:type="pct"/>
        <w:tblLayout w:type="fixed"/>
        <w:tblLook w:val="0000" w:firstRow="0" w:lastRow="0" w:firstColumn="0" w:lastColumn="0" w:noHBand="0" w:noVBand="0"/>
      </w:tblPr>
      <w:tblGrid>
        <w:gridCol w:w="9054"/>
      </w:tblGrid>
      <w:tr w:rsidR="00C34FD2" w14:paraId="31F02DD7" w14:textId="77777777">
        <w:tc>
          <w:tcPr>
            <w:tcW w:w="7920" w:type="dxa"/>
          </w:tcPr>
          <w:p w14:paraId="056CA17D" w14:textId="77777777" w:rsidR="00C34FD2" w:rsidRDefault="00000000">
            <w:pPr>
              <w:pStyle w:val="Compact"/>
              <w:jc w:val="center"/>
            </w:pPr>
            <w:bookmarkStart w:id="54" w:name="fig-dag-mbias"/>
            <w:r>
              <w:rPr>
                <w:noProof/>
              </w:rPr>
              <w:drawing>
                <wp:inline distT="0" distB="0" distL="0" distR="0" wp14:anchorId="75AA0833" wp14:editId="170986BD">
                  <wp:extent cx="5334000" cy="289560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images/dag-mbias.svg"/>
                          <pic:cNvPicPr>
                            <a:picLocks noChangeAspect="1" noChangeArrowheads="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5334000" cy="2895600"/>
                          </a:xfrm>
                          <a:prstGeom prst="rect">
                            <a:avLst/>
                          </a:prstGeom>
                          <a:noFill/>
                          <a:ln w="9525">
                            <a:noFill/>
                            <a:headEnd/>
                            <a:tailEnd/>
                          </a:ln>
                        </pic:spPr>
                      </pic:pic>
                    </a:graphicData>
                  </a:graphic>
                </wp:inline>
              </w:drawing>
            </w:r>
          </w:p>
          <w:p w14:paraId="337BDD93" w14:textId="77777777" w:rsidR="00C34FD2" w:rsidRDefault="00000000">
            <w:pPr>
              <w:pStyle w:val="ImageCaption"/>
              <w:spacing w:before="200"/>
            </w:pPr>
            <w:r>
              <w:lastRenderedPageBreak/>
              <w:t>Figura 9: Estrutura do viés-M. DEP (depressão) causa o uso de ISRS e doença arterial coronariana (DAC); TAB (tabagismo) causa DAC e câncer de pulmão (CA-PULM). Não existe seta entre ISRS e CA-PULM — o efeito causal direto é nulo. DAC é colisor. Adaptado de Byeon e Lee (2023).</w:t>
            </w:r>
          </w:p>
        </w:tc>
        <w:bookmarkEnd w:id="54"/>
      </w:tr>
    </w:tbl>
    <w:p w14:paraId="661B57FC" w14:textId="77777777" w:rsidR="00C34FD2" w:rsidRDefault="00000000">
      <w:pPr>
        <w:pStyle w:val="Corpodetexto"/>
      </w:pPr>
      <w:r>
        <w:t>Considere o cenário clínico apresentado por Byeon e Lee (10). Estuda-se a associação entre uso de inibidor seletivo de recaptação de serotonina (ISRS) e câncer de pulmão. Depressão (DEP) causa o uso de ISRS e, por mecanismos comportamentais ou inflamatórios, doença arterial coronariana (DAC). Tabagismo (TAB) causa DAC e câncer de pulmão. Na estrutura proposta, não há efeito direto de ISRS sobre câncer de pulmão. DAC é descendente comum de DEP e TAB — colisor.</w:t>
      </w:r>
    </w:p>
    <w:p w14:paraId="420B584E" w14:textId="77777777" w:rsidR="00C34FD2" w:rsidRDefault="00000000">
      <w:pPr>
        <w:pStyle w:val="Corpodetexto"/>
      </w:pPr>
      <w:r>
        <w:t>Sob a estratégia tradicional baseada em significância estatística, DAC seria identificada como confundidora — está associada a ISRS (porque DEP causa ambos) e a câncer de pulmão (porque TAB causa ambos) — e incluída no ajuste. Esse ajuste abre o caminho ISRS ← DEP → DAC ← TAB → câncer de pulmão e cria associação espúria entre ISRS e câncer de pulmão em uma estrutura na qual o efeito real é zero. As simulações relatadas por Byeon e Lee (10) mostram que o viés introduzido pode ser substancial, e que a estratégia inversa — não ajustar por DAC — recupera a estimativa correta.</w:t>
      </w:r>
    </w:p>
    <w:p w14:paraId="4847888B" w14:textId="77777777" w:rsidR="00C34FD2" w:rsidRDefault="00000000">
      <w:pPr>
        <w:pStyle w:val="Corpodetexto"/>
      </w:pPr>
      <w:r>
        <w:t xml:space="preserve">A lição é que a seleção de covariáveis com base em significância estatística, sem inspeção da estrutura causal, pode produzir vieses que a intuição clássica não apenas falha em prevenir como ativamente cria. Como alternativa principista, Byeon e Lee (10) retomam o </w:t>
      </w:r>
      <w:r>
        <w:rPr>
          <w:b/>
          <w:bCs/>
        </w:rPr>
        <w:t>critério de causa disjuntiva</w:t>
      </w:r>
      <w:r>
        <w:t>: ajustar por toda variável que cause exposição, desfecho, ou ambos, excluindo (a) variáveis instrumentais que afetem apenas a exposição e (b) descendentes da exposição. O critério é mais conservador que o critério de porta dos fundos, mas dispensa especificação completa do DAG e protege contra a inclusão acidental de colisores no conjunto de ajuste.</w:t>
      </w:r>
    </w:p>
    <w:p w14:paraId="7B4E1F06" w14:textId="77777777" w:rsidR="00C34FD2" w:rsidRDefault="00000000">
      <w:pPr>
        <w:pStyle w:val="Ttulo3"/>
      </w:pPr>
      <w:bookmarkStart w:id="55" w:name="limitações-dos-dags"/>
      <w:bookmarkStart w:id="56" w:name="_Toc229219559"/>
      <w:bookmarkEnd w:id="52"/>
      <w:r>
        <w:t>3.4.4 Limitações dos DAGs</w:t>
      </w:r>
      <w:bookmarkEnd w:id="56"/>
    </w:p>
    <w:p w14:paraId="7F0923E9" w14:textId="77777777" w:rsidR="00C34FD2" w:rsidRDefault="00000000">
      <w:pPr>
        <w:pStyle w:val="FirstParagraph"/>
      </w:pPr>
      <w:r>
        <w:t xml:space="preserve">Três limitações estruturais merecem registro (10). Primeiro, DAGs não contêm informação sobre </w:t>
      </w:r>
      <w:r>
        <w:rPr>
          <w:b/>
          <w:bCs/>
        </w:rPr>
        <w:t>forma funcional</w:t>
      </w:r>
      <w:r>
        <w:t xml:space="preserve">: identificada a estrutura causal e selecionado o conjunto de ajuste, persiste a tarefa de especificar o modelo regressivo (linear, polinomial, </w:t>
      </w:r>
      <w:r>
        <w:rPr>
          <w:i/>
          <w:iCs/>
        </w:rPr>
        <w:t>splines</w:t>
      </w:r>
      <w:r>
        <w:t xml:space="preserve">, modelos de aprendizado de máquina). Segundo, DAGs não quantificam a </w:t>
      </w:r>
      <w:r>
        <w:rPr>
          <w:b/>
          <w:bCs/>
        </w:rPr>
        <w:t>magnitude do viés</w:t>
      </w:r>
      <w:r>
        <w:t xml:space="preserve"> — apenas indicam sua presença e direção sob a estrutura proposta; estimativas quantitativas exigem análise de viés dedicada (Cap. 04). Terceiro, em problemas com muitas variáveis, a </w:t>
      </w:r>
      <w:r>
        <w:rPr>
          <w:b/>
          <w:bCs/>
        </w:rPr>
        <w:t>direção das setas</w:t>
      </w:r>
      <w:r>
        <w:t xml:space="preserve"> pode ser ambígua mesmo com base no conhecimento substantivo, e diferentes DAGs plausíveis podem coexistir para o mesmo problema. O critério de causa disjuntiva e a comparação entre conjuntos de ajuste alternativos atenuam, sem eliminar, esse problema.</w:t>
      </w:r>
    </w:p>
    <w:p w14:paraId="1CB38FB7" w14:textId="77777777" w:rsidR="00C34FD2" w:rsidRDefault="00000000">
      <w:pPr>
        <w:pStyle w:val="Ttulo2"/>
      </w:pPr>
      <w:bookmarkStart w:id="57" w:name="a-direção-do-viés"/>
      <w:bookmarkStart w:id="58" w:name="_Toc229219560"/>
      <w:bookmarkEnd w:id="45"/>
      <w:bookmarkEnd w:id="55"/>
      <w:r>
        <w:lastRenderedPageBreak/>
        <w:t>3.5 A direção do viés</w:t>
      </w:r>
      <w:bookmarkEnd w:id="58"/>
    </w:p>
    <w:p w14:paraId="2F9D32E1" w14:textId="77777777" w:rsidR="00C34FD2" w:rsidRDefault="00000000">
      <w:pPr>
        <w:pStyle w:val="FirstParagraph"/>
      </w:pPr>
      <w:r>
        <w:t xml:space="preserve">Estabelecer a estrutura causal é uma coisa; saber, na presença de confundidores não medidos, em que direção o viés residual atua é outra. VanderWeele, Hernán e Robins (11) estendem o aparato gráfico para tratar esse problema. O artigo introduz arestas com sinal — positivo ou negativo — e estabelece condições sob as quais é possível inferir, a partir das relações de monotonicidade entre exposição, desfecho e confundidor, se um confundidor não medido produz </w:t>
      </w:r>
      <w:r>
        <w:rPr>
          <w:b/>
          <w:bCs/>
        </w:rPr>
        <w:t>viés positivo</w:t>
      </w:r>
      <w:r>
        <w:t xml:space="preserve"> (a associação observada superestima o efeito) ou </w:t>
      </w:r>
      <w:r>
        <w:rPr>
          <w:b/>
          <w:bCs/>
        </w:rPr>
        <w:t>viés negativo</w:t>
      </w:r>
      <w:r>
        <w:t xml:space="preserve"> (a associação observada subestima ou inverte o efeito).</w:t>
      </w:r>
    </w:p>
    <w:p w14:paraId="3CB59B95" w14:textId="77777777" w:rsidR="00C34FD2" w:rsidRDefault="00000000">
      <w:pPr>
        <w:pStyle w:val="Corpodetexto"/>
      </w:pPr>
      <w:r>
        <w:t>A aplicação clínica imediata aparece nos casos paradigmáticos do site. O “viés do usuário saudável” (</w:t>
      </w:r>
      <w:r>
        <w:rPr>
          <w:i/>
          <w:iCs/>
        </w:rPr>
        <w:t>healthy-user bias</w:t>
      </w:r>
      <w:r>
        <w:t>) — segundo o qual indivíduos que aderem a hábitos preventivos de saúde, inclusive medicações, tendem a praticar outros hábitos protetores não medidos — produz, sistematicamente, viés positivo em associações entre tratamento e desfechos saudáveis. É a mecânica que sustentou décadas de evidência observacional favorável à terapia de reposição hormonal e a suplementos vitamínicos antes que ensaios randomizados a invertessem.</w:t>
      </w:r>
    </w:p>
    <w:p w14:paraId="1E1E85A9" w14:textId="77777777" w:rsidR="00C34FD2" w:rsidRDefault="00000000">
      <w:pPr>
        <w:pStyle w:val="Ttulo2"/>
      </w:pPr>
      <w:bookmarkStart w:id="59" w:name="o-target-trial"/>
      <w:bookmarkStart w:id="60" w:name="_Toc229219561"/>
      <w:bookmarkEnd w:id="57"/>
      <w:r>
        <w:t>3.6 O target trial</w:t>
      </w:r>
      <w:bookmarkEnd w:id="60"/>
    </w:p>
    <w:p w14:paraId="13FA78C4" w14:textId="77777777" w:rsidR="00C34FD2" w:rsidRDefault="00000000">
      <w:pPr>
        <w:pStyle w:val="FirstParagraph"/>
      </w:pPr>
      <w:r>
        <w:t xml:space="preserve">A última peça do aparato é o </w:t>
      </w:r>
      <w:r>
        <w:rPr>
          <w:b/>
          <w:bCs/>
        </w:rPr>
        <w:t>target trial</w:t>
      </w:r>
      <w:r>
        <w:t>, formalizado por Hernán e Robins (12): o ensaio clínico hipotético que o pesquisador estaria conduzindo, se conseguisse. A formulação se desdobra em uma exigência de protocolo — critérios de elegibilidade, estratégias de tratamento explicitamente definidas, momento de início (o “zero do tempo”), procedimento de atribuição, seguimento, desfecho, análise estatística. Especificado o protocolo, a análise observacional é avaliada pelo grau em que o emula. Discrepâncias entre os dois revelam fontes específicas de viés — entre as quais a mais frequente é o viés de tempo imortal, em que o desenho compara pacientes “tratados” com pacientes que tiveram, na prática, o privilégio de sobreviver até o início do tratamento.</w:t>
      </w:r>
    </w:p>
    <w:p w14:paraId="0AF7BEEA" w14:textId="77777777" w:rsidR="00C34FD2" w:rsidRDefault="00000000">
      <w:pPr>
        <w:pStyle w:val="Corpodetexto"/>
      </w:pPr>
      <w:r>
        <w:t>A noção tem efeito disciplinar imediato. Muitos estudos observacionais de comparação entre tratamentos, ao serem traduzidos em protocolo de target trial, revelam-se a emular ensaios com desenhos absurdos ou impossíveis. Reescrever o protocolo até que ele seja sensato força a análise a abandonar comparações que não admitem interpretação causal.</w:t>
      </w:r>
    </w:p>
    <w:p w14:paraId="5D63C3F7" w14:textId="77777777" w:rsidR="00C34FD2" w:rsidRDefault="00000000">
      <w:pPr>
        <w:pStyle w:val="Ttulo2"/>
      </w:pPr>
      <w:bookmarkStart w:id="61" w:name="síntese-2"/>
      <w:bookmarkStart w:id="62" w:name="_Toc229219562"/>
      <w:bookmarkEnd w:id="59"/>
      <w:r>
        <w:t>3.7 Síntese</w:t>
      </w:r>
      <w:bookmarkEnd w:id="62"/>
    </w:p>
    <w:p w14:paraId="5761B3F8" w14:textId="77777777" w:rsidR="00C34FD2" w:rsidRDefault="00000000">
      <w:pPr>
        <w:pStyle w:val="FirstParagraph"/>
      </w:pPr>
      <w:r>
        <w:t xml:space="preserve">Resultados potenciais, DAGs e target trial constituem o vocabulário comum da inferência causal contemporânea em epidemiologia. Os três aparatos não substituem Hill e Rothman; tornam preciso o que aqueles deixavam intuitivo. Causa, na leitura contemporânea, é diferença entre resultados potenciais. Confundimento é não-permutabilidade. Ajuste estatístico é a aplicação do critério de porta dos fundos. </w:t>
      </w:r>
      <w:r>
        <w:lastRenderedPageBreak/>
        <w:t>Evidência experimental, a prova mais forte segundo Hill, ganha contraparte observacional precisa: emular um target trial.</w:t>
      </w:r>
    </w:p>
    <w:p w14:paraId="5A4217BF" w14:textId="77777777" w:rsidR="00C34FD2" w:rsidRDefault="00000000">
      <w:pPr>
        <w:pStyle w:val="Corpodetexto"/>
      </w:pPr>
      <w:r>
        <w:t>Revisões recentes (13,14) retomam explicitamente os nove pontos de Hill à luz desse vocabulário, mostrando que o aparato moderno preserva o que era operacional em Hill e fundamenta o que era informal. Suzuki e Yamamoto (8) fazem o mesmo para o modelo de causa suficiente de Rothman, articulando a relação entre causa suficiente e resultado potencial. A continuidade conceitual é maior do que sugere o salto vocabular.</w:t>
      </w:r>
    </w:p>
    <w:p w14:paraId="3495CE62" w14:textId="77777777" w:rsidR="00C34FD2" w:rsidRDefault="00000000">
      <w:pPr>
        <w:pStyle w:val="Corpodetexto"/>
      </w:pPr>
      <w:r>
        <w:t>O Cap. 04 mostra como esse aparato vira ferramenta clínica no problema central da epidemiologia observacional: o controle do confundimento, com atenção à direção do viés.</w:t>
      </w:r>
    </w:p>
    <w:p w14:paraId="721B50D4" w14:textId="77777777" w:rsidR="00C34FD2" w:rsidRDefault="00000000">
      <w:pPr>
        <w:pStyle w:val="Ttulo2"/>
      </w:pPr>
      <w:bookmarkStart w:id="63" w:name="exercícios-2"/>
      <w:bookmarkStart w:id="64" w:name="_Toc229219563"/>
      <w:bookmarkEnd w:id="61"/>
      <w:r>
        <w:t>3.8 Exercícios</w:t>
      </w:r>
      <w:bookmarkEnd w:id="64"/>
    </w:p>
    <w:p w14:paraId="1CF8BCF2" w14:textId="77777777" w:rsidR="00C34FD2" w:rsidRDefault="00000000">
      <w:pPr>
        <w:pStyle w:val="FirstParagraph"/>
      </w:pPr>
      <w:r>
        <w:rPr>
          <w:b/>
          <w:bCs/>
        </w:rPr>
        <w:t>1.</w:t>
      </w:r>
      <w:r>
        <w:t xml:space="preserve"> O efeito do tratamento em um indivíduo específico não pode ser observado diretamente. Construa um argumento de até cinco linhas explicando por quê — mesmo que se conheça o desfecho de todos os pacientes da amostra. Qual é, então, a quantidade que pode ser estimada a partir de dados observacionais, e quais condições essa estimação exige?</w:t>
      </w:r>
    </w:p>
    <w:p w14:paraId="0D7540FF" w14:textId="77777777" w:rsidR="00C34FD2" w:rsidRDefault="00000000">
      <w:pPr>
        <w:pStyle w:val="Corpodetexto"/>
      </w:pPr>
      <w:r>
        <w:rPr>
          <w:b/>
          <w:bCs/>
        </w:rPr>
        <w:t>2.</w:t>
      </w:r>
      <w:r>
        <w:t xml:space="preserve"> Desenhe o DAG para a relação entre hipertensão arterial (X) e mortalidade (Y), incluindo: idade (A) como confundidor, níveis séricos de creatinina (M) como mediador potencial, e admissão hospitalar no período do estudo (C) como possível consequência comum de exposição e desfecho. Identifique os caminhos de porta dos fundos. Indique sob quais ajustes a associação observada estima o efeito causal de hipertensão sobre mortalidade — e quais ajustes introduzem viés.</w:t>
      </w:r>
    </w:p>
    <w:p w14:paraId="664B2923" w14:textId="77777777" w:rsidR="00C34FD2" w:rsidRDefault="00000000">
      <w:pPr>
        <w:pStyle w:val="Corpodetexto"/>
      </w:pPr>
      <w:r>
        <w:rPr>
          <w:b/>
          <w:bCs/>
        </w:rPr>
        <w:t>3.</w:t>
      </w:r>
      <w:r>
        <w:t xml:space="preserve"> Especifique o protocolo de um target trial para a pergunta: “metformina, em pacientes com diabetes tipo 2 sem doença cardiovascular estabelecida, reduz mortalidade por causas cardiovasculares?”. Liste, em uma frase cada: critérios de elegibilidade, estratégias de tratamento comparadas, zero do tempo, procedimento de atribuição (no trial hipotético), seguimento, desfecho primário, tipo de estimando da análise. Em seguida, identifique uma análise observacional que falharia em emular esse target trial e o tipo de viés que isso introduziria.</w:t>
      </w:r>
    </w:p>
    <w:p w14:paraId="78ACF4C3" w14:textId="77777777" w:rsidR="00274C70" w:rsidRDefault="00274C70">
      <w:pPr>
        <w:rPr>
          <w:rFonts w:asciiTheme="majorHAnsi" w:eastAsiaTheme="majorEastAsia" w:hAnsiTheme="majorHAnsi" w:cstheme="majorBidi"/>
          <w:color w:val="0F4761" w:themeColor="accent1" w:themeShade="BF"/>
          <w:sz w:val="40"/>
          <w:szCs w:val="40"/>
        </w:rPr>
      </w:pPr>
      <w:bookmarkStart w:id="65" w:name="confundimento-na-lente-moderna"/>
      <w:bookmarkStart w:id="66" w:name="_Toc229219564"/>
      <w:bookmarkEnd w:id="37"/>
      <w:bookmarkEnd w:id="63"/>
      <w:r>
        <w:br w:type="page"/>
      </w:r>
    </w:p>
    <w:p w14:paraId="6C760DE3" w14:textId="3AA21FDB" w:rsidR="00C34FD2" w:rsidRDefault="00000000">
      <w:pPr>
        <w:pStyle w:val="Ttulo1"/>
      </w:pPr>
      <w:r>
        <w:lastRenderedPageBreak/>
        <w:t>4. Confundimento na lente moderna</w:t>
      </w:r>
      <w:bookmarkEnd w:id="66"/>
    </w:p>
    <w:p w14:paraId="07FFA612" w14:textId="77777777" w:rsidR="00C34FD2" w:rsidRDefault="00000000">
      <w:pPr>
        <w:pStyle w:val="Ttulo2"/>
      </w:pPr>
      <w:bookmarkStart w:id="67" w:name="a-definição-moderna"/>
      <w:bookmarkStart w:id="68" w:name="_Toc229219565"/>
      <w:r>
        <w:t>4.1 A definição moderna</w:t>
      </w:r>
      <w:bookmarkEnd w:id="68"/>
    </w:p>
    <w:p w14:paraId="7592A387" w14:textId="77777777" w:rsidR="00C34FD2" w:rsidRDefault="00000000">
      <w:pPr>
        <w:pStyle w:val="FirstParagraph"/>
      </w:pPr>
      <w:r>
        <w:t>Em um estudo, comparam-se dois grupos — expostos e não expostos — para isolar o efeito de uma exposição sobre um desfecho. A comparação só é válida se os grupos forem iguais em tudo, exceto na exposição. Quando algum outro fator que afeta o desfecho difere entre eles, parte da diferença observada vem desse fator, e não da exposição. Esse problema é o confundimento.</w:t>
      </w:r>
    </w:p>
    <w:p w14:paraId="15986B94" w14:textId="77777777" w:rsidR="00C34FD2" w:rsidRDefault="00000000">
      <w:pPr>
        <w:pStyle w:val="Corpodetexto"/>
      </w:pPr>
      <w:r>
        <w:t>A idade é o exemplo mais comum. Pacientes mais velhos costumam receber certos tratamentos com mais frequência — porque acumulam comorbidades, porque preenchem mais indicações clínicas — e, ao mesmo tempo, têm mais chance de morrer ou de ter eventos. Se a comparação ignora a idade, parte do que parece efeito do tratamento é, na verdade, efeito de ser mais velho. Para recuperar o efeito do tratamento, é preciso separar a contribuição da idade — ajustar por ela na análise, parear por ela no desenho do estudo ou restringir o estudo a uma faixa etária.</w:t>
      </w:r>
    </w:p>
    <w:p w14:paraId="1363D812" w14:textId="77777777" w:rsidR="00C34FD2" w:rsidRDefault="00000000">
      <w:pPr>
        <w:pStyle w:val="Corpodetexto"/>
      </w:pPr>
      <w:r>
        <w:t>Tradicionalmente, confundidor é definido como “uma variável associada à exposição e ao desfecho, que não está na via causal entre eles”. A definição é intuitiva e amplamente usada — e leva, com frequência, a ajustes errados. O problema é que três tipos diferentes de variável satisfazem, ou parecem satisfazer, esse critério, e cada um exige tratamento estatístico oposto: confundidor, mediador e colisor.</w:t>
      </w:r>
    </w:p>
    <w:p w14:paraId="7864F311" w14:textId="77777777" w:rsidR="00C34FD2" w:rsidRDefault="00000000">
      <w:pPr>
        <w:pStyle w:val="Corpodetexto"/>
      </w:pPr>
      <w:r>
        <w:rPr>
          <w:b/>
          <w:bCs/>
        </w:rPr>
        <w:t>Confundidor</w:t>
      </w:r>
      <w:r>
        <w:t xml:space="preserve"> é a causa comum da exposição e do desfecho, como a idade no exemplo acima. Ajustar por ele reduz o viés.</w:t>
      </w:r>
    </w:p>
    <w:p w14:paraId="53CDCCC9" w14:textId="77777777" w:rsidR="00C34FD2" w:rsidRDefault="00000000">
      <w:pPr>
        <w:pStyle w:val="Corpodetexto"/>
      </w:pPr>
      <w:r>
        <w:rPr>
          <w:b/>
          <w:bCs/>
        </w:rPr>
        <w:t>Mediador</w:t>
      </w:r>
      <w:r>
        <w:t xml:space="preserve"> está dentro da via causal entre exposição e desfecho: a exposição age sobre o desfecho passando por ele. Estatinas reduzem eventos cardiovasculares principalmente por reduzirem o LDL; LDL é mediador do efeito da estatina. Ajustar por LDL não controla confundimento — controla o próprio efeito que se queria estimar. A análise passa a capturar apenas a parte do efeito da estatina que age por outras vias e perde a parte que age pela redução do LDL. Sob a definição clássica, o mediador parece satisfazer o critério: está associado à exposição (estatina reduz LDL) e ao desfecho (LDL alto causa evento). Mas não é confundidor.</w:t>
      </w:r>
    </w:p>
    <w:p w14:paraId="19360D5E" w14:textId="77777777" w:rsidR="00C34FD2" w:rsidRDefault="00000000">
      <w:pPr>
        <w:pStyle w:val="Corpodetexto"/>
      </w:pPr>
      <w:r>
        <w:rPr>
          <w:b/>
          <w:bCs/>
        </w:rPr>
        <w:t>Colisor</w:t>
      </w:r>
      <w:r>
        <w:t xml:space="preserve"> é variável que é consequência tanto da exposição quanto do desfecho, ou de causas comuns de ambos. Hipertensão grave e infarto, cada um por seu lado, aumentam a chance de hospitalização; hospitalização é colisor de hipertensão e infarto. Ajustar por um colisor — restringir a análise a pacientes hospitalizados, por exemplo — cria associação onde não havia. Sob a definição clássica, o colisor também parece satisfazer o critério, sobretudo quando a amostra já foi filtrada por algum processo de seleção (apenas pacientes internados, apenas voluntários de um registro): ele aparece estatisticamente associado à exposição e ao desfecho. Mas ajustar por ele introduz viés, em vez de removê-lo.</w:t>
      </w:r>
    </w:p>
    <w:p w14:paraId="49AB9A87" w14:textId="77777777" w:rsidR="00C34FD2" w:rsidRDefault="00000000">
      <w:pPr>
        <w:pStyle w:val="Corpodetexto"/>
      </w:pPr>
      <w:r>
        <w:lastRenderedPageBreak/>
        <w:t>Greenland e Robins (9) mostram que o critério correto para identificar um confundidor não é estar associado à exposição e ao desfecho — é a capacidade de devolver aos grupos a comparabilidade. Confundidor passa nesse critério; mediador e colisor, não. A consequência prática é direta: decidir se uma variável deve entrar no ajuste exige conhecimento da estrutura causal do problema. Os dados, sozinhos, não distinguem confundidor, mediador e colisor — a mesma associação estatística entre uma covariável e o desfecho é compatível com as três interpretações.</w:t>
      </w:r>
    </w:p>
    <w:p w14:paraId="5753FC8A" w14:textId="77777777" w:rsidR="00C34FD2" w:rsidRDefault="00000000">
      <w:pPr>
        <w:pStyle w:val="Ttulo2"/>
      </w:pPr>
      <w:bookmarkStart w:id="69" w:name="confundimento-positivo-e-negativo"/>
      <w:bookmarkStart w:id="70" w:name="_Toc229219566"/>
      <w:bookmarkEnd w:id="67"/>
      <w:r>
        <w:t>4.2 Confundimento positivo e negativo</w:t>
      </w:r>
      <w:bookmarkEnd w:id="70"/>
    </w:p>
    <w:p w14:paraId="4C0C2F9F" w14:textId="77777777" w:rsidR="00C34FD2" w:rsidRDefault="00000000">
      <w:pPr>
        <w:pStyle w:val="FirstParagraph"/>
      </w:pPr>
      <w:r>
        <w:t xml:space="preserve">Quando há um confundidor que ninguém mediu — e que, portanto, não pode ser ajustado —, é útil saber em que direção o viés que sobra atua. VanderWeele, Hernán e Robins (11) estendem o aparato gráfico para responder a essa pergunta. Sob hipóteses específicas, é possível inferir, a partir das setas do DAG, se o confundidor não medido tende a </w:t>
      </w:r>
      <w:r>
        <w:rPr>
          <w:b/>
          <w:bCs/>
        </w:rPr>
        <w:t>superestimar</w:t>
      </w:r>
      <w:r>
        <w:t xml:space="preserve"> o efeito da exposição (viés positivo) ou a </w:t>
      </w:r>
      <w:r>
        <w:rPr>
          <w:b/>
          <w:bCs/>
        </w:rPr>
        <w:t>subestimá-lo ou invertê-lo</w:t>
      </w:r>
      <w:r>
        <w:t xml:space="preserve"> (viés negativo).</w:t>
      </w:r>
    </w:p>
    <w:p w14:paraId="0A8BB969" w14:textId="77777777" w:rsidR="00C34FD2" w:rsidRDefault="00000000">
      <w:pPr>
        <w:pStyle w:val="Corpodetexto"/>
      </w:pPr>
      <w:r>
        <w:t xml:space="preserve">A aplicação clínica mais importante para os casos do site é o </w:t>
      </w:r>
      <w:r>
        <w:rPr>
          <w:b/>
          <w:bCs/>
        </w:rPr>
        <w:t>viés do usuário saudável</w:t>
      </w:r>
      <w:r>
        <w:t xml:space="preserve"> (</w:t>
      </w:r>
      <w:r>
        <w:rPr>
          <w:i/>
          <w:iCs/>
        </w:rPr>
        <w:t>healthy-user bias</w:t>
      </w:r>
      <w:r>
        <w:t>). Pessoas que aderem a uma prescrição preventiva — terapia de reposição hormonal, suplementação vitamínica, estatina em prevenção primária — costumam praticar, ao mesmo tempo, outros comportamentos protetores que ninguém mediu: alimentação cuidadosa, atividade física regular, ida frequente ao médico, adesão a outras recomendações. Esses comportamentos causam, ao mesmo tempo, o uso da intervenção (porque pessoas saudáveis a procuram) e o desfecho favorável (porque produzem benefício independente).</w:t>
      </w:r>
    </w:p>
    <w:p w14:paraId="2D54B209" w14:textId="77777777" w:rsidR="00C34FD2" w:rsidRDefault="00000000">
      <w:pPr>
        <w:pStyle w:val="Corpodetexto"/>
      </w:pPr>
      <w:r>
        <w:t xml:space="preserve">A consequência é estrutural: a associação observada entre a intervenção e desfechos saudáveis fica sistematicamente </w:t>
      </w:r>
      <w:r>
        <w:rPr>
          <w:b/>
          <w:bCs/>
        </w:rPr>
        <w:t>superestimada</w:t>
      </w:r>
      <w:r>
        <w:t xml:space="preserve"> — o viés tem direção positiva, na direção da proteção aparente. Foi esse padrão que sustentou décadas de evidência observacional favorável à terapia de reposição hormonal e a suplementos vitamínicos, antes que ensaios randomizados invertessem a conclusão.</w:t>
      </w:r>
    </w:p>
    <w:p w14:paraId="253EC249" w14:textId="77777777" w:rsidR="00C34FD2" w:rsidRDefault="00000000">
      <w:pPr>
        <w:pStyle w:val="Ttulo2"/>
      </w:pPr>
      <w:bookmarkStart w:id="71" w:name="estratégias-de-controle-por-desenho"/>
      <w:bookmarkStart w:id="72" w:name="_Toc229219567"/>
      <w:bookmarkEnd w:id="69"/>
      <w:r>
        <w:t>4.3 Estratégias de controle por desenho</w:t>
      </w:r>
      <w:bookmarkEnd w:id="72"/>
    </w:p>
    <w:p w14:paraId="73B03B24" w14:textId="77777777" w:rsidR="00C34FD2" w:rsidRDefault="00000000">
      <w:pPr>
        <w:pStyle w:val="FirstParagraph"/>
      </w:pPr>
      <w:r>
        <w:t xml:space="preserve">A primeira camada de controle atua </w:t>
      </w:r>
      <w:r>
        <w:rPr>
          <w:b/>
          <w:bCs/>
        </w:rPr>
        <w:t>antes</w:t>
      </w:r>
      <w:r>
        <w:t xml:space="preserve"> mesmo de a análise estatística começar — bloqueia o viés ao desenhar o estudo.</w:t>
      </w:r>
    </w:p>
    <w:p w14:paraId="4AD9BF00" w14:textId="77777777" w:rsidR="00C34FD2" w:rsidRDefault="00000000">
      <w:pPr>
        <w:pStyle w:val="Corpodetexto"/>
      </w:pPr>
      <w:r>
        <w:rPr>
          <w:b/>
          <w:bCs/>
        </w:rPr>
        <w:t>Randomização.</w:t>
      </w:r>
      <w:r>
        <w:t xml:space="preserve"> É o único procedimento que, em média, torna os grupos comparáveis em todos os fatores — inclusive nos confundidores que ninguém mediu ou pensou em medir. A moeda decide quem recebe o tratamento; em média, os dois grupos ficam parecidos em tudo. O preço é a artificialidade do desenho: o ensaio responde sobre uma população específica, num período específico, sob um regime específico, e generalizar para a prática clínica exige argumento separado.</w:t>
      </w:r>
    </w:p>
    <w:p w14:paraId="1E8144A2" w14:textId="77777777" w:rsidR="00C34FD2" w:rsidRDefault="00000000">
      <w:pPr>
        <w:pStyle w:val="Corpodetexto"/>
      </w:pPr>
      <w:r>
        <w:rPr>
          <w:b/>
          <w:bCs/>
        </w:rPr>
        <w:lastRenderedPageBreak/>
        <w:t>Restrição.</w:t>
      </w:r>
      <w:r>
        <w:t xml:space="preserve"> Elimina a variação no confundidor restringindo a amostra a um único valor dele. Um estudo de função pulmonar conduzido apenas em não fumantes elimina, por construção, o confundimento pelo tabaco. O custo é a generalização limitada: o efeito identificado vale para a subpopulação restrita.</w:t>
      </w:r>
    </w:p>
    <w:p w14:paraId="6032C853" w14:textId="77777777" w:rsidR="00C34FD2" w:rsidRDefault="00000000">
      <w:pPr>
        <w:pStyle w:val="Corpodetexto"/>
      </w:pPr>
      <w:r>
        <w:rPr>
          <w:b/>
          <w:bCs/>
        </w:rPr>
        <w:t>Pareamento</w:t>
      </w:r>
      <w:r>
        <w:t xml:space="preserve"> (</w:t>
      </w:r>
      <w:r>
        <w:rPr>
          <w:i/>
          <w:iCs/>
        </w:rPr>
        <w:t>matching</w:t>
      </w:r>
      <w:r>
        <w:t>). Em estudos de coorte, atribui a cada exposto um ou mais não expostos com valores semelhantes do confundidor; em caso-controle, a operação é análoga sobre os pares caso-controle. O pareamento sozinho não controla totalmente o confundimento — a variável usada para parear ainda precisa ser tratada na análise —, mas melhora a precisão e equilibra as distribuições. É especialmente útil quando o confundidor está fortemente associado ao desfecho.</w:t>
      </w:r>
    </w:p>
    <w:p w14:paraId="173C1150" w14:textId="77777777" w:rsidR="00C34FD2" w:rsidRDefault="00000000">
      <w:pPr>
        <w:pStyle w:val="Ttulo2"/>
      </w:pPr>
      <w:bookmarkStart w:id="73" w:name="estratégias-de-controle-na-análise"/>
      <w:bookmarkStart w:id="74" w:name="_Toc229219568"/>
      <w:bookmarkEnd w:id="71"/>
      <w:r>
        <w:t>4.4 Estratégias de controle na análise</w:t>
      </w:r>
      <w:bookmarkEnd w:id="74"/>
    </w:p>
    <w:p w14:paraId="7670F8E2" w14:textId="77777777" w:rsidR="00C34FD2" w:rsidRDefault="00000000">
      <w:pPr>
        <w:pStyle w:val="FirstParagraph"/>
      </w:pPr>
      <w:r>
        <w:t>A segunda camada atua sobre os dados já coletados.</w:t>
      </w:r>
    </w:p>
    <w:p w14:paraId="6708F999" w14:textId="77777777" w:rsidR="00C34FD2" w:rsidRDefault="00000000">
      <w:pPr>
        <w:pStyle w:val="Corpodetexto"/>
      </w:pPr>
      <w:r>
        <w:rPr>
          <w:b/>
          <w:bCs/>
        </w:rPr>
        <w:t>Estratificação.</w:t>
      </w:r>
      <w:r>
        <w:t xml:space="preserve"> Divide a amostra em grupos (estratos) definidos pelo confundidor e estima o efeito da exposição separadamente em cada estrato; depois combina os estratos por uma média ponderada. O exemplo clássico é o estimador de Mantel-Haenszel. A estratificação é transparente e revela se o efeito da exposição varia entre estratos. A limitação é prática: com muitos confundidores, o número de estratos cresce multiplicativamente e a maioria deles fica sem casos suficientes para uma estimativa estável.</w:t>
      </w:r>
    </w:p>
    <w:p w14:paraId="5E5C5A64" w14:textId="77777777" w:rsidR="00C34FD2" w:rsidRDefault="00000000">
      <w:pPr>
        <w:pStyle w:val="Corpodetexto"/>
      </w:pPr>
      <w:r>
        <w:rPr>
          <w:b/>
          <w:bCs/>
        </w:rPr>
        <w:t>Ajuste regressivo.</w:t>
      </w:r>
      <w:r>
        <w:t xml:space="preserve"> Inclui o confundidor como variável independente em um modelo de regressão (linear, logística, Cox). Acomoda múltiplos confundidores e variáveis contínuas em um único passo. A dependência crítica é da forma funcional do modelo: a relação entre cada covariável e o desfecho precisa ser representada adequadamente — linear, quadrática, com transformação, com interação. Quando o modelo está mal especificado, o ajuste fica incompleto. Em amostras pequenas com muitas covariáveis, surge ainda o risco de </w:t>
      </w:r>
      <w:r>
        <w:rPr>
          <w:b/>
          <w:bCs/>
        </w:rPr>
        <w:t>viés por dados esparsos</w:t>
      </w:r>
      <w:r>
        <w:t xml:space="preserve"> (estimativas instáveis quando alguns estratos têm poucos eventos).</w:t>
      </w:r>
    </w:p>
    <w:p w14:paraId="1804992E" w14:textId="77777777" w:rsidR="00C34FD2" w:rsidRDefault="00000000">
      <w:pPr>
        <w:pStyle w:val="Corpodetexto"/>
      </w:pPr>
      <w:r>
        <w:rPr>
          <w:b/>
          <w:bCs/>
        </w:rPr>
        <w:t>Escore de propensão.</w:t>
      </w:r>
      <w:r>
        <w:t xml:space="preserve"> Resume, em uma única variável, a probabilidade de cada paciente receber a exposição, dada a sua combinação de confundidores medidos. Dentro de cada faixa do escore, a distribuição dos confundidores fica equilibrada entre expostos e não expostos. O escore é então usado para parear pacientes, estratificá-los ou ponderá-los na análise. A redução a uma única variável facilita o ajuste quando há muitos confundidores. As limitações são as mesmas da análise convencional: o escore só equilibra os confundidores que foram </w:t>
      </w:r>
      <w:r>
        <w:rPr>
          <w:b/>
          <w:bCs/>
        </w:rPr>
        <w:t>medidos</w:t>
      </w:r>
      <w:r>
        <w:t xml:space="preserve">, e exige que existam, dentro de cada faixa do escore, tanto expostos quanto não expostos (a chamada </w:t>
      </w:r>
      <w:r>
        <w:rPr>
          <w:b/>
          <w:bCs/>
        </w:rPr>
        <w:t>positividade</w:t>
      </w:r>
      <w:r>
        <w:t>).</w:t>
      </w:r>
    </w:p>
    <w:p w14:paraId="03752DF1" w14:textId="77777777" w:rsidR="00C34FD2" w:rsidRDefault="00000000">
      <w:pPr>
        <w:pStyle w:val="Ttulo2"/>
      </w:pPr>
      <w:bookmarkStart w:id="75" w:name="confundidores-não-medidos"/>
      <w:bookmarkStart w:id="76" w:name="_Toc229219569"/>
      <w:bookmarkEnd w:id="73"/>
      <w:r>
        <w:lastRenderedPageBreak/>
        <w:t>4.5 Confundidores não medidos</w:t>
      </w:r>
      <w:bookmarkEnd w:id="76"/>
    </w:p>
    <w:p w14:paraId="41701AD1" w14:textId="77777777" w:rsidR="00C34FD2" w:rsidRDefault="00000000">
      <w:pPr>
        <w:pStyle w:val="FirstParagraph"/>
      </w:pPr>
      <w:r>
        <w:t>Quando o confundidor relevante não foi medido, o ajuste estatístico convencional é inoperante. Três métodos lidam com essa situação.</w:t>
      </w:r>
    </w:p>
    <w:p w14:paraId="04C19A79" w14:textId="77777777" w:rsidR="00C34FD2" w:rsidRDefault="00000000">
      <w:pPr>
        <w:pStyle w:val="Corpodetexto"/>
      </w:pPr>
      <w:r>
        <w:rPr>
          <w:b/>
          <w:bCs/>
        </w:rPr>
        <w:t>Variável instrumental.</w:t>
      </w:r>
      <w:r>
        <w:t xml:space="preserve"> É uma variável que afeta a exposição, mas afeta o desfecho </w:t>
      </w:r>
      <w:r>
        <w:rPr>
          <w:b/>
          <w:bCs/>
        </w:rPr>
        <w:t>apenas</w:t>
      </w:r>
      <w:r>
        <w:t xml:space="preserve"> através da exposição — não tem outro caminho até ele. Essa propriedade é chamada de </w:t>
      </w:r>
      <w:r>
        <w:rPr>
          <w:b/>
          <w:bCs/>
        </w:rPr>
        <w:t>restrição de exclusão</w:t>
      </w:r>
      <w:r>
        <w:t xml:space="preserve">. Identificada uma variável com essa propriedade, é possível estimar o efeito causal mesmo na presença de confundidores não medidos. Alguns exemplos: a distância até um centro especializado como instrumento para receber determinado tratamento (a distância afeta o acesso, mas não afeta o desfecho por outra via que não pelo tratamento); a aleatoriedade meteorológica como instrumento para exposição ambiental. A </w:t>
      </w:r>
      <w:r>
        <w:rPr>
          <w:b/>
          <w:bCs/>
        </w:rPr>
        <w:t>randomização mendeliana</w:t>
      </w:r>
      <w:r>
        <w:t xml:space="preserve"> é um caso particular: usa uma variante genética como instrumento, aproveitando o fato de que a herança genética é, na prática, um sorteio. A grande dificuldade do método está na restrição de exclusão — ela não pode ser provada a partir dos dados, e exige justificativa biológica sólida.</w:t>
      </w:r>
    </w:p>
    <w:p w14:paraId="124FBF92" w14:textId="77777777" w:rsidR="00C34FD2" w:rsidRDefault="00000000">
      <w:pPr>
        <w:pStyle w:val="Corpodetexto"/>
      </w:pPr>
      <w:r>
        <w:rPr>
          <w:b/>
          <w:bCs/>
        </w:rPr>
        <w:t>Regressão descontínua.</w:t>
      </w:r>
      <w:r>
        <w:t xml:space="preserve"> Explora situações em que a atribuição do tratamento depende de um limiar fixo em uma variável contínua. Alguns exemplos: a idade de 65 anos para elegibilidade ao Medicare; um escore de gravidade que define internação em CTI. Pacientes imediatamente acima e imediatamente abaixo do limiar são, na vizinhança da descontinuidade, comparáveis em todos os fatores que variam de forma contínua com a idade ou a gravidade — a única coisa que difere bruscamente entre eles é o tratamento. A diferença no desfecho entre quem está logo acima e logo abaixo do limiar estima o efeito do tratamento naquela vizinhança. O método produz inferência local — vale apenas perto do limiar — e exige premissas de continuidade.</w:t>
      </w:r>
    </w:p>
    <w:p w14:paraId="1874EC94" w14:textId="77777777" w:rsidR="00C34FD2" w:rsidRDefault="00000000">
      <w:pPr>
        <w:pStyle w:val="Corpodetexto"/>
      </w:pPr>
      <w:r>
        <w:rPr>
          <w:b/>
          <w:bCs/>
        </w:rPr>
        <w:t>Análise de sensibilidade.</w:t>
      </w:r>
      <w:r>
        <w:t xml:space="preserve"> Quantifica a robustez do achado a confundimento não medido. O </w:t>
      </w:r>
      <w:r>
        <w:rPr>
          <w:b/>
          <w:bCs/>
        </w:rPr>
        <w:t>E-value</w:t>
      </w:r>
      <w:r>
        <w:t>, proposto por VanderWeele e Ding (15), é a versão mais usada. Em uma única razão de risco, ele responde a uma pergunta direta: qual seria a magnitude mínima de associação que um confundidor não medido precisaria ter, simultaneamente com a exposição e com o desfecho, para anular o efeito observado? Um E-value alto significa que apenas um confundimento substancial poderia explicar o achado; um E-value próximo de 1 significa que o resultado é frágil — confundimento modesto bastaria para anulá-lo. Reportar o E-value rotineiramente, prática hoje recomendada para estudos observacionais com pretensão causal, desloca o debate de “existe confundimento residual?” (resposta sempre sim) para “que magnitude de confundimento residual seria necessária para destruir o efeito?”.</w:t>
      </w:r>
    </w:p>
    <w:p w14:paraId="58A4A781" w14:textId="77777777" w:rsidR="00C34FD2" w:rsidRDefault="00000000">
      <w:pPr>
        <w:pStyle w:val="Ttulo2"/>
      </w:pPr>
      <w:bookmarkStart w:id="77" w:name="X2dca3753c706a0f57cfcd280b680ec3dfad76fe"/>
      <w:bookmarkStart w:id="78" w:name="_Toc229219570"/>
      <w:bookmarkEnd w:id="75"/>
      <w:r>
        <w:t>4.6 Confundimento residual e análise de viés quantitativa</w:t>
      </w:r>
      <w:bookmarkEnd w:id="78"/>
    </w:p>
    <w:p w14:paraId="3FBAF37A" w14:textId="77777777" w:rsidR="00C34FD2" w:rsidRDefault="00000000">
      <w:pPr>
        <w:pStyle w:val="FirstParagraph"/>
      </w:pPr>
      <w:r>
        <w:t xml:space="preserve">Mesmo depois de aplicada a melhor estratégia de ajuste, sempre sobra algum </w:t>
      </w:r>
      <w:r>
        <w:rPr>
          <w:b/>
          <w:bCs/>
        </w:rPr>
        <w:t>confundimento residual</w:t>
      </w:r>
      <w:r>
        <w:t xml:space="preserve"> — o viés que não foi totalmente eliminado. Ele tem pelo menos quatro fontes: confundidores que não foram medidos; erros de medida em </w:t>
      </w:r>
      <w:r>
        <w:lastRenderedPageBreak/>
        <w:t>confundidores que foram medidos; modelo regressivo com forma funcional inadequada; e estratos com poucos casos.</w:t>
      </w:r>
    </w:p>
    <w:p w14:paraId="021B7394" w14:textId="77777777" w:rsidR="00C34FD2" w:rsidRDefault="00000000">
      <w:pPr>
        <w:pStyle w:val="Corpodetexto"/>
      </w:pPr>
      <w:r>
        <w:t xml:space="preserve">Savitz, Pearce e Rothman (2) argumentam que a forma metodologicamente madura de lidar com esse resíduo é a </w:t>
      </w:r>
      <w:r>
        <w:rPr>
          <w:b/>
          <w:bCs/>
        </w:rPr>
        <w:t>análise de viés quantitativa</w:t>
      </w:r>
      <w:r>
        <w:t>: em vez de apenas reconhecer no texto que “pode haver confundimento residual”, especificar cenários quantitativos. Qual seria o efeito estimado se um confundidor não medido com determinadas características estivesse presente? Qual a sensibilidade do achado a um erro de medida de magnitude X? Qual o intervalo de estimativas plausíveis sob premissas diferentes? O E-value é uma versão simples dessa análise; fórmulas algébricas de viés, simulação de Monte Carlo e análise probabilística são versões mais elaboradas. O efeito é deslocar o ônus da inferência: o autor não declara apenas que controlou confundimento — demonstra quão robusta é a sua conclusão a violações específicas das premissas.</w:t>
      </w:r>
    </w:p>
    <w:p w14:paraId="722DA996" w14:textId="77777777" w:rsidR="00C34FD2" w:rsidRDefault="00000000">
      <w:pPr>
        <w:pStyle w:val="Ttulo2"/>
      </w:pPr>
      <w:bookmarkStart w:id="79" w:name="aplicação-aos-casos-do-site"/>
      <w:bookmarkStart w:id="80" w:name="_Toc229219571"/>
      <w:bookmarkEnd w:id="77"/>
      <w:r>
        <w:t>4.7 Aplicação aos casos do site</w:t>
      </w:r>
      <w:bookmarkEnd w:id="80"/>
    </w:p>
    <w:p w14:paraId="5CCFE1DE" w14:textId="77777777" w:rsidR="00C34FD2" w:rsidRDefault="00000000">
      <w:pPr>
        <w:pStyle w:val="FirstParagraph"/>
      </w:pPr>
      <w:r>
        <w:t xml:space="preserve">O viés do usuário saudável — confundimento positivo sistemático — é o eixo explicativo dos casos da </w:t>
      </w:r>
      <w:hyperlink r:id="rId19">
        <w:r>
          <w:rPr>
            <w:rStyle w:val="Hyperlink"/>
          </w:rPr>
          <w:t>terapia de reposição hormonal</w:t>
        </w:r>
      </w:hyperlink>
      <w:r>
        <w:t xml:space="preserve">, da </w:t>
      </w:r>
      <w:hyperlink r:id="rId20">
        <w:r>
          <w:rPr>
            <w:rStyle w:val="Hyperlink"/>
          </w:rPr>
          <w:t>vitamina E</w:t>
        </w:r>
      </w:hyperlink>
      <w:r>
        <w:t xml:space="preserve"> e parte da história da </w:t>
      </w:r>
      <w:hyperlink r:id="rId21">
        <w:r>
          <w:rPr>
            <w:rStyle w:val="Hyperlink"/>
          </w:rPr>
          <w:t>vitamina D</w:t>
        </w:r>
      </w:hyperlink>
      <w:r>
        <w:t xml:space="preserve">. Em cada um deles, a evidência observacional sustentava efeito protetor robusto antes que o ensaio randomizado a invertesse. A reanálise contemporânea reconhece, em cada caso, que existiam confundidores não medidos compatíveis com o padrão </w:t>
      </w:r>
      <w:r>
        <w:rPr>
          <w:i/>
          <w:iCs/>
        </w:rPr>
        <w:t>healthy-user</w:t>
      </w:r>
      <w:r>
        <w:t xml:space="preserve"> — e que esses confundidores tinham E-values plausíveis para anular a associação observada. O ensaio randomizado os anulou na prática.</w:t>
      </w:r>
    </w:p>
    <w:p w14:paraId="2E18F484" w14:textId="77777777" w:rsidR="00C34FD2" w:rsidRDefault="00000000">
      <w:pPr>
        <w:pStyle w:val="Corpodetexto"/>
      </w:pPr>
      <w:r>
        <w:t xml:space="preserve">Para a </w:t>
      </w:r>
      <w:hyperlink r:id="rId22">
        <w:r>
          <w:rPr>
            <w:rStyle w:val="Hyperlink"/>
          </w:rPr>
          <w:t>vitamina D</w:t>
        </w:r>
      </w:hyperlink>
      <w:r>
        <w:t xml:space="preserve">, além do confundimento, atua a </w:t>
      </w:r>
      <w:r>
        <w:rPr>
          <w:b/>
          <w:bCs/>
        </w:rPr>
        <w:t>causalidade reversa</w:t>
      </w:r>
      <w:r>
        <w:t xml:space="preserve">: pacientes com doença crônica têm níveis séricos de vitamina D mais baixos como consequência da doença, não como sua causa. Para o </w:t>
      </w:r>
      <w:hyperlink r:id="rId23">
        <w:r>
          <w:rPr>
            <w:rStyle w:val="Hyperlink"/>
          </w:rPr>
          <w:t>betacaroteno</w:t>
        </w:r>
      </w:hyperlink>
      <w:r>
        <w:t xml:space="preserve">, entram em cena dois fenômenos adicionais — a </w:t>
      </w:r>
      <w:r>
        <w:rPr>
          <w:b/>
          <w:bCs/>
        </w:rPr>
        <w:t>falácia ecológica</w:t>
      </w:r>
      <w:r>
        <w:t xml:space="preserve"> (transferir uma associação populacional, como consumo de frutas e legumes, para uma intervenção individual, como suplemento isolado) e a fragmentação do “componente ativo” para fora da matriz alimentar onde ele atua. O confundimento explica parte da história, não toda.</w:t>
      </w:r>
    </w:p>
    <w:p w14:paraId="0E6930E4" w14:textId="77777777" w:rsidR="00C34FD2" w:rsidRDefault="00000000">
      <w:pPr>
        <w:pStyle w:val="Ttulo2"/>
      </w:pPr>
      <w:bookmarkStart w:id="81" w:name="síntese-3"/>
      <w:bookmarkStart w:id="82" w:name="_Toc229219572"/>
      <w:bookmarkEnd w:id="79"/>
      <w:r>
        <w:t>4.8 Síntese</w:t>
      </w:r>
      <w:bookmarkEnd w:id="82"/>
    </w:p>
    <w:p w14:paraId="7485527F" w14:textId="77777777" w:rsidR="00C34FD2" w:rsidRDefault="00000000">
      <w:pPr>
        <w:pStyle w:val="FirstParagraph"/>
      </w:pPr>
      <w:r>
        <w:t>Confundimento é o problema central da epidemiologia observacional. O aparato moderno — resultados potenciais, DAGs, controle por desenho, ajuste analítico, métodos para confundidor não medido, análise de viés quantitativa — não elimina o problema, mas o torna disciplinado. Cada decisão analítica passa a ser justificada por uma estrutura causal explícita, e o que sobra de viés fica quantificável.</w:t>
      </w:r>
    </w:p>
    <w:p w14:paraId="39BAD0C4" w14:textId="77777777" w:rsidR="00C34FD2" w:rsidRDefault="00000000">
      <w:pPr>
        <w:pStyle w:val="Corpodetexto"/>
      </w:pPr>
      <w:r>
        <w:t>O Cap. 05 trata do que se faz quando, mesmo com todo esse aparato, a evidência permanece ambígua: triangulação, hierarquia GRADE e a leitura contemporânea dos pontos de Hill como considerações, em vez de critérios.</w:t>
      </w:r>
    </w:p>
    <w:p w14:paraId="4EE7C7FE" w14:textId="77777777" w:rsidR="00C34FD2" w:rsidRDefault="00000000">
      <w:pPr>
        <w:pStyle w:val="Ttulo2"/>
      </w:pPr>
      <w:bookmarkStart w:id="83" w:name="exercícios-3"/>
      <w:bookmarkStart w:id="84" w:name="_Toc229219573"/>
      <w:bookmarkEnd w:id="81"/>
      <w:r>
        <w:lastRenderedPageBreak/>
        <w:t>4.9 Exercícios</w:t>
      </w:r>
      <w:bookmarkEnd w:id="84"/>
    </w:p>
    <w:p w14:paraId="2CF03E7B" w14:textId="77777777" w:rsidR="00C34FD2" w:rsidRDefault="00000000">
      <w:pPr>
        <w:pStyle w:val="FirstParagraph"/>
      </w:pPr>
      <w:r>
        <w:rPr>
          <w:b/>
          <w:bCs/>
        </w:rPr>
        <w:t>1.</w:t>
      </w:r>
      <w:r>
        <w:t xml:space="preserve"> Em um estudo observacional que reporta menor mortalidade cardiovascular em mulheres em uso de terapia de reposição hormonal vs não usuárias, identifique a direção mais provável do viés do usuário saudável e explique, em até cinco linhas, por que esse viés produziria associação aparentemente protetora mesmo na ausência de qualquer efeito biológico de TRH sobre o sistema cardiovascular.</w:t>
      </w:r>
    </w:p>
    <w:p w14:paraId="1799BB0B" w14:textId="77777777" w:rsidR="00C34FD2" w:rsidRDefault="00000000">
      <w:pPr>
        <w:pStyle w:val="Corpodetexto"/>
      </w:pPr>
      <w:r>
        <w:rPr>
          <w:b/>
          <w:bCs/>
        </w:rPr>
        <w:t>2.</w:t>
      </w:r>
      <w:r>
        <w:t xml:space="preserve"> Um pesquisador estuda o efeito de uma estatina sobre eventos cardiovasculares e ajusta o modelo regressivo por LDL pós-tratamento. Discuta — usando vocabulário de mediador, confundidor e colisor — por que esse ajuste é metodologicamente problemático e o que ele estima realmente. Que ajuste alternativo recuperaria o efeito causal de interesse?</w:t>
      </w:r>
    </w:p>
    <w:p w14:paraId="7FA95DF9" w14:textId="77777777" w:rsidR="00C34FD2" w:rsidRDefault="00000000">
      <w:pPr>
        <w:pStyle w:val="Corpodetexto"/>
      </w:pPr>
      <w:r>
        <w:rPr>
          <w:b/>
          <w:bCs/>
        </w:rPr>
        <w:t>3.</w:t>
      </w:r>
      <w:r>
        <w:t xml:space="preserve"> Um estudo reporta razão de risco de 1,8 para uma associação exposição-desfecho, após ajuste por confundidores medidos. O E-value calculado é 3,0. Em uma frase, interprete o E-value: que magnitude de confundimento não medido seria necessária para anular o efeito? O resultado parece robusto a confundimento moderado, ou é frágil?</w:t>
      </w:r>
    </w:p>
    <w:p w14:paraId="3B1831BE" w14:textId="77777777" w:rsidR="00274C70" w:rsidRDefault="00274C70">
      <w:pPr>
        <w:rPr>
          <w:rFonts w:asciiTheme="majorHAnsi" w:eastAsiaTheme="majorEastAsia" w:hAnsiTheme="majorHAnsi" w:cstheme="majorBidi"/>
          <w:color w:val="0F4761" w:themeColor="accent1" w:themeShade="BF"/>
          <w:sz w:val="40"/>
          <w:szCs w:val="40"/>
        </w:rPr>
      </w:pPr>
      <w:bookmarkStart w:id="85" w:name="X49a61f0a68d74f8c87169a61cafe8e55ba623c6"/>
      <w:bookmarkStart w:id="86" w:name="_Toc229219574"/>
      <w:bookmarkEnd w:id="65"/>
      <w:bookmarkEnd w:id="83"/>
      <w:r>
        <w:br w:type="page"/>
      </w:r>
    </w:p>
    <w:p w14:paraId="1F871684" w14:textId="1E36E5BC" w:rsidR="00C34FD2" w:rsidRDefault="00000000">
      <w:pPr>
        <w:pStyle w:val="Ttulo1"/>
      </w:pPr>
      <w:r>
        <w:lastRenderedPageBreak/>
        <w:t>5. Causa ou associação hoje — Hill, triangulação e o debate atual</w:t>
      </w:r>
      <w:bookmarkEnd w:id="86"/>
    </w:p>
    <w:p w14:paraId="1C777F93" w14:textId="77777777" w:rsidR="00C34FD2" w:rsidRDefault="00000000">
      <w:pPr>
        <w:pStyle w:val="Ttulo2"/>
      </w:pPr>
      <w:bookmarkStart w:id="87" w:name="hill-são-considerações-não-critérios"/>
      <w:bookmarkStart w:id="88" w:name="_Toc229219575"/>
      <w:r>
        <w:t>5.1 Hill são considerações, não critérios</w:t>
      </w:r>
      <w:bookmarkEnd w:id="88"/>
    </w:p>
    <w:p w14:paraId="2F65F808" w14:textId="77777777" w:rsidR="00C34FD2" w:rsidRDefault="00000000">
      <w:pPr>
        <w:pStyle w:val="FirstParagraph"/>
      </w:pPr>
      <w:r>
        <w:t>As considerações de Hill são auxiliares, não critérios (2). Causalidade não é uma propriedade categórica adquirida pela soma de itens em uma checklist. Estudos que satisfazem mecanicamente cinco ou seis pontos de Hill não estabelecem causa por isso; estudos que falham em alguns dos nove podem, ainda assim, apresentar evidência causal robusta caso outras formas de evidência indiquem a mesma direção. O que sustenta inferência causal não é a contagem dos pontos, mas a robustez da associação a explicações alternativas explicitadas. A inferência causal é processo indireto e gradual, em que uma associação resiste a desafios sucessivos de explicações concorrentes — viés, confundimento, acaso, causalidade reversa, erro de medida — até que a explicação causal se cristaliza como a mais provável.</w:t>
      </w:r>
    </w:p>
    <w:p w14:paraId="75E90546" w14:textId="77777777" w:rsidR="00C34FD2" w:rsidRDefault="00000000">
      <w:pPr>
        <w:pStyle w:val="Ttulo2"/>
      </w:pPr>
      <w:bookmarkStart w:id="89" w:name="Xbfb03d6d24a567dec248ee1d4bf568843f8fcfb"/>
      <w:bookmarkStart w:id="90" w:name="_Toc229219576"/>
      <w:bookmarkEnd w:id="87"/>
      <w:r>
        <w:t>5.2 Os pontos de Hill na leitura contemporânea</w:t>
      </w:r>
      <w:bookmarkEnd w:id="90"/>
    </w:p>
    <w:p w14:paraId="077C3B61" w14:textId="77777777" w:rsidR="00C34FD2" w:rsidRDefault="00000000">
      <w:pPr>
        <w:pStyle w:val="FirstParagraph"/>
      </w:pPr>
      <w:r>
        <w:t>A literatura metodológica recente reavaliou cada um dos nove pontos à luz de evidência empírica acumulada e do aparato de resultados potenciais.</w:t>
      </w:r>
    </w:p>
    <w:p w14:paraId="43FEAFC3" w14:textId="77777777" w:rsidR="00C34FD2" w:rsidRDefault="00000000">
      <w:pPr>
        <w:pStyle w:val="Corpodetexto"/>
      </w:pPr>
      <w:r>
        <w:t>Temporalidade, evidência experimental e consistência (replicação) permanecem como pontos com peso significativo. Temporalidade é condição lógica da relação causal, não um indicador. Evidência experimental ganha contraparte observacional precisa via target trial. Consistência atua via heterogeneidade entre populações com diferentes vieses; quando estimativas convergem apesar de vieses divergentes, a explicação causal ganha credibilidade — e quando divergem, a inconsistência informa onde os vieses operam.</w:t>
      </w:r>
    </w:p>
    <w:p w14:paraId="1CA9962C" w14:textId="77777777" w:rsidR="00C34FD2" w:rsidRDefault="00000000">
      <w:pPr>
        <w:pStyle w:val="Corpodetexto"/>
      </w:pPr>
      <w:r>
        <w:t>Força de associação foi reinterpretada criticamente por Ioannidis (16): efeitos pequenos podem ser causais, e efeitos muito grandes em estudos observacionais frequentemente refletem mais viés do que causalidade, porque vieses produzem mais facilmente efeitos grandes do que efeitos pequenos. Gradiente biológico pode surgir por confundimento — usuários de doses maiores são também os mais aderentes, o que correlaciona com outros comportamentos protetores não medidos. Plausibilidade biológica permanece relevante, mas com a ressalva já feita por Hill: ela é contingente ao conhecimento mecanístico do período.</w:t>
      </w:r>
    </w:p>
    <w:p w14:paraId="30F2D0A8" w14:textId="77777777" w:rsidR="00C34FD2" w:rsidRDefault="00000000">
      <w:pPr>
        <w:pStyle w:val="Corpodetexto"/>
      </w:pPr>
      <w:r>
        <w:t>Especificidade raramente se aplica em doenças crônicas multifatoriais. Coerência e analogia têm utilidade prática limitada (13,16) — coerência é difícil de operacionalizar, e analogia justifica suspeita mas raramente sustenta inferência.</w:t>
      </w:r>
    </w:p>
    <w:p w14:paraId="6E3B791F" w14:textId="77777777" w:rsidR="00C34FD2" w:rsidRDefault="00000000">
      <w:pPr>
        <w:pStyle w:val="Corpodetexto"/>
      </w:pPr>
      <w:r>
        <w:t xml:space="preserve">A leitura ponto a ponto deixa três sobreviventes robustos (temporalidade, experimentação, consistência), três cujo peso foi recalibrado para baixo (força, </w:t>
      </w:r>
      <w:r>
        <w:lastRenderedPageBreak/>
        <w:t>gradiente, plausibilidade) e três largamente abandonados na prática metodológica contemporânea (especificidade, coerência, analogia).</w:t>
      </w:r>
    </w:p>
    <w:p w14:paraId="7AA28E06" w14:textId="77777777" w:rsidR="00C34FD2" w:rsidRDefault="00000000">
      <w:pPr>
        <w:pStyle w:val="Ttulo2"/>
      </w:pPr>
      <w:bookmarkStart w:id="91" w:name="triangulação"/>
      <w:bookmarkStart w:id="92" w:name="_Toc229219577"/>
      <w:bookmarkEnd w:id="89"/>
      <w:r>
        <w:t>5.3 Triangulação</w:t>
      </w:r>
      <w:bookmarkEnd w:id="92"/>
    </w:p>
    <w:p w14:paraId="492F6E72" w14:textId="77777777" w:rsidR="00C34FD2" w:rsidRDefault="00000000">
      <w:pPr>
        <w:pStyle w:val="FirstParagraph"/>
      </w:pPr>
      <w:r>
        <w:t xml:space="preserve">O recurso que substitui a soma mecânica dos pontos é a </w:t>
      </w:r>
      <w:r>
        <w:rPr>
          <w:b/>
          <w:bCs/>
        </w:rPr>
        <w:t>triangulação</w:t>
      </w:r>
      <w:r>
        <w:t>: combinar fontes de evidência com vieses de direções diferentes. Se um efeito é estimado por estudo de coorte, ensaio randomizado, randomização mendeliana e desenho com controle negativo, e as estimativas convergem, é improvável que cada método tenha viés exatamente compensatório. A convergência sob vieses heterogêneos é o que sustenta a inferência causal.</w:t>
      </w:r>
    </w:p>
    <w:p w14:paraId="3BACE567" w14:textId="77777777" w:rsidR="00C34FD2" w:rsidRDefault="00000000">
      <w:pPr>
        <w:pStyle w:val="Corpodetexto"/>
      </w:pPr>
      <w:r>
        <w:t>O argumento, articulado por Savitz, Pearce e Rothman (2), representa uma virada epistemológica: o que separa associação de causa não é a presença de propriedades estruturais (força, gradiente, coerência), mas a resistência da associação a múltiplas tentativas de explicação alternativa, vindas de fontes metodologicamente independentes. Inconsistência, sob essa leitura, é informativa: revela onde os vieses operam, e o passo seguinte é entender por que vieses específicos atuam em direções específicas em cada desenho.</w:t>
      </w:r>
    </w:p>
    <w:p w14:paraId="72E98006" w14:textId="77777777" w:rsidR="00C34FD2" w:rsidRDefault="00000000">
      <w:pPr>
        <w:pStyle w:val="Ttulo2"/>
      </w:pPr>
      <w:bookmarkStart w:id="93" w:name="grade-hill-na-lógica-da-decisão-clínica"/>
      <w:bookmarkStart w:id="94" w:name="_Toc229219578"/>
      <w:bookmarkEnd w:id="91"/>
      <w:r>
        <w:t>5.4 GRADE: Hill na lógica da decisão clínica</w:t>
      </w:r>
      <w:bookmarkEnd w:id="94"/>
    </w:p>
    <w:p w14:paraId="02E15DB2" w14:textId="77777777" w:rsidR="00C34FD2" w:rsidRDefault="00000000">
      <w:pPr>
        <w:pStyle w:val="FirstParagraph"/>
      </w:pPr>
      <w:r>
        <w:t>Schünemann et al. (17) articulam como o sistema GRADE — adotado por mais de cem organizações para elaboração de diretrizes clínicas — incorpora considerações tipo Hill em uma estrutura de avaliação de qualidade da evidência e força de recomendação. GRADE parte de uma classificação inicial baseada no desenho (ensaios randomizados começam como qualidade alta; observacionais, baixa) e permite ajustes a partir de oito fatores: risco de viés, inconsistência, indireção, imprecisão e viés de publicação podem rebaixar; magnitude do efeito, gradiente dose-resposta e direção plausível do confundimento residual podem elevar.</w:t>
      </w:r>
    </w:p>
    <w:p w14:paraId="1AD41E5A" w14:textId="77777777" w:rsidR="00C34FD2" w:rsidRDefault="00000000">
      <w:pPr>
        <w:pStyle w:val="Corpodetexto"/>
      </w:pPr>
      <w:r>
        <w:t>Os três fatores que elevam a qualidade da evidência são reconhecíveis em Hill: força (magnitude do efeito), gradiente biológico (dose-resposta), plausibilidade direcional do viés. GRADE reabsorve, portanto, os pontos de Hill que perderam peso isolado, mas os reintegra como modificadores em arcabouço hierárquico mais amplo, conectado à decisão sobre conduta clínica.</w:t>
      </w:r>
    </w:p>
    <w:p w14:paraId="569D2E60" w14:textId="77777777" w:rsidR="00C34FD2" w:rsidRDefault="00000000">
      <w:pPr>
        <w:pStyle w:val="Corpodetexto"/>
      </w:pPr>
      <w:r>
        <w:t>A implicação é que Hill não foi descartado pela epidemiologia contemporânea: foi reformulado como conjunto de considerações secundárias dentro de uma estrutura — desenho &gt; qualidade do estudo &gt; magnitude e direção do efeito — que opera no plano da decisão clínica concreta.</w:t>
      </w:r>
    </w:p>
    <w:p w14:paraId="6708F4E3" w14:textId="77777777" w:rsidR="00C34FD2" w:rsidRDefault="00000000">
      <w:pPr>
        <w:pStyle w:val="Ttulo2"/>
      </w:pPr>
      <w:bookmarkStart w:id="95" w:name="debate-contemporâneo"/>
      <w:bookmarkStart w:id="96" w:name="_Toc229219579"/>
      <w:bookmarkEnd w:id="93"/>
      <w:r>
        <w:t>5.5 Debate contemporâneo</w:t>
      </w:r>
      <w:bookmarkEnd w:id="96"/>
    </w:p>
    <w:p w14:paraId="5DA78466" w14:textId="77777777" w:rsidR="00C34FD2" w:rsidRDefault="00000000">
      <w:pPr>
        <w:pStyle w:val="FirstParagraph"/>
      </w:pPr>
      <w:r>
        <w:t>O debate metodológico recente articula três posições sobre o futuro do arcabouço.</w:t>
      </w:r>
    </w:p>
    <w:p w14:paraId="7E8F3862" w14:textId="77777777" w:rsidR="00C34FD2" w:rsidRDefault="00000000">
      <w:pPr>
        <w:pStyle w:val="Corpodetexto"/>
      </w:pPr>
      <w:r>
        <w:rPr>
          <w:b/>
          <w:bCs/>
        </w:rPr>
        <w:lastRenderedPageBreak/>
        <w:t>Revisão.</w:t>
      </w:r>
      <w:r>
        <w:t xml:space="preserve"> Olsen e Jensen (18) argumentam que o conjunto original de Hill deve ser revisitado por uma comissão internacional, e propõem a adição de um </w:t>
      </w:r>
      <w:r>
        <w:rPr>
          <w:b/>
          <w:bCs/>
        </w:rPr>
        <w:t>critério de consequência</w:t>
      </w:r>
      <w:r>
        <w:t>: a avaliação causal deve incluir consideração explícita das consequências da intervenção (ou não-intervenção) baseada na inferência. Classificar uma associação como causal raramente é exercício acadêmico desinteressado; em saúde pública, a classificação orienta ação, e a moldura metodológica deve refletir essa estrutura. A proposta separa explicitamente o argumento causal do argumento sobre o que fazer, ainda que ambos coexistam na prática.</w:t>
      </w:r>
    </w:p>
    <w:p w14:paraId="5773070E" w14:textId="77777777" w:rsidR="00C34FD2" w:rsidRDefault="00000000">
      <w:pPr>
        <w:pStyle w:val="Corpodetexto"/>
      </w:pPr>
      <w:r>
        <w:rPr>
          <w:b/>
          <w:bCs/>
        </w:rPr>
        <w:t>Modernização.</w:t>
      </w:r>
      <w:r>
        <w:t xml:space="preserve"> Cox (19) propõe sete princípios alinhados a algoritmos de descoberta causal automatizada — informação mútua, dependência direcionada, consistência interna e externa, explicação causal coerente da plausibilidade biológica, confirmação por mediação causal, refutação de explicações não causais. A reformulação se afasta do vocabulário associativo de Hill em direção a um vocabulário de </w:t>
      </w:r>
      <w:r>
        <w:rPr>
          <w:b/>
          <w:bCs/>
        </w:rPr>
        <w:t>causalidade manipulativa</w:t>
      </w:r>
      <w:r>
        <w:t xml:space="preserve"> — o que muda no desfecho quando a exposição é manipulada, não meramente observada — alinhado com a definição em termos de resultados potenciais.</w:t>
      </w:r>
    </w:p>
    <w:p w14:paraId="72E27CE0" w14:textId="77777777" w:rsidR="00C34FD2" w:rsidRDefault="00000000">
      <w:pPr>
        <w:pStyle w:val="Corpodetexto"/>
      </w:pPr>
      <w:r>
        <w:rPr>
          <w:b/>
          <w:bCs/>
        </w:rPr>
        <w:t>Releitura.</w:t>
      </w:r>
      <w:r>
        <w:t xml:space="preserve"> Lesko e Fox (14) propõem reinterpretação dos pontos de Hill que preserva o espírito original do texto de 1965, mas integrada à epistemologia moderna do arcabouço de resultados potenciais e dos grafos causais. Cada ponto se traduz em uma preocupação metodológica específica que o aparato contemporâneo formaliza: força conecta-se à magnitude do efeito identificável e à robustez a confundimento não medido (E-value); gradiente biológico, a hipóteses sobre forma funcional do efeito e a refutações por dose-resposta esperada.</w:t>
      </w:r>
    </w:p>
    <w:p w14:paraId="75DD8094" w14:textId="77777777" w:rsidR="00C34FD2" w:rsidRDefault="00000000">
      <w:pPr>
        <w:pStyle w:val="Corpodetexto"/>
      </w:pPr>
      <w:r>
        <w:t>As três posições não são mutuamente excludentes. A primeira adiciona um critério; a segunda substitui o vocabulário; a terceira reinterpreta o conjunto. Convergem na rejeição da leitura de Hill como checklist mecânica.</w:t>
      </w:r>
    </w:p>
    <w:p w14:paraId="4D9A9A7C" w14:textId="77777777" w:rsidR="00C34FD2" w:rsidRDefault="00000000">
      <w:pPr>
        <w:pStyle w:val="Ttulo2"/>
      </w:pPr>
      <w:bookmarkStart w:id="97" w:name="aplicações-de-domínio"/>
      <w:bookmarkStart w:id="98" w:name="_Toc229219580"/>
      <w:bookmarkEnd w:id="95"/>
      <w:r>
        <w:t>5.6 Aplicações de domínio</w:t>
      </w:r>
      <w:bookmarkEnd w:id="98"/>
    </w:p>
    <w:p w14:paraId="3F257677" w14:textId="77777777" w:rsidR="00C34FD2" w:rsidRDefault="00000000">
      <w:pPr>
        <w:pStyle w:val="FirstParagraph"/>
      </w:pPr>
      <w:r>
        <w:t>Em áreas específicas, Hill permanece operacional como vocabulário de discussão metodológica, ainda que com adaptações. Frank (20) aplica os pontos a estudos de exposição a radiofrequência e saúde — campo com medida de exposição imprecisa e período de latência ainda insuficiente —, mostrando como cada ponto funciona quando esses limites estão presentes. Shakir e Layton (21) formalizam a aplicação dos pontos à farmacovigilância, em que sinais de eventos adversos surgem de notificação espontânea com sub-relato e ruído. Gvozdenović et al. (22) mostram como combinar Hill, raciocínio em resultados potenciais e DAGs em três estudos observacionais no contexto de desenvolvimento de vacinas — uma aplicação concreta do que Lesko e Fox descrevem em termos abstratos.</w:t>
      </w:r>
    </w:p>
    <w:p w14:paraId="1B3E90E5" w14:textId="77777777" w:rsidR="00C34FD2" w:rsidRDefault="00000000">
      <w:pPr>
        <w:pStyle w:val="Corpodetexto"/>
      </w:pPr>
      <w:r>
        <w:t xml:space="preserve">A persistência dos pontos de Hill em domínios específicos não invalida a crítica metodológica. Confirma, ao contrário, que o vocabulário tem valor descritivo e </w:t>
      </w:r>
      <w:r>
        <w:lastRenderedPageBreak/>
        <w:t>comunicativo — funciona como linguagem comum entre epidemiologistas — mesmo onde a inferência causal propriamente dita é fundamentada em outros aparatos.</w:t>
      </w:r>
    </w:p>
    <w:p w14:paraId="4A49569D" w14:textId="77777777" w:rsidR="00C34FD2" w:rsidRDefault="00000000">
      <w:pPr>
        <w:pStyle w:val="Ttulo2"/>
      </w:pPr>
      <w:bookmarkStart w:id="99" w:name="Xf1e15d5458e88dad6529121a11a8a01da902b83"/>
      <w:bookmarkStart w:id="100" w:name="_Toc229219581"/>
      <w:bookmarkEnd w:id="97"/>
      <w:r>
        <w:t>5.7 Três perguntas-âncora para a prática clínica</w:t>
      </w:r>
      <w:bookmarkEnd w:id="100"/>
    </w:p>
    <w:p w14:paraId="7A8CB26D" w14:textId="77777777" w:rsidR="00C34FD2" w:rsidRDefault="00000000">
      <w:pPr>
        <w:pStyle w:val="FirstParagraph"/>
      </w:pPr>
      <w:r>
        <w:t>A síntese metodológica acumulada nos cinco capítulos pode ser destilada em três perguntas que orientam a leitura crítica de qualquer alegação observacional sobre tratamento e desfecho:</w:t>
      </w:r>
    </w:p>
    <w:p w14:paraId="02A6074C" w14:textId="77777777" w:rsidR="00C34FD2" w:rsidRDefault="00000000">
      <w:pPr>
        <w:numPr>
          <w:ilvl w:val="0"/>
          <w:numId w:val="5"/>
        </w:numPr>
      </w:pPr>
      <w:r>
        <w:rPr>
          <w:b/>
          <w:bCs/>
        </w:rPr>
        <w:t xml:space="preserve">Qual </w:t>
      </w:r>
      <w:r>
        <w:rPr>
          <w:b/>
          <w:bCs/>
          <w:i/>
          <w:iCs/>
        </w:rPr>
        <w:t>target trial</w:t>
      </w:r>
      <w:r>
        <w:rPr>
          <w:b/>
          <w:bCs/>
        </w:rPr>
        <w:t xml:space="preserve"> esta análise está tentando emular?</w:t>
      </w:r>
      <w:r>
        <w:t xml:space="preserve"> Especificar o protocolo (elegibilidade, estratégias, zero do tempo, atribuição, seguimento, desfecho, análise) revela onde o desenho falha em emular um ensaio sensato — frequentemente, viés de seleção de prevalentes, viés de tempo imortal, ou comparação implausível entre grupos não comparáveis.</w:t>
      </w:r>
    </w:p>
    <w:p w14:paraId="3672A04A" w14:textId="77777777" w:rsidR="00C34FD2" w:rsidRDefault="00000000">
      <w:pPr>
        <w:numPr>
          <w:ilvl w:val="0"/>
          <w:numId w:val="5"/>
        </w:numPr>
      </w:pPr>
      <w:r>
        <w:rPr>
          <w:b/>
          <w:bCs/>
        </w:rPr>
        <w:t>Qual a direção do viés mais plausível, e qual seria o E-value necessário para anular o efeito?</w:t>
      </w:r>
      <w:r>
        <w:t xml:space="preserve"> A pergunta substitui o reconhecimento qualitativo de “pode haver confundimento residual” por uma quantificação específica. E-values que requerem confundimento implausivelmente forte aumentam a credibilidade do achado; E-values próximos de um indicam fragilidade.</w:t>
      </w:r>
    </w:p>
    <w:p w14:paraId="667BFAC5" w14:textId="77777777" w:rsidR="00C34FD2" w:rsidRDefault="00000000">
      <w:pPr>
        <w:numPr>
          <w:ilvl w:val="0"/>
          <w:numId w:val="5"/>
        </w:numPr>
      </w:pPr>
      <w:r>
        <w:rPr>
          <w:b/>
          <w:bCs/>
        </w:rPr>
        <w:t>Que outras fontes independentes de evidência existem, e elas triangulam?</w:t>
      </w:r>
      <w:r>
        <w:t xml:space="preserve"> Coortes em populações com vieses diferentes, randomização mendeliana, desenhos com controle negativo, ensaios randomizados em populações análogas, evidência mecanística — convergência sob heterogeneidade de viés sustenta inferência causal.</w:t>
      </w:r>
    </w:p>
    <w:p w14:paraId="3D5037C6" w14:textId="77777777" w:rsidR="00C34FD2" w:rsidRDefault="00000000">
      <w:pPr>
        <w:pStyle w:val="FirstParagraph"/>
      </w:pPr>
      <w:r>
        <w:t>As três perguntas codificam o aparato moderno em prática reproduzível. Não dispensam julgamento epidemiológico, e tampouco oferecem algoritmo. Disciplinam a discussão.</w:t>
      </w:r>
    </w:p>
    <w:p w14:paraId="49788976" w14:textId="77777777" w:rsidR="00C34FD2" w:rsidRDefault="00000000">
      <w:pPr>
        <w:pStyle w:val="Ttulo2"/>
      </w:pPr>
      <w:bookmarkStart w:id="101" w:name="considerações"/>
      <w:bookmarkStart w:id="102" w:name="_Toc229219582"/>
      <w:bookmarkEnd w:id="99"/>
      <w:r>
        <w:t>5.8 Considerações</w:t>
      </w:r>
      <w:bookmarkEnd w:id="102"/>
    </w:p>
    <w:p w14:paraId="303E483D" w14:textId="77777777" w:rsidR="00C34FD2" w:rsidRDefault="00000000">
      <w:pPr>
        <w:pStyle w:val="FirstParagraph"/>
      </w:pPr>
      <w:r>
        <w:t>A epidemiologia contemporânea ganhou precisão sem ter alcançado certeza. A inferência causal, como Hill já notava em 1965, permanece indireta e gradual: a interpretação causal de uma associação não decorre de uma checklist preenchida, mas da resistência dessa associação a sucessivas tentativas de explicá-la por outras vias,</w:t>
      </w:r>
    </w:p>
    <w:p w14:paraId="606613DD" w14:textId="77777777" w:rsidR="00C34FD2" w:rsidRDefault="00000000">
      <w:pPr>
        <w:pStyle w:val="Ttulo2"/>
      </w:pPr>
      <w:bookmarkStart w:id="103" w:name="exercícios-4"/>
      <w:bookmarkStart w:id="104" w:name="_Toc229219583"/>
      <w:bookmarkEnd w:id="101"/>
      <w:r>
        <w:t>5.9 Exercícios</w:t>
      </w:r>
      <w:bookmarkEnd w:id="104"/>
    </w:p>
    <w:p w14:paraId="4714FEF8" w14:textId="77777777" w:rsidR="00C34FD2" w:rsidRDefault="00000000">
      <w:pPr>
        <w:pStyle w:val="FirstParagraph"/>
      </w:pPr>
      <w:r>
        <w:rPr>
          <w:b/>
          <w:bCs/>
        </w:rPr>
        <w:t>1.</w:t>
      </w:r>
      <w:r>
        <w:t xml:space="preserve"> Selecione um estudo observacional recente publicado em periódico de impacto (Lancet, NEJM, JAMA, BMJ) que faça afirmação causal sobre relação tratamento-desfecho. Aplique a leitura de Hill como considerações: identifique quais dos nove pontos os autores invocam (explícita ou implicitamente), avalie a evidência para cada ponto invocado, e julgue se a afirmação causal é sustentada — não pela soma dos pontos, mas pela capacidade do estudo de excluir explicações alternativas.</w:t>
      </w:r>
    </w:p>
    <w:p w14:paraId="0B864956" w14:textId="77777777" w:rsidR="00C34FD2" w:rsidRDefault="00000000">
      <w:pPr>
        <w:pStyle w:val="Corpodetexto"/>
      </w:pPr>
      <w:r>
        <w:rPr>
          <w:b/>
          <w:bCs/>
        </w:rPr>
        <w:lastRenderedPageBreak/>
        <w:t>2.</w:t>
      </w:r>
      <w:r>
        <w:t xml:space="preserve"> Para a relação entre níveis de vitamina D e mortalidade — em que estudos observacionais consistentes sustentam associação inversa, mas o ensaio VITAL não confirmou benefício de suplementação —, esboce uma análise de triangulação: liste pelo menos três fontes independentes de evidência (com seus próprios vieses) e discuta o que a (não-)convergência delas revela. Qual a explicação metodológica mais provável para a discrepância entre evidência observacional e experimental?</w:t>
      </w:r>
    </w:p>
    <w:p w14:paraId="39B82888" w14:textId="77777777" w:rsidR="00C34FD2" w:rsidRDefault="00000000">
      <w:pPr>
        <w:pStyle w:val="Corpodetexto"/>
      </w:pPr>
      <w:r>
        <w:rPr>
          <w:b/>
          <w:bCs/>
        </w:rPr>
        <w:t>3.</w:t>
      </w:r>
      <w:r>
        <w:t xml:space="preserve"> Olsen e Jensen (18) propõem adicionar um critério de consequência aos pontos de Hill. Discuta, em até dez linhas, um cenário clínico ou de saúde pública em que esse critério mudaria substantivamente a recomendação derivada de uma classificação causal — e um cenário em que ele não mudaria. O que isso revela sobre a separação entre julgamento causal e julgamento de ação?</w:t>
      </w:r>
    </w:p>
    <w:p w14:paraId="6ADBE639" w14:textId="77777777" w:rsidR="00274C70" w:rsidRDefault="00274C70">
      <w:pPr>
        <w:rPr>
          <w:rFonts w:asciiTheme="majorHAnsi" w:eastAsiaTheme="majorEastAsia" w:hAnsiTheme="majorHAnsi" w:cstheme="majorBidi"/>
          <w:color w:val="0F4761" w:themeColor="accent1" w:themeShade="BF"/>
          <w:sz w:val="40"/>
          <w:szCs w:val="40"/>
        </w:rPr>
      </w:pPr>
      <w:bookmarkStart w:id="105" w:name="casos-clássicos-visão-geral"/>
      <w:bookmarkStart w:id="106" w:name="_Toc229219584"/>
      <w:bookmarkEnd w:id="85"/>
      <w:bookmarkEnd w:id="103"/>
      <w:r>
        <w:br w:type="page"/>
      </w:r>
    </w:p>
    <w:p w14:paraId="68F7BD66" w14:textId="2A3914B3" w:rsidR="00C34FD2" w:rsidRDefault="00000000">
      <w:pPr>
        <w:pStyle w:val="Ttulo1"/>
      </w:pPr>
      <w:r>
        <w:lastRenderedPageBreak/>
        <w:t>6. Casos clássicos — visão geral</w:t>
      </w:r>
      <w:bookmarkEnd w:id="106"/>
    </w:p>
    <w:p w14:paraId="0329E3A6" w14:textId="77777777" w:rsidR="00C34FD2" w:rsidRDefault="00000000">
      <w:pPr>
        <w:pStyle w:val="Ttulo2"/>
      </w:pPr>
      <w:bookmarkStart w:id="107" w:name="sobre-esta-seção"/>
      <w:bookmarkStart w:id="108" w:name="_Toc229219585"/>
      <w:r>
        <w:t>6.1 Sobre esta seção</w:t>
      </w:r>
      <w:bookmarkEnd w:id="108"/>
    </w:p>
    <w:p w14:paraId="790F18DD" w14:textId="77777777" w:rsidR="00C34FD2" w:rsidRDefault="00000000">
      <w:pPr>
        <w:pStyle w:val="FirstParagraph"/>
      </w:pPr>
      <w:r>
        <w:t>Os casos abaixo são exemplos paradigmáticos da literatura clínica recente em que a evidência observacional sustentou uma expectativa de efeito que ensaios randomizados subsequentes mataram, modificaram ou complicaram. Cada caso é discutido com estrutura comum — contexto clínico, evidência observacional, evidência experimental, lição metodológica — e finaliza com perguntas para discussão em sala. As referências são primárias e verificadas em PubMed.</w:t>
      </w:r>
    </w:p>
    <w:p w14:paraId="5339D404" w14:textId="77777777" w:rsidR="00C34FD2" w:rsidRDefault="00000000">
      <w:pPr>
        <w:pStyle w:val="Corpodetexto"/>
      </w:pPr>
      <w:r>
        <w:t xml:space="preserve">A intenção pedagógica não é apresentar uma lista de “estudos que erraram”. A maior parte dos investigadores citados trabalhou dentro do estado da arte da época e produziu dados sólidos; o que mudou foi a qualidade da inferência possível à medida que evidências de tipos diferentes se acumularam. Os casos servem para tornar concretos os argumentos abstratos da seção </w:t>
      </w:r>
      <w:hyperlink r:id="rId24">
        <w:r>
          <w:rPr>
            <w:rStyle w:val="Hyperlink"/>
          </w:rPr>
          <w:t>Causalidade</w:t>
        </w:r>
      </w:hyperlink>
      <w:r>
        <w:t xml:space="preserve"> — confundimento por usuário saudável, causalidade reversa, falácia do componente ativo, problema do desfecho substituto, comparador e formulação como variáveis ocultas.</w:t>
      </w:r>
    </w:p>
    <w:p w14:paraId="6C878647" w14:textId="77777777" w:rsidR="00C34FD2" w:rsidRDefault="00000000">
      <w:pPr>
        <w:pStyle w:val="Ttulo2"/>
      </w:pPr>
      <w:bookmarkStart w:id="109" w:name="os-seis-casos"/>
      <w:bookmarkStart w:id="110" w:name="_Toc229219586"/>
      <w:bookmarkEnd w:id="107"/>
      <w:r>
        <w:t>6.2 Os seis casos</w:t>
      </w:r>
      <w:bookmarkEnd w:id="110"/>
    </w:p>
    <w:tbl>
      <w:tblPr>
        <w:tblStyle w:val="Table"/>
        <w:tblW w:w="5000" w:type="pct"/>
        <w:tblLayout w:type="fixed"/>
        <w:tblLook w:val="0020" w:firstRow="1" w:lastRow="0" w:firstColumn="0" w:lastColumn="0" w:noHBand="0" w:noVBand="0"/>
      </w:tblPr>
      <w:tblGrid>
        <w:gridCol w:w="1646"/>
        <w:gridCol w:w="7408"/>
      </w:tblGrid>
      <w:tr w:rsidR="00C34FD2" w14:paraId="3474D09F" w14:textId="77777777" w:rsidTr="00C34FD2">
        <w:trPr>
          <w:cnfStyle w:val="100000000000" w:firstRow="1" w:lastRow="0" w:firstColumn="0" w:lastColumn="0" w:oddVBand="0" w:evenVBand="0" w:oddHBand="0" w:evenHBand="0" w:firstRowFirstColumn="0" w:firstRowLastColumn="0" w:lastRowFirstColumn="0" w:lastRowLastColumn="0"/>
          <w:tblHeader/>
        </w:trPr>
        <w:tc>
          <w:tcPr>
            <w:tcW w:w="1440" w:type="dxa"/>
          </w:tcPr>
          <w:p w14:paraId="2637300E" w14:textId="77777777" w:rsidR="00C34FD2" w:rsidRDefault="00000000">
            <w:pPr>
              <w:pStyle w:val="Compact"/>
            </w:pPr>
            <w:r>
              <w:t>Caso</w:t>
            </w:r>
          </w:p>
        </w:tc>
        <w:tc>
          <w:tcPr>
            <w:tcW w:w="6480" w:type="dxa"/>
          </w:tcPr>
          <w:p w14:paraId="2E3B4FE5" w14:textId="77777777" w:rsidR="00C34FD2" w:rsidRDefault="00000000">
            <w:pPr>
              <w:pStyle w:val="Compact"/>
            </w:pPr>
            <w:r>
              <w:t>Tema metodológico central</w:t>
            </w:r>
          </w:p>
        </w:tc>
      </w:tr>
      <w:tr w:rsidR="00C34FD2" w14:paraId="3C27BD77" w14:textId="77777777">
        <w:tc>
          <w:tcPr>
            <w:tcW w:w="1440" w:type="dxa"/>
          </w:tcPr>
          <w:p w14:paraId="007421BB" w14:textId="77777777" w:rsidR="00C34FD2" w:rsidRDefault="00000000">
            <w:pPr>
              <w:pStyle w:val="Compact"/>
            </w:pPr>
            <w:hyperlink r:id="rId25">
              <w:r>
                <w:rPr>
                  <w:rStyle w:val="Hyperlink"/>
                </w:rPr>
                <w:t>Terapia de reposição hormonal</w:t>
              </w:r>
            </w:hyperlink>
          </w:p>
        </w:tc>
        <w:tc>
          <w:tcPr>
            <w:tcW w:w="6480" w:type="dxa"/>
          </w:tcPr>
          <w:p w14:paraId="023EBEBB" w14:textId="77777777" w:rsidR="00C34FD2" w:rsidRDefault="00000000">
            <w:pPr>
              <w:pStyle w:val="Compact"/>
            </w:pPr>
            <w:r>
              <w:t>Confundimento por usuário saudável; heterogeneidade por idade; do NHS ao WHI</w:t>
            </w:r>
          </w:p>
        </w:tc>
      </w:tr>
      <w:tr w:rsidR="00C34FD2" w14:paraId="0610513D" w14:textId="77777777">
        <w:tc>
          <w:tcPr>
            <w:tcW w:w="1440" w:type="dxa"/>
          </w:tcPr>
          <w:p w14:paraId="5B9C3FAD" w14:textId="77777777" w:rsidR="00C34FD2" w:rsidRDefault="00000000">
            <w:pPr>
              <w:pStyle w:val="Compact"/>
            </w:pPr>
            <w:hyperlink r:id="rId26">
              <w:r>
                <w:rPr>
                  <w:rStyle w:val="Hyperlink"/>
                </w:rPr>
                <w:t>Vitamina E</w:t>
              </w:r>
            </w:hyperlink>
          </w:p>
        </w:tc>
        <w:tc>
          <w:tcPr>
            <w:tcW w:w="6480" w:type="dxa"/>
          </w:tcPr>
          <w:p w14:paraId="1443BF58" w14:textId="77777777" w:rsidR="00C34FD2" w:rsidRDefault="00000000">
            <w:pPr>
              <w:pStyle w:val="Compact"/>
            </w:pPr>
            <w:r>
              <w:t>Plausibilidade biológica como critério necessário mas não suficiente; dose alta e dano</w:t>
            </w:r>
          </w:p>
        </w:tc>
      </w:tr>
      <w:tr w:rsidR="00C34FD2" w14:paraId="6E6AC906" w14:textId="77777777">
        <w:tc>
          <w:tcPr>
            <w:tcW w:w="1440" w:type="dxa"/>
          </w:tcPr>
          <w:p w14:paraId="3B094277" w14:textId="77777777" w:rsidR="00C34FD2" w:rsidRDefault="00000000">
            <w:pPr>
              <w:pStyle w:val="Compact"/>
            </w:pPr>
            <w:hyperlink r:id="rId27">
              <w:r>
                <w:rPr>
                  <w:rStyle w:val="Hyperlink"/>
                </w:rPr>
                <w:t>Betacaroteno</w:t>
              </w:r>
            </w:hyperlink>
          </w:p>
        </w:tc>
        <w:tc>
          <w:tcPr>
            <w:tcW w:w="6480" w:type="dxa"/>
          </w:tcPr>
          <w:p w14:paraId="6D4796A2" w14:textId="77777777" w:rsidR="00C34FD2" w:rsidRDefault="00000000">
            <w:pPr>
              <w:pStyle w:val="Compact"/>
            </w:pPr>
            <w:r>
              <w:t xml:space="preserve">Falácia do componente ativo; resposta heterogênea por população (fumantes </w:t>
            </w:r>
            <w:r>
              <w:rPr>
                <w:i/>
                <w:iCs/>
              </w:rPr>
              <w:t>vs</w:t>
            </w:r>
            <w:r>
              <w:t xml:space="preserve"> não fumantes)</w:t>
            </w:r>
          </w:p>
        </w:tc>
      </w:tr>
      <w:tr w:rsidR="00C34FD2" w14:paraId="298F7F7E" w14:textId="77777777">
        <w:tc>
          <w:tcPr>
            <w:tcW w:w="1440" w:type="dxa"/>
          </w:tcPr>
          <w:p w14:paraId="11AED4E8" w14:textId="77777777" w:rsidR="00C34FD2" w:rsidRDefault="00000000">
            <w:pPr>
              <w:pStyle w:val="Compact"/>
            </w:pPr>
            <w:hyperlink r:id="rId28">
              <w:r>
                <w:rPr>
                  <w:rStyle w:val="Hyperlink"/>
                </w:rPr>
                <w:t>Vitamina D</w:t>
              </w:r>
            </w:hyperlink>
          </w:p>
        </w:tc>
        <w:tc>
          <w:tcPr>
            <w:tcW w:w="6480" w:type="dxa"/>
          </w:tcPr>
          <w:p w14:paraId="7B2A8725" w14:textId="77777777" w:rsidR="00C34FD2" w:rsidRDefault="00000000">
            <w:pPr>
              <w:pStyle w:val="Compact"/>
            </w:pPr>
            <w:r>
              <w:t>Causalidade reversa; triangulação entre RCT e randomização mendeliana</w:t>
            </w:r>
          </w:p>
        </w:tc>
      </w:tr>
      <w:tr w:rsidR="00C34FD2" w14:paraId="3E8E462B" w14:textId="77777777">
        <w:tc>
          <w:tcPr>
            <w:tcW w:w="1440" w:type="dxa"/>
          </w:tcPr>
          <w:p w14:paraId="011AD194" w14:textId="77777777" w:rsidR="00C34FD2" w:rsidRDefault="00000000">
            <w:pPr>
              <w:pStyle w:val="Compact"/>
            </w:pPr>
            <w:hyperlink r:id="rId29">
              <w:r>
                <w:rPr>
                  <w:rStyle w:val="Hyperlink"/>
                </w:rPr>
                <w:t>Ômega-3</w:t>
              </w:r>
            </w:hyperlink>
          </w:p>
        </w:tc>
        <w:tc>
          <w:tcPr>
            <w:tcW w:w="6480" w:type="dxa"/>
          </w:tcPr>
          <w:p w14:paraId="7CE6D535" w14:textId="77777777" w:rsidR="00C34FD2" w:rsidRDefault="00000000">
            <w:pPr>
              <w:pStyle w:val="Compact"/>
            </w:pPr>
            <w:r>
              <w:t>Caso ainda em evolução; importância da formulação e do comparador; sinal de fibrilação atrial</w:t>
            </w:r>
          </w:p>
        </w:tc>
      </w:tr>
      <w:tr w:rsidR="00C34FD2" w14:paraId="7D0127E6" w14:textId="77777777">
        <w:tc>
          <w:tcPr>
            <w:tcW w:w="1440" w:type="dxa"/>
          </w:tcPr>
          <w:p w14:paraId="7326C4D9" w14:textId="77777777" w:rsidR="00C34FD2" w:rsidRDefault="00000000">
            <w:pPr>
              <w:pStyle w:val="Compact"/>
            </w:pPr>
            <w:hyperlink r:id="rId30">
              <w:r>
                <w:rPr>
                  <w:rStyle w:val="Hyperlink"/>
                </w:rPr>
                <w:t>Antiarrítmicos pós-IAM (CAST)</w:t>
              </w:r>
            </w:hyperlink>
          </w:p>
        </w:tc>
        <w:tc>
          <w:tcPr>
            <w:tcW w:w="6480" w:type="dxa"/>
          </w:tcPr>
          <w:p w14:paraId="315AA1E2" w14:textId="77777777" w:rsidR="00C34FD2" w:rsidRDefault="00000000">
            <w:pPr>
              <w:pStyle w:val="Compact"/>
            </w:pPr>
            <w:r>
              <w:t>Problema do desfecho substituto; o ensaio que detectou e parou o dano</w:t>
            </w:r>
          </w:p>
        </w:tc>
      </w:tr>
    </w:tbl>
    <w:p w14:paraId="3064A9BA" w14:textId="77777777" w:rsidR="00C34FD2" w:rsidRDefault="00000000">
      <w:pPr>
        <w:pStyle w:val="Ttulo2"/>
      </w:pPr>
      <w:bookmarkStart w:id="111" w:name="como-usar-em-aula"/>
      <w:bookmarkStart w:id="112" w:name="_Toc229219587"/>
      <w:bookmarkEnd w:id="109"/>
      <w:r>
        <w:t>6.3 Como usar em aula</w:t>
      </w:r>
      <w:bookmarkEnd w:id="112"/>
    </w:p>
    <w:p w14:paraId="20D01220" w14:textId="77777777" w:rsidR="00C34FD2" w:rsidRDefault="00000000">
      <w:pPr>
        <w:pStyle w:val="FirstParagraph"/>
      </w:pPr>
      <w:r>
        <w:t>Cada caso pode ser lido isoladamente. Para uso didático sequencial, sugere-se a ordem da tabela acima — começa com TRH (o caso paradigmático de confundimento), avança por mecanismos cada vez mais específicos, e fecha com CAST (o exemplo mais limpo do problema do substituto).</w:t>
      </w:r>
    </w:p>
    <w:p w14:paraId="69540906" w14:textId="77777777" w:rsidR="00C34FD2" w:rsidRDefault="00000000">
      <w:pPr>
        <w:pStyle w:val="Corpodetexto"/>
      </w:pPr>
      <w:r>
        <w:lastRenderedPageBreak/>
        <w:t>Os exercícios ao final de cada caso são pensados para discussão em pequeno grupo, com 20–30 minutos por caso. Não há respostas-modelo: a maior parte das perguntas admite resposta defensável em mais de uma direção, e o objetivo da discussão é articular argumentos.</w:t>
      </w:r>
    </w:p>
    <w:p w14:paraId="7DEBD4B3" w14:textId="77777777" w:rsidR="00274C70" w:rsidRDefault="00274C70">
      <w:pPr>
        <w:rPr>
          <w:rFonts w:asciiTheme="majorHAnsi" w:eastAsiaTheme="majorEastAsia" w:hAnsiTheme="majorHAnsi" w:cstheme="majorBidi"/>
          <w:color w:val="0F4761" w:themeColor="accent1" w:themeShade="BF"/>
          <w:sz w:val="40"/>
          <w:szCs w:val="40"/>
        </w:rPr>
      </w:pPr>
      <w:bookmarkStart w:id="113" w:name="X1cb3318ed1daeace2ff0ac9cbea3fd97f24b9eb"/>
      <w:bookmarkStart w:id="114" w:name="_Toc229219588"/>
      <w:bookmarkEnd w:id="105"/>
      <w:bookmarkEnd w:id="111"/>
      <w:r>
        <w:br w:type="page"/>
      </w:r>
    </w:p>
    <w:p w14:paraId="57EB1C3F" w14:textId="111C18B0" w:rsidR="00C34FD2" w:rsidRDefault="00000000">
      <w:pPr>
        <w:pStyle w:val="Ttulo1"/>
      </w:pPr>
      <w:r>
        <w:lastRenderedPageBreak/>
        <w:t xml:space="preserve">7. Terapia de Reposição Hormonal — do </w:t>
      </w:r>
      <w:r>
        <w:rPr>
          <w:i/>
          <w:iCs/>
        </w:rPr>
        <w:t>Nurses’ Health Study</w:t>
      </w:r>
      <w:r>
        <w:t xml:space="preserve"> ao WHI</w:t>
      </w:r>
      <w:bookmarkEnd w:id="114"/>
    </w:p>
    <w:p w14:paraId="71A77A65" w14:textId="77777777" w:rsidR="00C34FD2" w:rsidRDefault="00000000">
      <w:pPr>
        <w:pStyle w:val="Ttulo2"/>
      </w:pPr>
      <w:bookmarkStart w:id="115" w:name="contexto-clínico"/>
      <w:bookmarkStart w:id="116" w:name="_Toc229219589"/>
      <w:r>
        <w:t>7.1 Contexto clínico</w:t>
      </w:r>
      <w:bookmarkEnd w:id="116"/>
    </w:p>
    <w:p w14:paraId="410F68E8" w14:textId="77777777" w:rsidR="00C34FD2" w:rsidRDefault="00000000">
      <w:pPr>
        <w:pStyle w:val="FirstParagraph"/>
      </w:pPr>
      <w:r>
        <w:t>A terapia hormonal pós-menopáusica entrou na prática clínica nos Estados Unidos em meados do século XX como tratamento para sintomas vasomotores associados à transição menopausal — ondas de calor, sudorese noturna, distúrbios do sono — e para prevenção de osteoporose. Os efeitos sintomáticos são observáveis em curto prazo e replicáveis. A pergunta que se sobrepôs nas décadas seguintes foi distinta e mais ambiciosa: a reposição hormonal poderia também prevenir doença cardiovascular em mulheres pós-menopáusicas?</w:t>
      </w:r>
    </w:p>
    <w:p w14:paraId="07385BA2" w14:textId="77777777" w:rsidR="00C34FD2" w:rsidRDefault="00000000">
      <w:pPr>
        <w:pStyle w:val="Corpodetexto"/>
      </w:pPr>
      <w:r>
        <w:t>A hipótese tinha sustentação biológica plausível. Estrogênio modifica favoravelmente o perfil lipídico, aumentando HDL e reduzindo LDL; tem efeitos vasodilatadores diretos e modula marcadores inflamatórios endoteliais; mulheres pré-menopáusicas têm incidência de doença coronariana sistematicamente menor que homens da mesma idade, diferença que se atenua após a menopausa natural. O mecanismo — estrogênio como cardioprotetor — articulava em uma narrativa única observações epidemiológicas, dados laboratoriais e um efeito biológico mensurável.</w:t>
      </w:r>
    </w:p>
    <w:p w14:paraId="1820170B" w14:textId="77777777" w:rsidR="00C34FD2" w:rsidRDefault="00000000">
      <w:pPr>
        <w:pStyle w:val="Corpodetexto"/>
      </w:pPr>
      <w:r>
        <w:t>A partir dos anos 1980, essa articulação produziu prescrição ampliada de terapia estrogênica isolada (em mulheres histerectomizadas) ou combinada com progestágeno (em mulheres com útero intacto, para prevenção de hiperplasia endometrial) com o objetivo declarado de prevenção primária e secundária de doença coronariana.</w:t>
      </w:r>
    </w:p>
    <w:p w14:paraId="2220B586" w14:textId="77777777" w:rsidR="00C34FD2" w:rsidRDefault="00000000">
      <w:pPr>
        <w:pStyle w:val="Ttulo2"/>
      </w:pPr>
      <w:bookmarkStart w:id="117" w:name="a-evidência-observacional"/>
      <w:bookmarkStart w:id="118" w:name="_Toc229219590"/>
      <w:bookmarkEnd w:id="115"/>
      <w:r>
        <w:t>7.2 A evidência observacional</w:t>
      </w:r>
      <w:bookmarkEnd w:id="118"/>
    </w:p>
    <w:p w14:paraId="5BE095D1" w14:textId="77777777" w:rsidR="00C34FD2" w:rsidRDefault="00000000">
      <w:pPr>
        <w:pStyle w:val="FirstParagraph"/>
      </w:pPr>
      <w:r>
        <w:t>A base de evidência observacional cresceu durante quase duas décadas. O Nurses’ Health Study, coorte de mais de cem mil enfermeiras americanas seguidas com questionários periódicos desde 1976, foi o estudo prospectivo de maior porte. Em 1985, Stampfer e colaboradores (23) reportam, em 32.317 mulheres pós-menopáusicas inicialmente livres de doença coronariana, risco relativo ajustado de 0,3 entre usuárias atuais de estrogênio comparadas a nunca-usuárias. O ajuste contemplava tabagismo, hipertensão, diabetes, colesterol, história familiar de infarto, uso prévio de contraceptivos e obesidade.</w:t>
      </w:r>
    </w:p>
    <w:p w14:paraId="51E05F59" w14:textId="77777777" w:rsidR="00C34FD2" w:rsidRDefault="00000000">
      <w:pPr>
        <w:pStyle w:val="Corpodetexto"/>
      </w:pPr>
      <w:r>
        <w:t>Em 1991, com 10 anos de seguimento e 224 acidentes vasculares e 405 casos de doença coronariana maior, o mesmo grupo (24) reporta risco relativo ajustado de 0,56 (IC 95%: 0,40–0,80) para doença coronariana maior em usuárias atuais. O efeito persistia em análises restritas a subpopulações de baixo risco — não fumantes, sem diabetes, sem hipertensão — e em análises restritas a mulheres recentemente examinadas, o que diminuía suspeita de viés de detecção. Estudos observacionais subsequentes em outras coortes replicaram a magnitude e direção do achado.</w:t>
      </w:r>
    </w:p>
    <w:p w14:paraId="27B6ACCE" w14:textId="77777777" w:rsidR="00C34FD2" w:rsidRDefault="00000000">
      <w:pPr>
        <w:pStyle w:val="Corpodetexto"/>
      </w:pPr>
      <w:r>
        <w:lastRenderedPageBreak/>
        <w:t>A interpretação dominante nos anos 1990 organizava-se em três pilares: a coerência do mecanismo biológico; a consistência entre estudos observacionais; e a plausibilidade da magnitude do efeito (uma redução de aproximadamente 40 a 50% no risco coronariano). O ponto que ainda faltava era o ensaio randomizado.</w:t>
      </w:r>
    </w:p>
    <w:p w14:paraId="26101BA7" w14:textId="77777777" w:rsidR="00C34FD2" w:rsidRDefault="00000000">
      <w:pPr>
        <w:pStyle w:val="Ttulo2"/>
      </w:pPr>
      <w:bookmarkStart w:id="119" w:name="os-ensaios-randomizados"/>
      <w:bookmarkStart w:id="120" w:name="_Toc229219591"/>
      <w:bookmarkEnd w:id="117"/>
      <w:r>
        <w:t>7.3 Os ensaios randomizados</w:t>
      </w:r>
      <w:bookmarkEnd w:id="120"/>
    </w:p>
    <w:p w14:paraId="53018DB7" w14:textId="77777777" w:rsidR="00C34FD2" w:rsidRDefault="00000000">
      <w:pPr>
        <w:pStyle w:val="FirstParagraph"/>
      </w:pPr>
      <w:r>
        <w:t xml:space="preserve">O HERS (Heart and Estrogen/progestin Replacement Study), publicado por Hulley e colaboradores (25) em 1998, foi o primeiro grande ensaio randomizado de terapia hormonal combinada para </w:t>
      </w:r>
      <w:r>
        <w:rPr>
          <w:b/>
          <w:bCs/>
        </w:rPr>
        <w:t>prevenção secundária</w:t>
      </w:r>
      <w:r>
        <w:t xml:space="preserve"> — 2.763 mulheres pós-menopáusicas com doença coronariana estabelecida, randomizadas para estrogênio conjugado equino mais acetato de medroxiprogesterona ou placebo. Após 4,1 anos de seguimento, o resultado foi nulo no desfecho primário (infarto não fatal ou morte por doença coronariana): 172 eventos no grupo hormônio </w:t>
      </w:r>
      <w:r>
        <w:rPr>
          <w:i/>
          <w:iCs/>
        </w:rPr>
        <w:t>vs</w:t>
      </w:r>
      <w:r>
        <w:t xml:space="preserve"> 176 no placebo (RH 0,99; IC 95%: 0,80–1,22). Mais inquieto, o ensaio detectou padrão temporal: excesso de eventos no primeiro ano de tratamento e redução nos anos 4 e 5. Eventos tromboembólicos venosos e doença vesicular aumentaram significativamente. O efeito favorável sobre o perfil lipídico — LDL 11% menor, HDL 10% maior no grupo hormônio — não se traduziu em benefício clínico.</w:t>
      </w:r>
    </w:p>
    <w:p w14:paraId="7DA67A39" w14:textId="77777777" w:rsidR="00C34FD2" w:rsidRDefault="00000000">
      <w:pPr>
        <w:pStyle w:val="Corpodetexto"/>
      </w:pPr>
      <w:r>
        <w:t xml:space="preserve">Em 2002, o braço de estrogênio mais progestágeno do Women’s Health Initiative (WHI), publicado pelo grupo de redação dos investigadores (26), é interrompido precocemente. O ensaio havia randomizado 16.608 mulheres pós-menopáusicas saudáveis com útero intacto para a mesma combinação testada no HERS </w:t>
      </w:r>
      <w:r>
        <w:rPr>
          <w:i/>
          <w:iCs/>
        </w:rPr>
        <w:t>versus</w:t>
      </w:r>
      <w:r>
        <w:t xml:space="preserve"> placebo, em desenho de </w:t>
      </w:r>
      <w:r>
        <w:rPr>
          <w:b/>
          <w:bCs/>
        </w:rPr>
        <w:t>prevenção primária</w:t>
      </w:r>
      <w:r>
        <w:t xml:space="preserve"> com 8,5 anos planejados de seguimento. Após 5,2 anos, o comitê de monitoramento decide pela parada porque a estatística para câncer de mama invasivo cruzou a fronteira de parada por dano e o índice global indicava riscos excedendo benefícios. As razões de risco encontradas: doença coronariana 1,29 (IC 95%: 1,02–1,63); câncer de mama 1,26 (1,00–1,59); acidente vascular 1,41 (1,07–1,85); embolia pulmonar 2,13 (1,39–3,25). Houve redução de fraturas de quadril e câncer colorretal, mas o balanço global era desfavorável.</w:t>
      </w:r>
    </w:p>
    <w:p w14:paraId="76ABC741" w14:textId="77777777" w:rsidR="00C34FD2" w:rsidRDefault="00000000">
      <w:pPr>
        <w:pStyle w:val="Corpodetexto"/>
      </w:pPr>
      <w:r>
        <w:t>A interrupção do WHI em 2002 inverteu, em poucos meses, a recomendação clínica que havia se consolidado ao longo de duas décadas. As prescrições de terapia hormonal nos Estados Unidos caíram em mais de 50% no ano seguinte.</w:t>
      </w:r>
    </w:p>
    <w:p w14:paraId="3707EDB1" w14:textId="77777777" w:rsidR="00C34FD2" w:rsidRDefault="00000000">
      <w:pPr>
        <w:pStyle w:val="Ttulo2"/>
      </w:pPr>
      <w:bookmarkStart w:id="121" w:name="a-leitura-mais-cuidadosa-que-se-seguiu"/>
      <w:bookmarkStart w:id="122" w:name="_Toc229219592"/>
      <w:bookmarkEnd w:id="119"/>
      <w:r>
        <w:t>7.4 A leitura mais cuidadosa que se seguiu</w:t>
      </w:r>
      <w:bookmarkEnd w:id="122"/>
    </w:p>
    <w:p w14:paraId="46367A7D" w14:textId="77777777" w:rsidR="00C34FD2" w:rsidRDefault="00000000">
      <w:pPr>
        <w:pStyle w:val="FirstParagraph"/>
      </w:pPr>
      <w:r>
        <w:t xml:space="preserve">A primeira reação foi binária: evidência observacional errada, evidência experimental certa. Análises posteriores — em particular o seguimento estendido publicado por Manson e colaboradores (27) em 2013, com 13 anos cumulativos — mostraram que a história era mais matizada. A divisão pré-especificada por faixa etária revelou heterogeneidade significativa: mulheres com 50 a 59 anos no momento da randomização tiveram resultados mais favoráveis para mortalidade por todas as causas e infarto do miocárdio do que mulheres mais velhas. Os benefícios do braço </w:t>
      </w:r>
      <w:r>
        <w:lastRenderedPageBreak/>
        <w:t>de estrogênio isolado (em mulheres histerectomizadas) eram mais favoráveis que os do braço combinado. O seguimento de 18 anos para mortalidade (28) confirmou ausência de associação entre terapia hormonal e mortalidade total na coorte agregada, mas com a heterogeneidade etária persistindo em análises pré-especificadas.</w:t>
      </w:r>
    </w:p>
    <w:p w14:paraId="3305E96C" w14:textId="77777777" w:rsidR="00C34FD2" w:rsidRDefault="00000000">
      <w:pPr>
        <w:pStyle w:val="Corpodetexto"/>
      </w:pPr>
      <w:r>
        <w:t xml:space="preserve">A leitura contemporânea reconhece que a discrepância entre evidência observacional e WHI tem várias contribuições simultâneas. O </w:t>
      </w:r>
      <w:r>
        <w:rPr>
          <w:b/>
          <w:bCs/>
        </w:rPr>
        <w:t>viés do usuário saudável</w:t>
      </w:r>
      <w:r>
        <w:t xml:space="preserve"> é a mais imediata: nas coortes observacionais, mulheres em uso de terapia hormonal eram, em média, mais brancas, mais educadas, mais magras, mais ativas, com acesso mais regular a cuidados preventivos — fatores associados independentemente a menor risco cardiovascular e não totalmente capturados pelo ajuste estatístico. O </w:t>
      </w:r>
      <w:r>
        <w:rPr>
          <w:b/>
          <w:bCs/>
        </w:rPr>
        <w:t>viés de prevalentes</w:t>
      </w:r>
      <w:r>
        <w:t xml:space="preserve"> soma-se a esse: a coorte em uso prolongado de terapia hormonal são as sobreviventes de eventos precoces, eventualmente com perfil cardiovascular favorável distinto. Há ainda diferença plausível na </w:t>
      </w:r>
      <w:r>
        <w:rPr>
          <w:b/>
          <w:bCs/>
        </w:rPr>
        <w:t>idade de início</w:t>
      </w:r>
      <w:r>
        <w:t xml:space="preserve"> entre as populações: usuárias do Nurses’ Health Study tipicamente começavam a terapia próximo da menopausa; participantes do WHI tinham idade média de 63 anos no início do ensaio, vários anos após a transição menopausal — janela de tempo durante a qual placas ateroscleróticas podem ter se desenvolvido e podem responder de modo diferente ao estrogênio.</w:t>
      </w:r>
    </w:p>
    <w:p w14:paraId="04D8B02D" w14:textId="77777777" w:rsidR="00C34FD2" w:rsidRDefault="00000000">
      <w:pPr>
        <w:pStyle w:val="Corpodetexto"/>
      </w:pPr>
      <w:r>
        <w:t>A síntese contemporânea separa indicações com clareza. Para sintomas vasomotores em mulheres recentemente menopáusicas, a terapia hormonal continua indicada com balanço favorável de riscos e benefícios em curto prazo. Para prevenção primária ou secundária de doença cardiovascular, a recomendação é contrária — o WHI estabeleceu que o uso com essa indicação produz, em populações comparáveis às estudadas, mais dano que benefício.</w:t>
      </w:r>
    </w:p>
    <w:p w14:paraId="07EB5CF5" w14:textId="77777777" w:rsidR="00C34FD2" w:rsidRDefault="00000000">
      <w:pPr>
        <w:pStyle w:val="Ttulo2"/>
      </w:pPr>
      <w:bookmarkStart w:id="123" w:name="lição-metodológica"/>
      <w:bookmarkStart w:id="124" w:name="_Toc229219593"/>
      <w:bookmarkEnd w:id="121"/>
      <w:r>
        <w:t>7.5 Lição metodológica</w:t>
      </w:r>
      <w:bookmarkEnd w:id="124"/>
    </w:p>
    <w:p w14:paraId="6B59D5BA" w14:textId="77777777" w:rsidR="00C34FD2" w:rsidRDefault="00000000">
      <w:pPr>
        <w:pStyle w:val="FirstParagraph"/>
      </w:pPr>
      <w:r>
        <w:t xml:space="preserve">Os investigadores que conduziram décadas de estudos observacionais sobre terapia hormonal e doença cardiovascular trabalharam com rigor compatível com o estado da arte da época, e seus dados — vistos como dados — não eram falhos. O que falhou foi a </w:t>
      </w:r>
      <w:r>
        <w:rPr>
          <w:b/>
          <w:bCs/>
        </w:rPr>
        <w:t>inferência causal a partir desses dados</w:t>
      </w:r>
      <w:r>
        <w:t>, em específico, a hipótese implícita de que ajuste para confundidores conhecidos era suficiente para isolar o efeito da terapia. Os confundidores não medidos — comportamentos protetores agregados na figura da “usuária saudável” — operaram em direção positiva, inflando uma associação que parecia robusta a inspeção convencional.</w:t>
      </w:r>
    </w:p>
    <w:p w14:paraId="70693FA5" w14:textId="77777777" w:rsidR="00C34FD2" w:rsidRDefault="00000000">
      <w:pPr>
        <w:pStyle w:val="Corpodetexto"/>
      </w:pPr>
      <w:r>
        <w:t xml:space="preserve">A história da terapia hormonal cristalizou três lições que organizam a epidemiologia observacional contemporânea. A primeira é estrutural: ajuste estatístico para confundidores medidos não controla confundidores não medidos, e a magnitude desse confundimento residual frequentemente é suficiente para inverter, e não apenas atenuar, o sinal observado. A análise de viés quantitativa formaliza essa preocupação. A segunda é a virada para a noção de </w:t>
      </w:r>
      <w:r>
        <w:rPr>
          <w:i/>
          <w:iCs/>
        </w:rPr>
        <w:t>target trial</w:t>
      </w:r>
      <w:r>
        <w:t xml:space="preserve">: a pergunta clínica </w:t>
      </w:r>
      <w:r>
        <w:lastRenderedPageBreak/>
        <w:t>precisa especificar exatamente que população, em que momento, com que regime, comparada a que alternativa — e a distância entre o protocolo emulado e qualquer estudo observacional precisa ser explicitada. A terceira é a importância da heterogeneidade: o efeito médio de uma intervenção pode mascarar subpopulações em que o efeito é benéfico ou prejudicial, e análise pré-especificada por subgrupos relevantes preserva informação que a estimativa agregada elimina.</w:t>
      </w:r>
    </w:p>
    <w:p w14:paraId="10BB9F8B" w14:textId="77777777" w:rsidR="00C34FD2" w:rsidRDefault="00000000">
      <w:pPr>
        <w:pStyle w:val="Ttulo2"/>
      </w:pPr>
      <w:bookmarkStart w:id="125" w:name="para-discussão-em-sala"/>
      <w:bookmarkStart w:id="126" w:name="_Toc229219594"/>
      <w:bookmarkEnd w:id="123"/>
      <w:r>
        <w:t>7.6 Para discussão em sala</w:t>
      </w:r>
      <w:bookmarkEnd w:id="126"/>
    </w:p>
    <w:p w14:paraId="08E4620E" w14:textId="77777777" w:rsidR="00C34FD2" w:rsidRDefault="00000000">
      <w:pPr>
        <w:numPr>
          <w:ilvl w:val="0"/>
          <w:numId w:val="6"/>
        </w:numPr>
      </w:pPr>
      <w:r>
        <w:t xml:space="preserve">As coortes observacionais (NHS) e o WHI estudaram populações diferentes em momentos diferentes do ciclo menopausal. Discuta em que medida a discrepância entre os achados pode ser atribuída a confundimento por usuário saudável </w:t>
      </w:r>
      <w:r>
        <w:rPr>
          <w:i/>
          <w:iCs/>
        </w:rPr>
        <w:t>vs</w:t>
      </w:r>
      <w:r>
        <w:t xml:space="preserve"> heterogeneidade real entre populações com diferentes idades de início. Como decidir entre essas duas explicações?</w:t>
      </w:r>
    </w:p>
    <w:p w14:paraId="3C925C4C" w14:textId="77777777" w:rsidR="00C34FD2" w:rsidRDefault="00000000">
      <w:pPr>
        <w:numPr>
          <w:ilvl w:val="0"/>
          <w:numId w:val="6"/>
        </w:numPr>
      </w:pPr>
      <w:r>
        <w:t>Antes de 2002, era razoável recomendar terapia hormonal para prevenção cardiovascular com base na evidência observacional disponível? Argumente considerando o que se sabia, mas também considerando o que metodologicamente já era possível antecipar como limitação.</w:t>
      </w:r>
    </w:p>
    <w:p w14:paraId="55EBA5B3" w14:textId="77777777" w:rsidR="00C34FD2" w:rsidRDefault="00000000">
      <w:pPr>
        <w:numPr>
          <w:ilvl w:val="0"/>
          <w:numId w:val="6"/>
        </w:numPr>
      </w:pPr>
      <w:r>
        <w:t>A terapia hormonal continua indicada para sintomas vasomotores em mulheres recentemente menopáusicas. Como conciliar essa recomendação com os achados desfavoráveis do WHI? O que esse caso ensina sobre a relação entre desfecho de eficácia e desfecho de segurança em uma mesma intervenção?</w:t>
      </w:r>
    </w:p>
    <w:p w14:paraId="0955CF8C" w14:textId="77777777" w:rsidR="00274C70" w:rsidRDefault="00274C70">
      <w:pPr>
        <w:rPr>
          <w:rFonts w:asciiTheme="majorHAnsi" w:eastAsiaTheme="majorEastAsia" w:hAnsiTheme="majorHAnsi" w:cstheme="majorBidi"/>
          <w:color w:val="0F4761" w:themeColor="accent1" w:themeShade="BF"/>
          <w:sz w:val="40"/>
          <w:szCs w:val="40"/>
        </w:rPr>
      </w:pPr>
      <w:bookmarkStart w:id="127" w:name="Xca86709fe7b71ada28384645c53001e0b239d11"/>
      <w:bookmarkStart w:id="128" w:name="_Toc229219595"/>
      <w:bookmarkEnd w:id="113"/>
      <w:bookmarkEnd w:id="125"/>
      <w:r>
        <w:br w:type="page"/>
      </w:r>
    </w:p>
    <w:p w14:paraId="4C40B8EA" w14:textId="5B4BE324" w:rsidR="00C34FD2" w:rsidRDefault="00000000">
      <w:pPr>
        <w:pStyle w:val="Ttulo1"/>
      </w:pPr>
      <w:r>
        <w:lastRenderedPageBreak/>
        <w:t>8. Vitamina E — antioxidantes e o limite da plausibilidade biológica</w:t>
      </w:r>
      <w:bookmarkEnd w:id="128"/>
    </w:p>
    <w:p w14:paraId="6A02D0A2" w14:textId="77777777" w:rsidR="00C34FD2" w:rsidRDefault="00000000">
      <w:pPr>
        <w:pStyle w:val="Ttulo2"/>
      </w:pPr>
      <w:bookmarkStart w:id="129" w:name="contexto-clínico-1"/>
      <w:bookmarkStart w:id="130" w:name="_Toc229219596"/>
      <w:r>
        <w:t>8.1 Contexto clínico</w:t>
      </w:r>
      <w:bookmarkEnd w:id="130"/>
    </w:p>
    <w:p w14:paraId="090AB8B6" w14:textId="77777777" w:rsidR="00C34FD2" w:rsidRDefault="00000000">
      <w:pPr>
        <w:pStyle w:val="FirstParagraph"/>
      </w:pPr>
      <w:r>
        <w:t xml:space="preserve">A formulação da hipótese do estresse oxidativo na aterogênese, consolidada nos anos 1980, foi um dos momentos mais convincentes da articulação entre biologia básica e prevenção clínica. A oxidação de partículas de LDL — modificação química que altera sua reconhecibilidade pelos receptores hepáticos e facilita captura por macrófagos na íntima arterial — passou a ser considerada passo necessário no início da placa aterosclerótica. A vitamina E, alfa-tocoferol, atua como antioxidante lipofílico, integrando-se nas membranas celulares e nas próprias lipoproteínas onde a oxidação ocorre. Em ensaios </w:t>
      </w:r>
      <w:r>
        <w:rPr>
          <w:i/>
          <w:iCs/>
        </w:rPr>
        <w:t>in vitro</w:t>
      </w:r>
      <w:r>
        <w:t xml:space="preserve"> e em modelos animais, suplementação de vitamina E reduzia a oxidação de LDL e marcadores correlatos.</w:t>
      </w:r>
    </w:p>
    <w:p w14:paraId="7B5CDA22" w14:textId="77777777" w:rsidR="00C34FD2" w:rsidRDefault="00000000">
      <w:pPr>
        <w:pStyle w:val="Corpodetexto"/>
      </w:pPr>
      <w:r>
        <w:t>A inferência clínica seguinte teve apelo lógico imediato. Se a oxidação de LDL é causa proximal de aterosclerose, e se vitamina E reduz oxidação, então suplementação com vitamina E deveria reduzir eventos cardiovasculares. A hipótese reunia três elementos que normalmente se buscam juntos: mecanismo identificado, intervenção que atinge o mecanismo, e desfecho clinicamente relevante na ponta. Faltava, como sempre, o teste experimental.</w:t>
      </w:r>
    </w:p>
    <w:p w14:paraId="34293726" w14:textId="77777777" w:rsidR="00C34FD2" w:rsidRDefault="00000000">
      <w:pPr>
        <w:pStyle w:val="Corpodetexto"/>
      </w:pPr>
      <w:r>
        <w:t>A vitamina E em doses suplementares (tipicamente 200–800 UI por dia, muito acima da ingestão dietética usual) tornou-se, ao longo dos anos 1990, um dos suplementos mais consumidos nos Estados Unidos. Estima-se que mais de 10% da população adulta americana usasse suplementação regular no auge da prática.</w:t>
      </w:r>
    </w:p>
    <w:p w14:paraId="2C357CC1" w14:textId="77777777" w:rsidR="00C34FD2" w:rsidRDefault="00000000">
      <w:pPr>
        <w:pStyle w:val="Ttulo2"/>
      </w:pPr>
      <w:bookmarkStart w:id="131" w:name="a-evidência-observacional-1"/>
      <w:bookmarkStart w:id="132" w:name="_Toc229219597"/>
      <w:bookmarkEnd w:id="129"/>
      <w:r>
        <w:t>8.2 A evidência observacional</w:t>
      </w:r>
      <w:bookmarkEnd w:id="132"/>
    </w:p>
    <w:p w14:paraId="1AFFCAB0" w14:textId="77777777" w:rsidR="00C34FD2" w:rsidRDefault="00000000">
      <w:pPr>
        <w:pStyle w:val="FirstParagraph"/>
      </w:pPr>
      <w:r>
        <w:t xml:space="preserve">Em maio de 1993, o </w:t>
      </w:r>
      <w:r>
        <w:rPr>
          <w:i/>
          <w:iCs/>
        </w:rPr>
        <w:t>New England Journal of Medicine</w:t>
      </w:r>
      <w:r>
        <w:t xml:space="preserve"> publica em uma mesma edição dois estudos prospectivos de grande porte. Stampfer e colaboradores (29) reportam, no Nurses’ Health Study, que mulheres no quintil superior de ingestão de vitamina E tinham risco relativo ajustado de 0,66 (IC 95%: 0,50–0,87) para doença coronariana maior em comparação com o quintil inferior. A maior parte da variabilidade na ingestão e da redução de risco era atribuível ao consumo de suplementos. Mulheres que tomavam suplementos por mais de dois anos tinham risco relativo de 0,59 (IC 95%: 0,38–0,91), após ajuste para idade, tabagismo, fatores de risco coronarianos e uso de outros antioxidantes.</w:t>
      </w:r>
    </w:p>
    <w:p w14:paraId="620F7BDB" w14:textId="77777777" w:rsidR="00C34FD2" w:rsidRDefault="00000000">
      <w:pPr>
        <w:pStyle w:val="Corpodetexto"/>
      </w:pPr>
      <w:r>
        <w:t>No mesmo número, Rimm e colaboradores (30) reportam achados consistentes em homens — o Health Professionals Follow-up Study, com 39.910 profissionais americanos. Para homens consumindo mais de 60 UI por dia, o risco relativo multivariado era 0,64 (IC 95%: 0,49–0,83) em comparação com aqueles consumindo menos de 7,5 UI por dia. Para os que tomavam suplemento de pelo menos 100 UI por dia por dois anos ou mais, o risco relativo era 0,63 (IC 95%: 0,47–0,84).</w:t>
      </w:r>
    </w:p>
    <w:p w14:paraId="070F6A10" w14:textId="77777777" w:rsidR="00C34FD2" w:rsidRDefault="00000000">
      <w:pPr>
        <w:pStyle w:val="Corpodetexto"/>
      </w:pPr>
      <w:r>
        <w:lastRenderedPageBreak/>
        <w:t>Os dois estudos são cuidadosos em sua linguagem: declaram explicitamente que “esses dados prospectivos não provam relação causal” e que “ensaios randomizados de vitamina E em prevenção primária e secundária estão sendo conduzidos; recomendações de política pública sobre uso ampliado de vitamina E devem aguardar resultados desses ensaios”. A advertência foi com frequência ignorada. A combinação de mecanismo plausível, magnitude do efeito e consistência entre populações masculina e feminina foi tratada por parte da literatura clínica como evidência suficiente, e a prescrição de suplementação ampliou-se nas décadas seguintes.</w:t>
      </w:r>
    </w:p>
    <w:p w14:paraId="756491B2" w14:textId="77777777" w:rsidR="00C34FD2" w:rsidRDefault="00000000">
      <w:pPr>
        <w:pStyle w:val="Ttulo2"/>
      </w:pPr>
      <w:bookmarkStart w:id="133" w:name="os-ensaios-randomizados-1"/>
      <w:bookmarkStart w:id="134" w:name="_Toc229219598"/>
      <w:bookmarkEnd w:id="131"/>
      <w:r>
        <w:t>8.3 Os ensaios randomizados</w:t>
      </w:r>
      <w:bookmarkEnd w:id="134"/>
    </w:p>
    <w:p w14:paraId="2E36481C" w14:textId="77777777" w:rsidR="00C34FD2" w:rsidRDefault="00000000">
      <w:pPr>
        <w:pStyle w:val="FirstParagraph"/>
      </w:pPr>
      <w:r>
        <w:t xml:space="preserve">O GISSI-Prevenzione (31), publicado em 1999, randomizou 11.324 sobreviventes de infarto agudo do miocárdio recente (até três meses) para receber suplementação com ômega-3 polinsaturado, vitamina E (300 mg/dia), ambos ou nenhum, por 3,5 anos. Para o desfecho composto primário (morte, infarto não fatal, acidente vascular), vitamina E </w:t>
      </w:r>
      <w:r>
        <w:rPr>
          <w:b/>
          <w:bCs/>
        </w:rPr>
        <w:t>não produziu redução significativa</w:t>
      </w:r>
      <w:r>
        <w:t xml:space="preserve"> de risco; o ômega-3 sim, em magnitude modesta. Foi o primeiro ensaio randomizado de grande porte a falhar em confirmar o sinal observacional.</w:t>
      </w:r>
    </w:p>
    <w:p w14:paraId="737929F8" w14:textId="77777777" w:rsidR="00C34FD2" w:rsidRDefault="00000000">
      <w:pPr>
        <w:pStyle w:val="Corpodetexto"/>
      </w:pPr>
      <w:r>
        <w:t xml:space="preserve">O HOPE (32), publicado em 2000, foi mais decisivo. Randomizou 9.541 pacientes de alto risco cardiovascular (com doença cardiovascular estabelecida ou diabetes mais um fator de risco) para 400 UI diárias de vitamina E </w:t>
      </w:r>
      <w:r>
        <w:rPr>
          <w:i/>
          <w:iCs/>
        </w:rPr>
        <w:t>versus</w:t>
      </w:r>
      <w:r>
        <w:t xml:space="preserve"> placebo, em desenho fatorial 2x2 que também testava ramipril. Após 4,5 anos médios, a vitamina E não produziu efeito significativo no desfecho composto primário (RR 1,05; IC 95%: 0,95–1,16) nem em qualquer desfecho secundário cardiovascular. O sinal observacional não se reproduziu em condições experimentais.</w:t>
      </w:r>
    </w:p>
    <w:p w14:paraId="0A4BFA18" w14:textId="77777777" w:rsidR="00C34FD2" w:rsidRDefault="00000000">
      <w:pPr>
        <w:pStyle w:val="Corpodetexto"/>
      </w:pPr>
      <w:r>
        <w:t>Em 2005, Miller e colaboradores (33) publicam meta-análise de 19 ensaios randomizados, totalizando 135.967 participantes, examinando a relação dose-resposta entre suplementação com vitamina E e mortalidade por todas as causas. O resultado pivotou a discussão: doses iguais ou superiores a 400 UI por dia associaram-se a aumento estatisticamente significativo de mortalidade total (diferença de risco agrupada de 39 por 10.000 pessoas; IC 95%: 3–74), e a análise de dose-resposta indicava que o aumento começava em torno de 150 UI por dia. A hipótese antioxidante, longe de produzir benefício, agora suscitava preocupação com dano em doses populares.</w:t>
      </w:r>
    </w:p>
    <w:p w14:paraId="1FC62CE2" w14:textId="77777777" w:rsidR="00C34FD2" w:rsidRDefault="00000000">
      <w:pPr>
        <w:pStyle w:val="Corpodetexto"/>
      </w:pPr>
      <w:r>
        <w:t xml:space="preserve">Em 2011, Klein e colaboradores (34) publicam o seguimento estendido do SELECT (Selenium and Vitamin E Cancer Prevention Trial), envolvendo 35.533 homens, originalmente desenhado para testar prevenção de câncer de próstata. O resultado primário tinha sido neutro em 2008. Com seguimento adicional, a vitamina E (400 UI/dia) </w:t>
      </w:r>
      <w:r>
        <w:rPr>
          <w:b/>
          <w:bCs/>
        </w:rPr>
        <w:t>aumentou</w:t>
      </w:r>
      <w:r>
        <w:t xml:space="preserve"> significativamente o risco de câncer de próstata em comparação com placebo (HR 1,17; IC 99%: 1,004–1,36; </w:t>
      </w:r>
      <w:r>
        <w:rPr>
          <w:i/>
          <w:iCs/>
        </w:rPr>
        <w:t>p</w:t>
      </w:r>
      <w:r>
        <w:t xml:space="preserve"> = 0,008). O efeito foi modesto em </w:t>
      </w:r>
      <w:r>
        <w:lastRenderedPageBreak/>
        <w:t>magnitude absoluta — 1,6 caso adicional por 1.000 pessoas-ano — mas reforçou o padrão emergente: em vez de proteção, dano.</w:t>
      </w:r>
    </w:p>
    <w:p w14:paraId="10B49C7E" w14:textId="77777777" w:rsidR="00C34FD2" w:rsidRDefault="00000000">
      <w:pPr>
        <w:pStyle w:val="Ttulo2"/>
      </w:pPr>
      <w:bookmarkStart w:id="135" w:name="lição-metodológica-1"/>
      <w:bookmarkStart w:id="136" w:name="_Toc229219599"/>
      <w:bookmarkEnd w:id="133"/>
      <w:r>
        <w:t>8.4 Lição metodológica</w:t>
      </w:r>
      <w:bookmarkEnd w:id="136"/>
    </w:p>
    <w:p w14:paraId="7BE43EB3" w14:textId="77777777" w:rsidR="00C34FD2" w:rsidRDefault="00000000">
      <w:pPr>
        <w:pStyle w:val="FirstParagraph"/>
      </w:pPr>
      <w:r>
        <w:t>A história da vitamina E é, em alguns aspectos, mais inquietante que a da terapia hormonal. Não havia, no caso da vitamina E, mecanismo evidente para confundimento residual de magnitude tão grande quanto o necessário para inverter o sinal — usuários e não usuários de suplemento podiam diferir em comportamentos saudáveis, mas a expectativa razoável era de atenuação, não inversão. A explicação contemporânea preferida combina três elementos.</w:t>
      </w:r>
    </w:p>
    <w:p w14:paraId="7E464A51" w14:textId="77777777" w:rsidR="00C34FD2" w:rsidRDefault="00000000">
      <w:pPr>
        <w:pStyle w:val="Corpodetexto"/>
      </w:pPr>
      <w:r>
        <w:t xml:space="preserve">O primeiro é, ainda assim, </w:t>
      </w:r>
      <w:r>
        <w:rPr>
          <w:b/>
          <w:bCs/>
        </w:rPr>
        <w:t>viés do usuário saudável</w:t>
      </w:r>
      <w:r>
        <w:t>. As coortes observacionais comparavam usuários voluntários de suplementos — pessoas que ativamente escolheram pagar por algo que esperavam beneficiá-las — com não usuários. Essa autosseleção carrega correlação com outros comportamentos protetores não totalmente capturados pelo ajuste estatístico. A magnitude do confundimento residual provavelmente foi suficiente para produzir as razões de risco em torno de 0,6 observadas, sem necessidade de qualquer efeito biológico real.</w:t>
      </w:r>
    </w:p>
    <w:p w14:paraId="699DF7D7" w14:textId="77777777" w:rsidR="00C34FD2" w:rsidRDefault="00000000">
      <w:pPr>
        <w:pStyle w:val="Corpodetexto"/>
      </w:pPr>
      <w:r>
        <w:t xml:space="preserve">O segundo é a </w:t>
      </w:r>
      <w:r>
        <w:rPr>
          <w:b/>
          <w:bCs/>
        </w:rPr>
        <w:t>diferença entre escala dietética e escala suplementar</w:t>
      </w:r>
      <w:r>
        <w:t>. A ingestão dietética de vitamina E em populações ocidentais varia tipicamente entre 5 e 30 UI por dia. Os ensaios usaram doses 10 a 50 vezes maiores. Há razões fisiológicas para que vitamina E em doses suplementares se comporte de modo diferente da vitamina E em sua matriz alimentar — alteração da farmacocinética de outros tocoferóis, possíveis efeitos pró-oxidantes em concentrações teciduais elevadas, interferência com vias de sinalização que dependem de espécies reativas de oxigênio em níveis fisiológicos. A inferência observacional sobre dietas naturais não autorizava conclusão sobre suplementação isolada.</w:t>
      </w:r>
    </w:p>
    <w:p w14:paraId="6C39DB07" w14:textId="77777777" w:rsidR="00C34FD2" w:rsidRDefault="00000000">
      <w:pPr>
        <w:pStyle w:val="Corpodetexto"/>
      </w:pPr>
      <w:r>
        <w:t xml:space="preserve">O terceiro é a </w:t>
      </w:r>
      <w:r>
        <w:rPr>
          <w:b/>
          <w:bCs/>
        </w:rPr>
        <w:t>limitação intrínseca do raciocínio mecanístico</w:t>
      </w:r>
      <w:r>
        <w:t>. Mesmo que a oxidação de LDL seja parte do processo aterogênico, e mesmo que vitamina E reduza essa oxidação, a inferência de que reduzir a oxidação reduz desfechos clínicos depende de premissas adicionais sobre quantos outros caminhos contribuem para a aterogênese, sobre quanto da progressão da doença é determinada na fase em que a vitamina E age, e sobre se a intervenção tem efeitos paralelos não considerados. A plausibilidade biológica é critério necessário, não suficiente — observação que Hill já fazia em 1965, e que Ioannidis (16) retoma com ênfase ao avaliar criticamente o peso atribuído a esse critério em décadas de prática.</w:t>
      </w:r>
    </w:p>
    <w:p w14:paraId="02949947" w14:textId="77777777" w:rsidR="00C34FD2" w:rsidRDefault="00000000">
      <w:pPr>
        <w:pStyle w:val="Corpodetexto"/>
      </w:pPr>
      <w:r>
        <w:t xml:space="preserve">Os pesquisadores que conduziram os estudos observacionais sobre vitamina E publicaram dados sólidos com interpretação cautelosa — o cuidado da linguagem dos artigos originais é, em retrospecto, mais defensável do que parte da prática clínica e da política nutricional que se seguiu. O caso ilustra que a produção rigorosa de dados é condição necessária mas não suficiente: a tradução de evidência </w:t>
      </w:r>
      <w:r>
        <w:lastRenderedPageBreak/>
        <w:t>observacional em política precisa do passo experimental, e quando esse passo não vem, a comunidade clínica precisa preservar a contenção.</w:t>
      </w:r>
    </w:p>
    <w:p w14:paraId="19C8E454" w14:textId="77777777" w:rsidR="00C34FD2" w:rsidRDefault="00000000">
      <w:pPr>
        <w:pStyle w:val="Ttulo2"/>
      </w:pPr>
      <w:bookmarkStart w:id="137" w:name="para-discussão-em-sala-1"/>
      <w:bookmarkStart w:id="138" w:name="_Toc229219600"/>
      <w:bookmarkEnd w:id="135"/>
      <w:r>
        <w:t>8.5 Para discussão em sala</w:t>
      </w:r>
      <w:bookmarkEnd w:id="138"/>
    </w:p>
    <w:p w14:paraId="4AEC3273" w14:textId="77777777" w:rsidR="00C34FD2" w:rsidRDefault="00000000">
      <w:pPr>
        <w:numPr>
          <w:ilvl w:val="0"/>
          <w:numId w:val="7"/>
        </w:numPr>
      </w:pPr>
      <w:r>
        <w:t>Em 1993, depois da publicação simultânea de Stampfer e Rimm, era razoável recomendar suplementação com vitamina E para prevenção cardiovascular? E em 2000, depois do HOPE? Discuta como o estado da evidência se modificou e como a recomendação clínica deveria ter acompanhado essa modificação.</w:t>
      </w:r>
    </w:p>
    <w:p w14:paraId="62583EA4" w14:textId="77777777" w:rsidR="00C34FD2" w:rsidRDefault="00000000">
      <w:pPr>
        <w:numPr>
          <w:ilvl w:val="0"/>
          <w:numId w:val="7"/>
        </w:numPr>
      </w:pPr>
      <w:r>
        <w:t>A hipótese do estresse oxidativo continua vigente como modelo de aterogênese. Como conciliar a permanência do mecanismo com a falha experimental da intervenção que o tinha como alvo? Que isso ensina sobre a relação entre alvo molecular plausível e desfecho clínico?</w:t>
      </w:r>
    </w:p>
    <w:p w14:paraId="6E6803C0" w14:textId="77777777" w:rsidR="00C34FD2" w:rsidRDefault="00000000">
      <w:pPr>
        <w:numPr>
          <w:ilvl w:val="0"/>
          <w:numId w:val="7"/>
        </w:numPr>
      </w:pPr>
      <w:r>
        <w:t>Em 2024, multivitamínicos contendo vitamina E em doses entre 30 e 400 UI continuam sendo amplamente vendidos e consumidos, frequentemente como prevenção genérica. Discuta a posição ética do médico clínico ao orientar pacientes que pedem essa suplementação: o que dizer com base no estado atual da evidência, e como dizer.</w:t>
      </w:r>
    </w:p>
    <w:p w14:paraId="14D557FF" w14:textId="77777777" w:rsidR="00274C70" w:rsidRDefault="00274C70">
      <w:pPr>
        <w:rPr>
          <w:rFonts w:asciiTheme="majorHAnsi" w:eastAsiaTheme="majorEastAsia" w:hAnsiTheme="majorHAnsi" w:cstheme="majorBidi"/>
          <w:color w:val="0F4761" w:themeColor="accent1" w:themeShade="BF"/>
          <w:sz w:val="40"/>
          <w:szCs w:val="40"/>
        </w:rPr>
      </w:pPr>
      <w:bookmarkStart w:id="139" w:name="X0db9cf0ff34d79df5c880e442b3f2fdaf90c245"/>
      <w:bookmarkStart w:id="140" w:name="_Toc229219601"/>
      <w:bookmarkEnd w:id="127"/>
      <w:bookmarkEnd w:id="137"/>
      <w:r>
        <w:br w:type="page"/>
      </w:r>
    </w:p>
    <w:p w14:paraId="2764C55A" w14:textId="3C07DDD0" w:rsidR="00C34FD2" w:rsidRDefault="00000000">
      <w:pPr>
        <w:pStyle w:val="Ttulo1"/>
      </w:pPr>
      <w:r>
        <w:lastRenderedPageBreak/>
        <w:t>9. Betacaroteno — quando a suplementação faz o oposto do esperado</w:t>
      </w:r>
      <w:bookmarkEnd w:id="140"/>
    </w:p>
    <w:p w14:paraId="5FF3D70C" w14:textId="77777777" w:rsidR="00C34FD2" w:rsidRDefault="00000000">
      <w:pPr>
        <w:pStyle w:val="Ttulo2"/>
      </w:pPr>
      <w:bookmarkStart w:id="141" w:name="contexto-clínico-2"/>
      <w:bookmarkStart w:id="142" w:name="_Toc229219602"/>
      <w:r>
        <w:t>9.1 Contexto clínico</w:t>
      </w:r>
      <w:bookmarkEnd w:id="142"/>
    </w:p>
    <w:p w14:paraId="288DE0E5" w14:textId="77777777" w:rsidR="00C34FD2" w:rsidRDefault="00000000">
      <w:pPr>
        <w:pStyle w:val="FirstParagraph"/>
      </w:pPr>
      <w:r>
        <w:t>A associação entre consumo regular de frutas e vegetais e menor incidência de câncer foi observada de modo consistente em estudos epidemiológicos ao longo dos anos 1970 e 1980, com sinal mais forte para câncer de pulmão. Coortes prospectivas e estudos caso-controle mostravam, em populações diversas, riscos relativos da ordem de 0,5 a 0,7 para o quintil superior de ingestão em comparação com o inferior. Quando se buscavam compostos plausivelmente responsáveis pelo efeito, os carotenoides — pigmentos vegetais com propriedades antioxidantes — apareciam como candidatos naturais. O betacaroteno é o mais abundante deles, o mais facilmente medido em soro e o precursor metabólico da vitamina A.</w:t>
      </w:r>
    </w:p>
    <w:p w14:paraId="65F97C7E" w14:textId="77777777" w:rsidR="00C34FD2" w:rsidRDefault="00000000">
      <w:pPr>
        <w:pStyle w:val="Corpodetexto"/>
      </w:pPr>
      <w:r>
        <w:t>A inferência seguinte foi a que sustentou décadas de prática clínica e de política nutricional. Se vegetais ricos em betacaroteno estão associados a menor risco de câncer de pulmão, e se o betacaroteno tem propriedades antioxidantes capazes de neutralizar espécies reativas de oxigênio que danificam DNA, então betacaroteno purificado em forma de suplemento deveria, ele mesmo, reduzir o risco de câncer. A hipótese tinha plausibilidade biológica e congruência com observação epidemiológica.</w:t>
      </w:r>
    </w:p>
    <w:p w14:paraId="2F29DCAB" w14:textId="77777777" w:rsidR="00C34FD2" w:rsidRDefault="00000000">
      <w:pPr>
        <w:pStyle w:val="Corpodetexto"/>
      </w:pPr>
      <w:r>
        <w:t>A população em que o efeito esperado seria mais relevante era a de fumantes — grupo com a maior incidência absoluta de câncer de pulmão e portanto a maior diferença absoluta a se ganhar com prevenção efetiva. Foi essa população, aliás, que dois grandes ensaios randomizados internacionais escolheram para testar a hipótese.</w:t>
      </w:r>
    </w:p>
    <w:p w14:paraId="74035F5D" w14:textId="77777777" w:rsidR="00C34FD2" w:rsidRDefault="00000000">
      <w:pPr>
        <w:pStyle w:val="Ttulo2"/>
      </w:pPr>
      <w:bookmarkStart w:id="143" w:name="a-evidência-observacional-2"/>
      <w:bookmarkStart w:id="144" w:name="_Toc229219603"/>
      <w:bookmarkEnd w:id="141"/>
      <w:r>
        <w:t>9.2 A evidência observacional</w:t>
      </w:r>
      <w:bookmarkEnd w:id="144"/>
    </w:p>
    <w:p w14:paraId="406E6B6C" w14:textId="77777777" w:rsidR="00C34FD2" w:rsidRDefault="00000000">
      <w:pPr>
        <w:pStyle w:val="FirstParagraph"/>
      </w:pPr>
      <w:r>
        <w:t>A literatura observacional do início dos anos 1990 era consistente. Múltiplos estudos prospectivos mostravam concentrações séricas mais baixas de betacaroteno em pessoas que vieram a desenvolver câncer de pulmão; ingestão dietética estimada de carotenoides correlacionava-se inversamente com incidência. Em coortes específicas de fumantes, a associação era robusta — fumantes com ingestão dietética alta de betacaroteno tinham risco de câncer de pulmão até 30% menor que fumantes com ingestão baixa, ajustado para tabagismo cumulativo.</w:t>
      </w:r>
    </w:p>
    <w:p w14:paraId="671BD2A4" w14:textId="77777777" w:rsidR="00C34FD2" w:rsidRDefault="00000000">
      <w:pPr>
        <w:pStyle w:val="Corpodetexto"/>
      </w:pPr>
      <w:r>
        <w:t xml:space="preserve">A interpretação que dominava a discussão clínica organizava esses achados em uma narrativa lógica: a nicotina e demais componentes do tabaco geram estresse oxidativo persistente; o estresse oxidativo lesiona DNA das células bronquiais; o betacaroteno, antioxidante lipofílico que se acumula no tecido pulmonar, neutraliza radicais livres antes que eles produzam mutações iniciadoras. A intervenção esperada — suplementar fumantes com betacaroteno — parecia, simultaneamente, </w:t>
      </w:r>
      <w:r>
        <w:lastRenderedPageBreak/>
        <w:t>eticamente atraente (em uma população de alto risco em que a cessação tabágica era difícil) e biologicamente justificada.</w:t>
      </w:r>
    </w:p>
    <w:p w14:paraId="316CD790" w14:textId="77777777" w:rsidR="00C34FD2" w:rsidRDefault="00000000">
      <w:pPr>
        <w:pStyle w:val="Corpodetexto"/>
      </w:pPr>
      <w:r>
        <w:t>Os dois ensaios desenhados para testar essa expectativa tinham proteção e validade ética asseguradas: ambos foram randomizados, controlados por placebo, e tinham comitês de monitoramento independentes capazes de interromper o estudo se aparecesse dano. A precaução metodológica que justificou a condução dos ensaios é a mesma que permitiu detectar o resultado inesperado.</w:t>
      </w:r>
    </w:p>
    <w:p w14:paraId="37967E10" w14:textId="77777777" w:rsidR="00C34FD2" w:rsidRDefault="00000000">
      <w:pPr>
        <w:pStyle w:val="Ttulo2"/>
      </w:pPr>
      <w:bookmarkStart w:id="145" w:name="os-ensaios-randomizados-2"/>
      <w:bookmarkStart w:id="146" w:name="_Toc229219604"/>
      <w:bookmarkEnd w:id="143"/>
      <w:r>
        <w:t>9.3 Os ensaios randomizados</w:t>
      </w:r>
      <w:bookmarkEnd w:id="146"/>
    </w:p>
    <w:p w14:paraId="236F01FB" w14:textId="77777777" w:rsidR="00C34FD2" w:rsidRDefault="00000000">
      <w:pPr>
        <w:pStyle w:val="FirstParagraph"/>
      </w:pPr>
      <w:r>
        <w:t xml:space="preserve">O Alpha-Tocopherol, Beta Carotene Cancer Prevention Study (ATBC) (35) randomizou 29.133 fumantes finlandeses do sexo masculino, de 50 a 69 anos, para receber alfa-tocoferol (vitamina E, 50 mg/dia) isolado, betacaroteno (20 mg/dia) isolado, ambos, ou placebo, em desenho fatorial 2x2, por cinco a oito anos. Em 1994, o resultado é publicado e contraintuitivo. Ao longo do seguimento, foram diagnosticados 876 novos casos de câncer de pulmão. O alfa-tocoferol não produziu redução de incidência. </w:t>
      </w:r>
      <w:r>
        <w:rPr>
          <w:b/>
          <w:bCs/>
        </w:rPr>
        <w:t>O betacaroteno aumentou</w:t>
      </w:r>
      <w:r>
        <w:t xml:space="preserve"> a incidência em 18% (IC 95%: 3–36%) em comparação com os que não o receberam. A mortalidade total foi 8% maior (IC 95%: 1–16%) entre os que receberam betacaroteno, atribuída sobretudo a mais mortes por câncer de pulmão e por doença coronariana isquêmica.</w:t>
      </w:r>
    </w:p>
    <w:p w14:paraId="74ABCFAD" w14:textId="77777777" w:rsidR="00C34FD2" w:rsidRDefault="00000000">
      <w:pPr>
        <w:pStyle w:val="Corpodetexto"/>
      </w:pPr>
      <w:r>
        <w:t>O Beta Carotene and Retinol Efficacy Trial (CARET) (36) foi um esforço paralelo nos Estados Unidos, com desenho semelhante mas em população de risco ainda maior — 18.314 fumantes, ex-fumantes e trabalhadores expostos a asbesto, randomizados para receber 30 mg/dia de betacaroteno mais 25.000 UI de retinol, ou placebo. Em 1996, com seguimento médio de 4 anos, o ensaio é interrompido precocemente, 21 meses antes do previsto. O grupo em tratamento ativo apresentava risco relativo de 1,28 (IC 95%: 1,04–1,57) para câncer de pulmão; risco relativo de 1,17 (IC 95%: 1,03–1,33) para morte por qualquer causa; e risco relativo de 1,46 (IC 95%: 1,07–2,00) para morte por câncer de pulmão. O comitê de monitoramento entendeu que a evidência de dano já era suficiente, e a continuação do ensaio expunha pacientes a risco sem possibilidade de benefício.</w:t>
      </w:r>
    </w:p>
    <w:p w14:paraId="7E4B0359" w14:textId="77777777" w:rsidR="00C34FD2" w:rsidRDefault="00000000">
      <w:pPr>
        <w:pStyle w:val="Corpodetexto"/>
      </w:pPr>
      <w:r>
        <w:t xml:space="preserve">No mesmo número do </w:t>
      </w:r>
      <w:r>
        <w:rPr>
          <w:i/>
          <w:iCs/>
        </w:rPr>
        <w:t>New England Journal of Medicine</w:t>
      </w:r>
      <w:r>
        <w:t xml:space="preserve"> em que o CARET é publicado, Hennekens e colaboradores (37) reportam o resultado do Physicians’ Health Study, ensaio randomizado de longo prazo em 22.071 médicos americanos do sexo masculino — 11% fumantes correntes, 39% ex-fumantes — recebendo 50 mg de betacaroteno em dias alternados ou placebo. Após 12 anos de seguimento, o estudo encontrou ausência de efeito: nem benefício nem dano para incidência de câncer, doença cardiovascular, ou mortalidade total. Em uma população majoritariamente de não fumantes, o suplemento foi neutro.</w:t>
      </w:r>
    </w:p>
    <w:p w14:paraId="1ECC75EE" w14:textId="77777777" w:rsidR="00C34FD2" w:rsidRDefault="00000000">
      <w:pPr>
        <w:pStyle w:val="Corpodetexto"/>
      </w:pPr>
      <w:r>
        <w:t xml:space="preserve">A meta-análise de Bjelakovic e colaboradores (38), publicada na </w:t>
      </w:r>
      <w:r>
        <w:rPr>
          <w:i/>
          <w:iCs/>
        </w:rPr>
        <w:t>JAMA</w:t>
      </w:r>
      <w:r>
        <w:t xml:space="preserve"> em 2007, agrega 47 ensaios de baixo risco de viés com 180.938 participantes e confirma o padrão. Suplementação com betacaroteno aumentou mortalidade total em 7% (IC </w:t>
      </w:r>
      <w:r>
        <w:lastRenderedPageBreak/>
        <w:t>95%: 2–11%); vitamina A em 16% (IC 95%: 10–24%); vitamina E em 4% (IC 95%: 1–7%). Vitamina C e selênio foram neutros. O sinal de dano era pequeno em termos absolutos, mas consistente em meta-análise rigorosa.</w:t>
      </w:r>
    </w:p>
    <w:p w14:paraId="24D4E409" w14:textId="77777777" w:rsidR="00C34FD2" w:rsidRDefault="00000000">
      <w:pPr>
        <w:pStyle w:val="Ttulo2"/>
      </w:pPr>
      <w:bookmarkStart w:id="147" w:name="lição-metodológica-2"/>
      <w:bookmarkStart w:id="148" w:name="_Toc229219605"/>
      <w:bookmarkEnd w:id="145"/>
      <w:r>
        <w:t>9.4 Lição metodológica</w:t>
      </w:r>
      <w:bookmarkEnd w:id="148"/>
    </w:p>
    <w:p w14:paraId="163CE611" w14:textId="77777777" w:rsidR="00C34FD2" w:rsidRDefault="00000000">
      <w:pPr>
        <w:pStyle w:val="FirstParagraph"/>
      </w:pPr>
      <w:r>
        <w:t>A história do betacaroteno é particularmente útil por sua simetria narrativa. A evidência observacional sustentava uma hipótese específica de proteção; a evidência experimental retornou, em duas populações independentes de alto risco, sinal de dano; em uma população de baixo risco, sinal nulo. Nenhuma combinação de viés do usuário saudável ou de confundimento residual usual explica essa configuração — em particular, a inversão de sinal em fumantes não decorre apenas de ajuste insuficiente. A explicação contemporânea aponta para três fenômenos sobrepostos.</w:t>
      </w:r>
    </w:p>
    <w:p w14:paraId="3952E7E1" w14:textId="77777777" w:rsidR="00C34FD2" w:rsidRDefault="00000000">
      <w:pPr>
        <w:pStyle w:val="Corpodetexto"/>
      </w:pPr>
      <w:r>
        <w:t xml:space="preserve">O primeiro é a </w:t>
      </w:r>
      <w:r>
        <w:rPr>
          <w:b/>
          <w:bCs/>
        </w:rPr>
        <w:t>falácia do componente ativo</w:t>
      </w:r>
      <w:r>
        <w:t>. Frutas e vegetais são matrizes alimentares complexas com centenas de compostos bioativos — outros carotenoides (alfa-caroteno, criptoxantina, luteína, licopeno), polifenóis, fibras, vitaminas, minerais, fitoquímicos diversos — que interagem entre si e com o microbioma intestinal. Atribuir a um único composto a totalidade do efeito observado para a matriz alimentar é, na maioria dos contextos, uma simplificação não justificada. Suplementar com o composto isolado, em doses muito acima das alcançáveis pela dieta, retira-o do contexto químico em que ele opera fisiologicamente.</w:t>
      </w:r>
    </w:p>
    <w:p w14:paraId="3C966414" w14:textId="77777777" w:rsidR="00C34FD2" w:rsidRDefault="00000000">
      <w:pPr>
        <w:pStyle w:val="Corpodetexto"/>
      </w:pPr>
      <w:r>
        <w:t xml:space="preserve">O segundo é a </w:t>
      </w:r>
      <w:r>
        <w:rPr>
          <w:b/>
          <w:bCs/>
        </w:rPr>
        <w:t>interação com a biologia específica do hospedeiro</w:t>
      </w:r>
      <w:r>
        <w:t xml:space="preserve">. Em fumantes, a fisiologia tecidual pulmonar difere — há estresse oxidativo crônico elevado, alteração de razões de oxidoredução, indução de enzimas metabólicas como o citocromo P450. Em concentrações teciduais elevadas, o betacaroteno pode inverter seu papel químico de antioxidante para pró-oxidante, especialmente em ambientes ricos em oxigênio — situação que ocorre justamente no parênquima pulmonar do fumante. A intervenção que parecia segura no modelo </w:t>
      </w:r>
      <w:r>
        <w:rPr>
          <w:i/>
          <w:iCs/>
        </w:rPr>
        <w:t>in vitro</w:t>
      </w:r>
      <w:r>
        <w:t xml:space="preserve"> pode operar de modo oposto em vivo.</w:t>
      </w:r>
    </w:p>
    <w:p w14:paraId="708A15B9" w14:textId="77777777" w:rsidR="00C34FD2" w:rsidRDefault="00000000">
      <w:pPr>
        <w:pStyle w:val="Corpodetexto"/>
      </w:pPr>
      <w:r>
        <w:t xml:space="preserve">O terceiro é o </w:t>
      </w:r>
      <w:r>
        <w:rPr>
          <w:b/>
          <w:bCs/>
        </w:rPr>
        <w:t>viés do usuário saudável</w:t>
      </w:r>
      <w:r>
        <w:t xml:space="preserve"> atuando, ainda assim, na evidência observacional original. Pessoas que consomem mais frutas e vegetais diferem sistematicamente daquelas que consomem menos em uma variedade de comportamentos protetores — atividade física, hábito de não fumar (mesmo entre os classificados como fumantes, há gradação na intensidade), busca de cuidado preventivo. O ajuste estatístico controla parte dessa diferença, mas não toda. A magnitude do confundimento residual no caso da vitamina E é provavelmente suficiente para explicar parcela do sinal observacional.</w:t>
      </w:r>
    </w:p>
    <w:p w14:paraId="7C705ED4" w14:textId="77777777" w:rsidR="00C34FD2" w:rsidRDefault="00000000">
      <w:pPr>
        <w:pStyle w:val="Corpodetexto"/>
      </w:pPr>
      <w:r>
        <w:t xml:space="preserve">Os investigadores que conduziram tanto os estudos observacionais quanto os ensaios randomizados sobre betacaroteno trabalharam dentro do estado da arte de cada uma das gerações de pesquisa. Os dois ensaios — ATBC e CARET — são </w:t>
      </w:r>
      <w:r>
        <w:lastRenderedPageBreak/>
        <w:t>exemplos virtuosos de investigação clínica: bem desenhados, conduzidos com rigor, monitorados de modo independente, capazes de detectar e reportar resultados contrários à hipótese. O dano detectado nos braços de tratamento do ATBC e do CARET, vale enfatizar, foi consequência da intervenção testada, não do desenho experimental que a testou. O desenho fez seu trabalho exatamente como deveria.</w:t>
      </w:r>
    </w:p>
    <w:p w14:paraId="7DF2D82F" w14:textId="77777777" w:rsidR="00C34FD2" w:rsidRDefault="00000000">
      <w:pPr>
        <w:pStyle w:val="Ttulo2"/>
      </w:pPr>
      <w:bookmarkStart w:id="149" w:name="para-discussão-em-sala-2"/>
      <w:bookmarkStart w:id="150" w:name="_Toc229219606"/>
      <w:bookmarkEnd w:id="147"/>
      <w:r>
        <w:t>9.5 Para discussão em sala</w:t>
      </w:r>
      <w:bookmarkEnd w:id="150"/>
    </w:p>
    <w:p w14:paraId="685C75F0" w14:textId="77777777" w:rsidR="00C34FD2" w:rsidRDefault="00000000">
      <w:pPr>
        <w:numPr>
          <w:ilvl w:val="0"/>
          <w:numId w:val="8"/>
        </w:numPr>
      </w:pPr>
      <w:r>
        <w:t>Em 1990, antes da publicação do ATBC, era razoável recomendar suplementação com betacaroteno para fumantes com base na evidência observacional disponível? Discuta considerando a magnitude do efeito observacional, a plausibilidade biológica e a natureza da evidência experimental disponível à época.</w:t>
      </w:r>
    </w:p>
    <w:p w14:paraId="3E25638F" w14:textId="77777777" w:rsidR="00C34FD2" w:rsidRDefault="00000000">
      <w:pPr>
        <w:numPr>
          <w:ilvl w:val="0"/>
          <w:numId w:val="8"/>
        </w:numPr>
      </w:pPr>
      <w:r>
        <w:t>O Physicians’ Health Study testou a mesma intervenção em uma população diferente (médicos americanos majoritariamente saudáveis e não fumantes) e encontrou efeito nulo. Como conciliar resultados nulos no PHS com resultados de dano no ATBC e no CARET? Que esse padrão revela sobre a generalização de achados de ensaios entre populações?</w:t>
      </w:r>
    </w:p>
    <w:p w14:paraId="3B6949F4" w14:textId="77777777" w:rsidR="00C34FD2" w:rsidRDefault="00000000">
      <w:pPr>
        <w:numPr>
          <w:ilvl w:val="0"/>
          <w:numId w:val="8"/>
        </w:numPr>
      </w:pPr>
      <w:r>
        <w:t>Multivitamínicos com betacaroteno em doses acima de 5 mg/dia continuam sendo comercializados em muitos países, frequentemente com alegações de prevenção genérica. Discuta a posição ética do médico clínico ao orientar pacientes — especialmente fumantes — que pedem orientação sobre essa suplementação. O que considerar; como expressar.</w:t>
      </w:r>
    </w:p>
    <w:p w14:paraId="513F18C0" w14:textId="77777777" w:rsidR="00274C70" w:rsidRDefault="00274C70">
      <w:pPr>
        <w:rPr>
          <w:rFonts w:asciiTheme="majorHAnsi" w:eastAsiaTheme="majorEastAsia" w:hAnsiTheme="majorHAnsi" w:cstheme="majorBidi"/>
          <w:color w:val="0F4761" w:themeColor="accent1" w:themeShade="BF"/>
          <w:sz w:val="40"/>
          <w:szCs w:val="40"/>
        </w:rPr>
      </w:pPr>
      <w:bookmarkStart w:id="151" w:name="X8d5fccf6f11486194f63a45cdf826ad525bae22"/>
      <w:bookmarkStart w:id="152" w:name="_Toc229219607"/>
      <w:bookmarkEnd w:id="139"/>
      <w:bookmarkEnd w:id="149"/>
      <w:r>
        <w:br w:type="page"/>
      </w:r>
    </w:p>
    <w:p w14:paraId="5146E9C9" w14:textId="579D8689" w:rsidR="00C34FD2" w:rsidRDefault="00000000">
      <w:pPr>
        <w:pStyle w:val="Ttulo1"/>
      </w:pPr>
      <w:r>
        <w:lastRenderedPageBreak/>
        <w:t>10. Vitamina D — quando o marcador é confundido com causa</w:t>
      </w:r>
      <w:bookmarkEnd w:id="152"/>
    </w:p>
    <w:p w14:paraId="28839D30" w14:textId="77777777" w:rsidR="00C34FD2" w:rsidRDefault="00000000">
      <w:pPr>
        <w:pStyle w:val="Ttulo2"/>
      </w:pPr>
      <w:bookmarkStart w:id="153" w:name="contexto-clínico-3"/>
      <w:bookmarkStart w:id="154" w:name="_Toc229219608"/>
      <w:r>
        <w:t>10.1 Contexto clínico</w:t>
      </w:r>
      <w:bookmarkEnd w:id="154"/>
    </w:p>
    <w:p w14:paraId="5C31F3C2" w14:textId="77777777" w:rsidR="00C34FD2" w:rsidRDefault="00000000">
      <w:pPr>
        <w:pStyle w:val="FirstParagraph"/>
      </w:pPr>
      <w:r>
        <w:t>A vitamina D é um secosteroide com receptores presentes em uma ampla variedade de tecidos — não apenas osso e rim, onde sua ação clássica regula homeostase do cálcio, mas também células imunes, vasculares, musculares, epiteliais. A diversidade do receptor sugeria, à primeira leitura biológica, papel sistêmico que a fisiologia clássica não capturava. Soma-se a essa diversidade um fato epidemiológico chamativo: concentrações séricas de 25-hidroxivitamina D, 25(OH)D, são em geral baixas em populações urbanas modernas, com prevalência de “deficiência” ou “insuficiência” estimada em proporção significativa de adultos saudáveis em diferentes meta-análises.</w:t>
      </w:r>
    </w:p>
    <w:p w14:paraId="03613199" w14:textId="77777777" w:rsidR="00C34FD2" w:rsidRDefault="00000000">
      <w:pPr>
        <w:pStyle w:val="Corpodetexto"/>
      </w:pPr>
      <w:r>
        <w:t>A combinação dos dois fatos — receptor onipresente, deficiência prevalente — produziu, na primeira década dos anos 2000, uma das maiores expansões de testagem laboratorial e de prescrição preventiva da medicina recente. Dosagem rotineira de 25(OH)D entrou em prática em ambulatórios de adultos saudáveis; suplementação em doses entre 800 e 5.000 UI por dia tornou-se prescrição comum, com indicação que ia além das condições com base óssea estabelecida (osteomalácia, osteoporose, raquitismo) para incluir prevenção genérica.</w:t>
      </w:r>
    </w:p>
    <w:p w14:paraId="42B85F13" w14:textId="77777777" w:rsidR="00C34FD2" w:rsidRDefault="00000000">
      <w:pPr>
        <w:pStyle w:val="Corpodetexto"/>
      </w:pPr>
      <w:r>
        <w:t>A pergunta clínica organizadora foi: a deficiência de vitamina D é causa de doença sistêmica, e portanto sua correção previne doença? A resposta exigiu mais de uma década de investigação em múltiplas frentes.</w:t>
      </w:r>
    </w:p>
    <w:p w14:paraId="362420FD" w14:textId="77777777" w:rsidR="00C34FD2" w:rsidRDefault="00000000">
      <w:pPr>
        <w:pStyle w:val="Ttulo2"/>
      </w:pPr>
      <w:bookmarkStart w:id="155" w:name="a-evidência-observacional-3"/>
      <w:bookmarkStart w:id="156" w:name="_Toc229219609"/>
      <w:bookmarkEnd w:id="153"/>
      <w:r>
        <w:t>10.2 A evidência observacional</w:t>
      </w:r>
      <w:bookmarkEnd w:id="156"/>
    </w:p>
    <w:p w14:paraId="23124F85" w14:textId="77777777" w:rsidR="00C34FD2" w:rsidRDefault="00000000">
      <w:pPr>
        <w:pStyle w:val="FirstParagraph"/>
      </w:pPr>
      <w:r>
        <w:t>A literatura observacional sobre 25(OH)D é vasta e remarcavelmente consistente em direção. Coortes prospectivas de variadas geografias e desenhos mostraram, repetidamente, que indivíduos com 25(OH)D baixo apresentavam, em seguimento, maior incidência de doença cardiovascular, câncer (com sinal mais consistente para colorretal), diabetes tipo 2, esclerose múltipla, doenças autoimunes, infecções respiratórias, declínio cognitivo, e mortalidade por todas as causas.</w:t>
      </w:r>
    </w:p>
    <w:p w14:paraId="10817158" w14:textId="77777777" w:rsidR="00C34FD2" w:rsidRDefault="00000000">
      <w:pPr>
        <w:pStyle w:val="Corpodetexto"/>
      </w:pPr>
      <w:r>
        <w:t xml:space="preserve">A revisão sistemática de Autier e colaboradores (39), publicada na </w:t>
      </w:r>
      <w:r>
        <w:rPr>
          <w:i/>
          <w:iCs/>
        </w:rPr>
        <w:t>Lancet Diabetes &amp; Endocrinology</w:t>
      </w:r>
      <w:r>
        <w:t xml:space="preserve"> em 2014, agrega 290 estudos prospectivos sobre 25(OH)D e desfechos não esqueléticos. A consistência das associações observacionais era impressionante: praticamente todas as condições estudadas mostravam relação inversa entre 25(OH)D e risco. A meta-análise umbrella de Theodoratou e colaboradores (40), publicada na </w:t>
      </w:r>
      <w:r>
        <w:rPr>
          <w:i/>
          <w:iCs/>
        </w:rPr>
        <w:t>BMJ</w:t>
      </w:r>
      <w:r>
        <w:t xml:space="preserve"> no mesmo ano, identifica 137 desfechos diferentes investigados em meta-análises observacionais — um catálogo que revela a amplitude da literatura mas também sugere que algo na configuração do problema produzia associações em qualquer condição investigada.</w:t>
      </w:r>
    </w:p>
    <w:p w14:paraId="50E5F025" w14:textId="77777777" w:rsidR="00C34FD2" w:rsidRDefault="00000000">
      <w:pPr>
        <w:pStyle w:val="Corpodetexto"/>
      </w:pPr>
      <w:r>
        <w:lastRenderedPageBreak/>
        <w:t>A força do sinal observacional combinava com a plausibilidade biológica de modo que a inferência causal — vitamina D baixa causa doenças variadas; suplementação preveniria todas elas — pareceu, durante anos, hipótese sustentável. As recomendações clínicas de testagem e suplementação acompanharam essa interpretação em muitas sociedades médicas.</w:t>
      </w:r>
    </w:p>
    <w:p w14:paraId="203A979B" w14:textId="77777777" w:rsidR="00C34FD2" w:rsidRDefault="00000000">
      <w:pPr>
        <w:pStyle w:val="Ttulo2"/>
      </w:pPr>
      <w:bookmarkStart w:id="157" w:name="os-ensaios-randomizados-3"/>
      <w:bookmarkStart w:id="158" w:name="_Toc229219610"/>
      <w:bookmarkEnd w:id="155"/>
      <w:r>
        <w:t>10.3 Os ensaios randomizados</w:t>
      </w:r>
      <w:bookmarkEnd w:id="158"/>
    </w:p>
    <w:p w14:paraId="02D6D8D3" w14:textId="77777777" w:rsidR="00C34FD2" w:rsidRDefault="00000000">
      <w:pPr>
        <w:pStyle w:val="FirstParagraph"/>
      </w:pPr>
      <w:r>
        <w:t>A literatura experimental seguiu trajetória diferente. Pequenos ensaios randomizados ao longo dos anos 2000 mostraram resultados inconsistentes ou negativos em desfechos individuais. A meta-análise umbrella de Theodoratou (40) confronta sistematicamente meta-análises observacionais e meta-análises de ensaios randomizados para os 137 desfechos: a direção do efeito e a significância estatística concordavam entre os dois corpos de evidência apenas para peso ao nascer (em filhos de gestantes suplementadas). Para todos os demais — incluindo desfechos cardiovasculares, oncológicos, ósseos em adultos, e mortalidade — a evidência experimental não confirmava o sinal observacional.</w:t>
      </w:r>
    </w:p>
    <w:p w14:paraId="0748BD05" w14:textId="77777777" w:rsidR="00C34FD2" w:rsidRDefault="00000000">
      <w:pPr>
        <w:pStyle w:val="Corpodetexto"/>
      </w:pPr>
      <w:r>
        <w:t>O ensaio decisivo veio em 2018, com o VITAL (41). Manson e colaboradores randomizaram 25.871 participantes adultos, distribuídos em desenho fatorial 2x2, para receber vitamina D₃ 2.000 UI por dia ou placebo, e em paralelo ômega-3 marinho 1 g por dia ou placebo. Os desfechos primários eram câncer invasivo de qualquer tipo e eventos cardiovasculares maiores (composto de infarto, acidente vascular ou morte cardiovascular). Após seguimento mediano de 5,3 anos, vitamina D não reduziu o risco de nenhum dos desfechos primários: razão de risco para câncer de 0,96 (IC 95%: 0,88–1,06); razão de risco para evento cardiovascular maior de 0,97 (IC 95%: 0,85–1,12). Análises de desfechos secundários por sítio de câncer e tipo de evento cardiovascular foram igualmente nulas. Mortalidade total: razão de risco 0,99 (IC 95%: 0,87–1,12).</w:t>
      </w:r>
    </w:p>
    <w:p w14:paraId="0C881C4C" w14:textId="77777777" w:rsidR="00C34FD2" w:rsidRDefault="00000000">
      <w:pPr>
        <w:pStyle w:val="Corpodetexto"/>
      </w:pPr>
      <w:r>
        <w:t xml:space="preserve">Em paralelo, estudos de </w:t>
      </w:r>
      <w:r>
        <w:rPr>
          <w:b/>
          <w:bCs/>
        </w:rPr>
        <w:t>randomização mendeliana</w:t>
      </w:r>
      <w:r>
        <w:t xml:space="preserve"> — método que usa variantes genéticas associadas a níveis de 25(OH)D como instrumentos para inferir causalidade — falharam em demonstrar que a redução genética da concentração de 25(OH)D produz aumento correspondente de risco cardiovascular ou de outras condições. Zittermann e Pilz (42) sintetizam essa convergência: meta-análises de ensaios randomizados, mesmo em subgrupos com 25(OH)D baixo na linha de base, e estudos de randomização mendeliana, ambos apontam para ausência de efeito causal da suplementação ou da redução genética de 25(OH)D sobre desfechos cardiovasculares.</w:t>
      </w:r>
    </w:p>
    <w:p w14:paraId="5CB251E9" w14:textId="77777777" w:rsidR="00C34FD2" w:rsidRDefault="00000000">
      <w:pPr>
        <w:pStyle w:val="Corpodetexto"/>
      </w:pPr>
      <w:r>
        <w:t xml:space="preserve">A triangulação produzia, então, três fontes de evidência apontando para uma mesma direção (efeito nulo no nível populacional) por mecanismos de viés diferentes — ensaios randomizados controlam confundimento por desenho, randomização mendeliana usa variantes genéticas como instrumentos não confundidos por estilo </w:t>
      </w:r>
      <w:r>
        <w:lastRenderedPageBreak/>
        <w:t>de vida. A robustez da convergência permitiu que a interpretação causal das observacionais fosse formalmente revisada.</w:t>
      </w:r>
    </w:p>
    <w:p w14:paraId="3FFD3F13" w14:textId="77777777" w:rsidR="00C34FD2" w:rsidRDefault="00000000">
      <w:pPr>
        <w:pStyle w:val="Ttulo2"/>
      </w:pPr>
      <w:bookmarkStart w:id="159" w:name="a-leitura-mais-cuidadosa-que-se-seguiu-1"/>
      <w:bookmarkStart w:id="160" w:name="_Toc229219611"/>
      <w:bookmarkEnd w:id="157"/>
      <w:r>
        <w:t>10.4 A leitura mais cuidadosa que se seguiu</w:t>
      </w:r>
      <w:bookmarkEnd w:id="160"/>
    </w:p>
    <w:p w14:paraId="71699045" w14:textId="77777777" w:rsidR="00C34FD2" w:rsidRDefault="00000000">
      <w:pPr>
        <w:pStyle w:val="FirstParagraph"/>
      </w:pPr>
      <w:r>
        <w:t xml:space="preserve">A reformulação interpretativa de Autier e colaboradores (39) é hoje a leitura predominante: </w:t>
      </w:r>
      <w:r>
        <w:rPr>
          <w:b/>
          <w:bCs/>
        </w:rPr>
        <w:t>25(OH)D baixo é, em larga medida, marcador de doença e de hábitos não saudáveis, e não causa primária dela</w:t>
      </w:r>
      <w:r>
        <w:t>. Vários mecanismos de causalidade reversa ou de confundimento operam simultaneamente.</w:t>
      </w:r>
    </w:p>
    <w:p w14:paraId="79D09522" w14:textId="77777777" w:rsidR="00C34FD2" w:rsidRDefault="00000000">
      <w:pPr>
        <w:pStyle w:val="Corpodetexto"/>
      </w:pPr>
      <w:r>
        <w:t xml:space="preserve">Primeiro, </w:t>
      </w:r>
      <w:r>
        <w:rPr>
          <w:b/>
          <w:bCs/>
        </w:rPr>
        <w:t>inflamação sistêmica reduz 25(OH)D circulante</w:t>
      </w:r>
      <w:r>
        <w:t>. Citocinas pró-inflamatórias diminuem a 25-hidroxilase hepática e aumentam o catabolismo da vitamina D. Doenças com componente inflamatório crônico — câncer, doença cardiovascular, doença hepática, doença renal, infecções crônicas — produzem, por essa via, redução da 25(OH)D na fase pré-clínica e clínica. A direção da causalidade é da doença para o nível, não o oposto.</w:t>
      </w:r>
    </w:p>
    <w:p w14:paraId="51F6331C" w14:textId="77777777" w:rsidR="00C34FD2" w:rsidRDefault="00000000">
      <w:pPr>
        <w:pStyle w:val="Corpodetexto"/>
      </w:pPr>
      <w:r>
        <w:t xml:space="preserve">Segundo, </w:t>
      </w:r>
      <w:r>
        <w:rPr>
          <w:b/>
          <w:bCs/>
        </w:rPr>
        <w:t>estilo de vida sedentário e obesidade</w:t>
      </w:r>
      <w:r>
        <w:t xml:space="preserve"> correlacionam-se com 25(OH)D baixo. Obesos têm vitamina D sequestrada no tecido adiposo, com 25(OH)D circulante mais baixa para a mesma ingestão. Sedentários têm menos exposição solar (passam menos tempo ao ar livre, frequentemente). Ambos são fortes determinantes independentes de doença cardiovascular, cancer e mortalidade, e o ajuste estatístico para cada um deles, sem ajuste para o outro ou para terceiros não medidos, deixa confundimento residual relevante.</w:t>
      </w:r>
    </w:p>
    <w:p w14:paraId="6D139974" w14:textId="77777777" w:rsidR="00C34FD2" w:rsidRDefault="00000000">
      <w:pPr>
        <w:pStyle w:val="Corpodetexto"/>
      </w:pPr>
      <w:r>
        <w:t xml:space="preserve">Terceiro, </w:t>
      </w:r>
      <w:r>
        <w:rPr>
          <w:b/>
          <w:bCs/>
        </w:rPr>
        <w:t>doenças com restrição de mobilidade reduzem exposição solar</w:t>
      </w:r>
      <w:r>
        <w:t>. Indivíduos em fase pré-clínica de doença grave passam mais tempo em casa, têm 25(OH)D menor por essa via, e em seguimento desenvolvem o desfecho — não pela vitamina D, mas pela doença que já estava em curso quando a 25(OH)D foi medida.</w:t>
      </w:r>
    </w:p>
    <w:p w14:paraId="23F2E0A4" w14:textId="77777777" w:rsidR="00C34FD2" w:rsidRDefault="00000000">
      <w:pPr>
        <w:pStyle w:val="Corpodetexto"/>
      </w:pPr>
      <w:r>
        <w:t xml:space="preserve">A síntese contemporânea separa, com clareza, dois cenários clínicos. </w:t>
      </w:r>
      <w:r>
        <w:rPr>
          <w:b/>
          <w:bCs/>
        </w:rPr>
        <w:t>Deficiência verdadeira em populações específicas</w:t>
      </w:r>
      <w:r>
        <w:t xml:space="preserve"> — pacientes com osteomalácia, malabsorção, uso crônico de corticoide, doença óssea metabólica, recém-nascidos amamentados sem exposição solar — exige tratamento, e a suplementação tem indicação clínica direta. </w:t>
      </w:r>
      <w:r>
        <w:rPr>
          <w:b/>
          <w:bCs/>
        </w:rPr>
        <w:t>Suplementação populacional para prevenção primária de doença sistêmica</w:t>
      </w:r>
      <w:r>
        <w:t xml:space="preserve"> em adultos saudáveis com 25(OH)D moderadamente baixa carece de suporte experimental, e o VITAL é o maior teste disponível dessa hipótese específica.</w:t>
      </w:r>
    </w:p>
    <w:p w14:paraId="37A0C3D4" w14:textId="77777777" w:rsidR="00C34FD2" w:rsidRDefault="00000000">
      <w:pPr>
        <w:pStyle w:val="Ttulo2"/>
      </w:pPr>
      <w:bookmarkStart w:id="161" w:name="lição-metodológica-3"/>
      <w:bookmarkStart w:id="162" w:name="_Toc229219612"/>
      <w:bookmarkEnd w:id="159"/>
      <w:r>
        <w:t>10.5 Lição metodológica</w:t>
      </w:r>
      <w:bookmarkEnd w:id="162"/>
    </w:p>
    <w:p w14:paraId="2D856419" w14:textId="77777777" w:rsidR="00C34FD2" w:rsidRDefault="00000000">
      <w:pPr>
        <w:pStyle w:val="FirstParagraph"/>
      </w:pPr>
      <w:r>
        <w:t xml:space="preserve">A história da vitamina D é, talvez, o exemplo contemporâneo mais didático do problema da </w:t>
      </w:r>
      <w:r>
        <w:rPr>
          <w:b/>
          <w:bCs/>
        </w:rPr>
        <w:t>causalidade reversa</w:t>
      </w:r>
      <w:r>
        <w:t xml:space="preserve">. A magnitude e consistência das associações observacionais não decorreram primariamente de viés do usuário saudável (como na terapia de reposição hormonal) ou de extrapolação alimentar inválida (como no betacaroteno). A explicação principal é mais sutil: o marcador biológico medido nos </w:t>
      </w:r>
      <w:r>
        <w:lastRenderedPageBreak/>
        <w:t>estudos era ele mesmo afetado pela doença em curso, e o ajuste estatístico não conseguia separar essa contribuição da contribuição direta do nível como causa.</w:t>
      </w:r>
    </w:p>
    <w:p w14:paraId="715DE2E1" w14:textId="77777777" w:rsidR="00C34FD2" w:rsidRDefault="00000000">
      <w:pPr>
        <w:pStyle w:val="Corpodetexto"/>
      </w:pPr>
      <w:r>
        <w:t xml:space="preserve">A randomização mendeliana, ao usar variantes genéticas como instrumento, transforma o problema. Variantes genéticas determinantes de 25(OH)D baseline (variantes em CYP2R1, GC, DHCR7) são fixadas ao nascer, antes de qualquer doença em curso, e portanto não podem ser causadas pela doença que se quer estudar. Quando essas variantes não predizem desfechos, a inferência de causalidade reversa para os achados observacionais ganha sustentação independente. A convergência entre RCT e MR é um exemplo canônico de </w:t>
      </w:r>
      <w:r>
        <w:rPr>
          <w:b/>
          <w:bCs/>
        </w:rPr>
        <w:t>triangulação</w:t>
      </w:r>
      <w:r>
        <w:t xml:space="preserve"> no sentido formalizado por Savitz, Pearce e Rothman (2) — duas fontes de evidência com vieses estruturalmente distintos apontando para a mesma conclusão.</w:t>
      </w:r>
    </w:p>
    <w:p w14:paraId="39D5BCBD" w14:textId="77777777" w:rsidR="00C34FD2" w:rsidRDefault="00000000">
      <w:pPr>
        <w:pStyle w:val="Corpodetexto"/>
      </w:pPr>
      <w:r>
        <w:t xml:space="preserve">A segunda lição é a importância de </w:t>
      </w:r>
      <w:r>
        <w:rPr>
          <w:b/>
          <w:bCs/>
        </w:rPr>
        <w:t>separar nível populacional do nível individual</w:t>
      </w:r>
      <w:r>
        <w:t xml:space="preserve"> no manejo clínico. Que a suplementação populacional para prevenção primária seja sem benefício demonstrado não significa que a deficiência clínica em pacientes com indicação específica deva ser ignorada. A pergunta epidemiológica — vitamina D causa doença na população? — é diferente da pergunta clínica — este paciente, com este perfil, beneficia-se desta intervenção? A confusão entre essas perguntas, em direções opostas, contribuiu tanto para a expansão indevida da prescrição preventiva nos anos 2000 quanto para o eventual ceticismo clínico mais tarde, com o risco simétrico de subtratar deficiência verdadeira.</w:t>
      </w:r>
    </w:p>
    <w:p w14:paraId="57B660D2" w14:textId="77777777" w:rsidR="00C34FD2" w:rsidRDefault="00000000">
      <w:pPr>
        <w:pStyle w:val="Corpodetexto"/>
      </w:pPr>
      <w:r>
        <w:t>Os investigadores que produziram a literatura observacional sobre vitamina D realizaram trabalho cuidadoso. A inferência que emergiu da agregação dessa literatura — que a deficiência de vitamina D é causa generalizada de doença — apenas se mostrou frágil quando confrontada com tipos diferentes de evidência. A correção interpretativa que se seguiu é exemplar do funcionamento da epidemiologia metodológica contemporânea: nenhuma das partes errou no que fazia; a combinação de fontes independentes revelou a estrutura da relação.</w:t>
      </w:r>
    </w:p>
    <w:p w14:paraId="0AAD410B" w14:textId="77777777" w:rsidR="00C34FD2" w:rsidRDefault="00000000">
      <w:pPr>
        <w:pStyle w:val="Ttulo2"/>
      </w:pPr>
      <w:bookmarkStart w:id="163" w:name="para-discussão-em-sala-3"/>
      <w:bookmarkStart w:id="164" w:name="_Toc229219613"/>
      <w:bookmarkEnd w:id="161"/>
      <w:r>
        <w:t>10.6 Para discussão em sala</w:t>
      </w:r>
      <w:bookmarkEnd w:id="164"/>
    </w:p>
    <w:p w14:paraId="33A4F3ED" w14:textId="77777777" w:rsidR="00C34FD2" w:rsidRDefault="00000000">
      <w:pPr>
        <w:numPr>
          <w:ilvl w:val="0"/>
          <w:numId w:val="9"/>
        </w:numPr>
      </w:pPr>
      <w:r>
        <w:t xml:space="preserve">As associações observacionais entre 25(OH)D baixo e múltiplas doenças foram replicadas em centenas de estudos. O VITAL e estudos de randomização mendeliana não confirmam efeito causal da suplementação. Discuta como decidir, na prática clínica, entre as duas leituras possíveis: “a observação está errada” </w:t>
      </w:r>
      <w:r>
        <w:rPr>
          <w:i/>
          <w:iCs/>
        </w:rPr>
        <w:t>vs</w:t>
      </w:r>
      <w:r>
        <w:t xml:space="preserve"> “a observação está certa, mas não é a vitamina D que está causando o efeito”.</w:t>
      </w:r>
    </w:p>
    <w:p w14:paraId="5A2E9606" w14:textId="77777777" w:rsidR="00C34FD2" w:rsidRDefault="00000000">
      <w:pPr>
        <w:numPr>
          <w:ilvl w:val="0"/>
          <w:numId w:val="9"/>
        </w:numPr>
      </w:pPr>
      <w:r>
        <w:t>Em um adulto saudável de 50 anos, com 25(OH)D de 22 ng/mL (considerada “insuficiente” por algumas diretrizes), o que fazer? Discuta a posição clínica baseada em (a) evidência atual de eficácia da suplementação para prevenção, (b) evidência de segurança da suplementação em doses moderadas, (c) custos e implicações para o sistema de saúde.</w:t>
      </w:r>
    </w:p>
    <w:p w14:paraId="483E5698" w14:textId="77777777" w:rsidR="00C34FD2" w:rsidRDefault="00000000">
      <w:pPr>
        <w:numPr>
          <w:ilvl w:val="0"/>
          <w:numId w:val="9"/>
        </w:numPr>
      </w:pPr>
      <w:r>
        <w:lastRenderedPageBreak/>
        <w:t>Mesmo com VITAL e randomização mendeliana negativos, persiste discussão sobre se subgrupos específicos podem se beneficiar — gestantes, populações com obesidade, pessoas com pele mais pigmentada em latitudes altas, idosos institucionalizados. Como avaliar criticamente os ensaios subsequentes que testam essas hipóteses específicas? Que critérios para acreditar em achado positivo em subgrupo após resultado negativo no estudo principal?</w:t>
      </w:r>
    </w:p>
    <w:p w14:paraId="6DD07104" w14:textId="77777777" w:rsidR="00274C70" w:rsidRDefault="00274C70">
      <w:pPr>
        <w:rPr>
          <w:rFonts w:asciiTheme="majorHAnsi" w:eastAsiaTheme="majorEastAsia" w:hAnsiTheme="majorHAnsi" w:cstheme="majorBidi"/>
          <w:color w:val="0F4761" w:themeColor="accent1" w:themeShade="BF"/>
          <w:sz w:val="40"/>
          <w:szCs w:val="40"/>
        </w:rPr>
      </w:pPr>
      <w:bookmarkStart w:id="165" w:name="ômega-3-um-caso-ainda-em-evolução"/>
      <w:bookmarkStart w:id="166" w:name="_Toc229219614"/>
      <w:bookmarkEnd w:id="151"/>
      <w:bookmarkEnd w:id="163"/>
      <w:r>
        <w:br w:type="page"/>
      </w:r>
    </w:p>
    <w:p w14:paraId="1A8CED12" w14:textId="7CA55590" w:rsidR="00C34FD2" w:rsidRDefault="00000000">
      <w:pPr>
        <w:pStyle w:val="Ttulo1"/>
      </w:pPr>
      <w:r>
        <w:lastRenderedPageBreak/>
        <w:t>11. Ômega-3 — um caso ainda em evolução</w:t>
      </w:r>
      <w:bookmarkEnd w:id="166"/>
    </w:p>
    <w:p w14:paraId="2B6F9BF0" w14:textId="77777777" w:rsidR="00C34FD2" w:rsidRDefault="00000000">
      <w:pPr>
        <w:pStyle w:val="Ttulo2"/>
      </w:pPr>
      <w:bookmarkStart w:id="167" w:name="contexto-clínico-4"/>
      <w:bookmarkStart w:id="168" w:name="_Toc229219615"/>
      <w:r>
        <w:t>11.1 Contexto clínico</w:t>
      </w:r>
      <w:bookmarkEnd w:id="168"/>
    </w:p>
    <w:p w14:paraId="73BE1C34" w14:textId="77777777" w:rsidR="00C34FD2" w:rsidRDefault="00000000">
      <w:pPr>
        <w:pStyle w:val="FirstParagraph"/>
      </w:pPr>
      <w:r>
        <w:t>Os ácidos graxos poli-insaturados de cadeia longa da família ômega-3, dos quais os principais com relevância cardiovascular são o ácido eicosapentaenoico (EPA) e o ácido docosa-hexaenoico (DHA), entraram na agenda de prevenção cardiovascular a partir de observações epidemiológicas das décadas de 1970 e 1980. Populações com alto consumo dietético de peixe — esquimós da Groenlândia, populações japonesas costeiras, residentes do Mediterrâneo — apresentavam menor incidência de doença coronariana do que populações com dietas pobres em peixe e ricas em gorduras saturadas. A associação se replicou em várias coortes prospectivas em diferentes geografias.</w:t>
      </w:r>
    </w:p>
    <w:p w14:paraId="5F4CE4CF" w14:textId="77777777" w:rsidR="00C34FD2" w:rsidRDefault="00000000">
      <w:pPr>
        <w:pStyle w:val="Corpodetexto"/>
      </w:pPr>
      <w:r>
        <w:t>A justificativa biológica era ampla. Ômega-3 reduz triglicerídeos séricos, modula a composição lipídica de membranas celulares (incluindo as do miocárdio), influencia a produção de eicosanoides com propriedades anti-inflamatórias e antiagregantes, estabiliza eletricamente o miocárdio em modelos experimentais, e afeta a frequência cardíaca em repouso. Diferentemente da maior parte dos casos discutidos neste site, ômega-3 produz alterações fisiológicas mensuráveis em curto prazo, e a translação para benefício clínico parecia ter base mecanística mais sólida do que mera plausibilidade abstrata.</w:t>
      </w:r>
    </w:p>
    <w:p w14:paraId="23F2C506" w14:textId="77777777" w:rsidR="00C34FD2" w:rsidRDefault="00000000">
      <w:pPr>
        <w:pStyle w:val="Corpodetexto"/>
      </w:pPr>
      <w:r>
        <w:t>A primeira indicação randomizada veio do GISSI-Prevenzione (31), em 1999: 11.324 pacientes recém-egressos de infarto, randomizados em desenho fatorial para ômega-3, vitamina E, ambos ou nenhum, mostraram redução do desfecho composto primário (morte, infarto não fatal, acidente vascular) na ordem de 10–15% no braço ômega-3, com benefício atribuível a redução de morte cardiovascular. O ensaio é da era pré-estatina universal — o uso de hipolipemiantes era heterogêneo na coorte —, e a generalização para populações modernas em terapia padrão ficou em aberto.</w:t>
      </w:r>
    </w:p>
    <w:p w14:paraId="337D3944" w14:textId="77777777" w:rsidR="00C34FD2" w:rsidRDefault="00000000">
      <w:pPr>
        <w:pStyle w:val="Ttulo2"/>
      </w:pPr>
      <w:bookmarkStart w:id="169" w:name="X934c0fb9e702600e7d61c48e023e96f779bb5d4"/>
      <w:bookmarkStart w:id="170" w:name="_Toc229219616"/>
      <w:bookmarkEnd w:id="167"/>
      <w:r>
        <w:t>11.2 A fase contemporânea: ensaios discordantes</w:t>
      </w:r>
      <w:bookmarkEnd w:id="170"/>
    </w:p>
    <w:p w14:paraId="660AC77C" w14:textId="77777777" w:rsidR="00C34FD2" w:rsidRDefault="00000000">
      <w:pPr>
        <w:pStyle w:val="FirstParagraph"/>
      </w:pPr>
      <w:r>
        <w:t>A primeira década dos anos 2000 produziu ensaios menores cujos resultados foram inconsistentes. A controvérsia se cristalizou em quatro grandes ensaios entre 2018 e 2020, que se contradizem em padrão informativo.</w:t>
      </w:r>
    </w:p>
    <w:p w14:paraId="4693BB76" w14:textId="77777777" w:rsidR="00C34FD2" w:rsidRDefault="00000000">
      <w:pPr>
        <w:pStyle w:val="Corpodetexto"/>
      </w:pPr>
      <w:r>
        <w:t xml:space="preserve">O </w:t>
      </w:r>
      <w:r>
        <w:rPr>
          <w:b/>
          <w:bCs/>
        </w:rPr>
        <w:t>ASCEND</w:t>
      </w:r>
      <w:r>
        <w:t xml:space="preserve"> (43), publicado em 2018, randomizou 15.480 pacientes diabéticos sem doença cardiovascular estabelecida para receber ômega-3 1 g por dia ou placebo (óleo de oliva). Após 7,4 anos de seguimento, o desfecho vascular sério primário ocorreu em 8,9% no grupo ômega-3 e 9,2% no placebo (RR 0,97; IC 95%: 0,87–1,08). Resultado neutro em prevenção primária em diabéticos.</w:t>
      </w:r>
    </w:p>
    <w:p w14:paraId="2C8B686C" w14:textId="77777777" w:rsidR="00C34FD2" w:rsidRDefault="00000000">
      <w:pPr>
        <w:pStyle w:val="Corpodetexto"/>
      </w:pPr>
      <w:r>
        <w:t xml:space="preserve">O </w:t>
      </w:r>
      <w:r>
        <w:rPr>
          <w:b/>
          <w:bCs/>
        </w:rPr>
        <w:t>VITAL ômega-3</w:t>
      </w:r>
      <w:r>
        <w:t xml:space="preserve"> (44), publicado em 2018 (mesmo grupo do braço de vitamina D), randomizou 25.871 adultos americanos saudáveis para receber 1 g de ômega-3 por dia ou placebo. Em seguimento mediano de 5,3 anos, o desfecho primário composto </w:t>
      </w:r>
      <w:r>
        <w:lastRenderedPageBreak/>
        <w:t xml:space="preserve">cardiovascular ocorreu em 386 do grupo ômega-3 e 419 do placebo (RR 0,92; IC 95%: 0,80–1,06; </w:t>
      </w:r>
      <w:r>
        <w:rPr>
          <w:i/>
          <w:iCs/>
        </w:rPr>
        <w:t>p</w:t>
      </w:r>
      <w:r>
        <w:t xml:space="preserve"> = 0,24). Câncer invasivo: 820 </w:t>
      </w:r>
      <w:r>
        <w:rPr>
          <w:i/>
          <w:iCs/>
        </w:rPr>
        <w:t>vs</w:t>
      </w:r>
      <w:r>
        <w:t xml:space="preserve"> 797 (RR 1,03; IC 95%: 0,93–1,13). Resultado neutro em prevenção primária em adultos saudáveis. Análise de desfechos secundários sugeriu redução de infarto total (RR 0,72; IC 95%: 0,59–0,90), achado a ser confirmado em estudos posteriores.</w:t>
      </w:r>
    </w:p>
    <w:p w14:paraId="7B31C6CE" w14:textId="77777777" w:rsidR="00C34FD2" w:rsidRDefault="00000000">
      <w:pPr>
        <w:pStyle w:val="Corpodetexto"/>
      </w:pPr>
      <w:r>
        <w:t xml:space="preserve">O </w:t>
      </w:r>
      <w:r>
        <w:rPr>
          <w:b/>
          <w:bCs/>
        </w:rPr>
        <w:t>REDUCE-IT</w:t>
      </w:r>
      <w:r>
        <w:t xml:space="preserve"> (45), publicado simultaneamente, randomizou 8.179 pacientes com doença cardiovascular estabelecida ou diabetes com fatores de risco adicionais, em uso de estatina e com triglicerídeos entre 135 e 499 mg/dL, para receber </w:t>
      </w:r>
      <w:r>
        <w:rPr>
          <w:b/>
          <w:bCs/>
        </w:rPr>
        <w:t>icosapent etil 4 g/dia</w:t>
      </w:r>
      <w:r>
        <w:t xml:space="preserve"> (forma purificada de EPA, sem DHA) ou placebo (óleo mineral). Em 4,9 anos médios, o desfecho primário ocorreu em 17,2% no grupo tratado </w:t>
      </w:r>
      <w:r>
        <w:rPr>
          <w:i/>
          <w:iCs/>
        </w:rPr>
        <w:t>vs</w:t>
      </w:r>
      <w:r>
        <w:t xml:space="preserve"> 22,0% no placebo (RR 0,75; IC 95%: 0,68–0,83; </w:t>
      </w:r>
      <w:r>
        <w:rPr>
          <w:i/>
          <w:iCs/>
        </w:rPr>
        <w:t>p</w:t>
      </w:r>
      <w:r>
        <w:t xml:space="preserve"> &lt; 0,001) — redução clinicamente substancial em população de alto risco. Resultado positivo, com magnitude que destoava dos demais ensaios.</w:t>
      </w:r>
    </w:p>
    <w:p w14:paraId="3FA4C94B" w14:textId="77777777" w:rsidR="00C34FD2" w:rsidRDefault="00000000">
      <w:pPr>
        <w:pStyle w:val="Corpodetexto"/>
      </w:pPr>
      <w:r>
        <w:t xml:space="preserve">O </w:t>
      </w:r>
      <w:r>
        <w:rPr>
          <w:b/>
          <w:bCs/>
        </w:rPr>
        <w:t>STRENGTH</w:t>
      </w:r>
      <w:r>
        <w:t xml:space="preserve"> (46), publicado em 2020, foi desenhado para testar uma formulação distinta — </w:t>
      </w:r>
      <w:r>
        <w:rPr>
          <w:b/>
          <w:bCs/>
        </w:rPr>
        <w:t>ácido carboxílico de ômega-3</w:t>
      </w:r>
      <w:r>
        <w:t xml:space="preserve"> (EPA + DHA) na mesma dose de 4 g/dia — em população clinicamente similar à do REDUCE-IT (alto risco cardiovascular, triglicerídeos elevados, em uso de estatina). Comparador: óleo de milho. Após 13.078 pacientes randomizados e 1.384 desfechos primários, o ensaio foi interrompido precocemente por análise interina indicando baixa probabilidade de benefício. Resultado: 12,0% no grupo tratado </w:t>
      </w:r>
      <w:r>
        <w:rPr>
          <w:i/>
          <w:iCs/>
        </w:rPr>
        <w:t>vs</w:t>
      </w:r>
      <w:r>
        <w:t xml:space="preserve"> 12,2% no placebo (RR 0,99; IC 95%: 0,90–1,09; </w:t>
      </w:r>
      <w:r>
        <w:rPr>
          <w:i/>
          <w:iCs/>
        </w:rPr>
        <w:t>p</w:t>
      </w:r>
      <w:r>
        <w:t xml:space="preserve"> = 0,84). Neutro.</w:t>
      </w:r>
    </w:p>
    <w:p w14:paraId="2FCB10D9" w14:textId="77777777" w:rsidR="00C34FD2" w:rsidRDefault="00000000">
      <w:pPr>
        <w:pStyle w:val="Corpodetexto"/>
      </w:pPr>
      <w:r>
        <w:t xml:space="preserve">A discrepância entre REDUCE-IT (positivo) e STRENGTH (neutro), em populações análogas, exige explicação. Três hipóteses competem na literatura. A primeira atribui a diferença à </w:t>
      </w:r>
      <w:r>
        <w:rPr>
          <w:b/>
          <w:bCs/>
        </w:rPr>
        <w:t>formulação</w:t>
      </w:r>
      <w:r>
        <w:t xml:space="preserve">: EPA puro em alta dose pode ter efeito biológico que EPA+DHA não reproduz, possivelmente por competição metabólica ou por efeitos diferenciais sobre membranas celulares. A segunda atribui ao </w:t>
      </w:r>
      <w:r>
        <w:rPr>
          <w:b/>
          <w:bCs/>
        </w:rPr>
        <w:t>comparador</w:t>
      </w:r>
      <w:r>
        <w:t>: o óleo mineral usado como placebo no REDUCE-IT pode ter tido efeito desfavorável (aumentou LDL e marcadores inflamatórios em comparação com baseline), inflando artificialmente o efeito relativo do braço ativo. A terceira combina os dois fatores. A literatura, no momento atual, não converge sobre qual hipótese é dominante.</w:t>
      </w:r>
    </w:p>
    <w:p w14:paraId="1C521D11" w14:textId="77777777" w:rsidR="00C34FD2" w:rsidRDefault="00000000">
      <w:pPr>
        <w:pStyle w:val="Ttulo2"/>
      </w:pPr>
      <w:bookmarkStart w:id="171" w:name="o-sinal-de-fibrilação-atrial"/>
      <w:bookmarkStart w:id="172" w:name="_Toc229219617"/>
      <w:bookmarkEnd w:id="169"/>
      <w:r>
        <w:t>11.3 O sinal de fibrilação atrial</w:t>
      </w:r>
      <w:bookmarkEnd w:id="172"/>
    </w:p>
    <w:p w14:paraId="1531CC8D" w14:textId="77777777" w:rsidR="00C34FD2" w:rsidRDefault="00000000">
      <w:pPr>
        <w:pStyle w:val="FirstParagraph"/>
      </w:pPr>
      <w:r>
        <w:t xml:space="preserve">Outro achado relevante atravessa transversalmente os ensaios contemporâneos. Tanto REDUCE-IT (45) quanto STRENGTH (46) reportaram </w:t>
      </w:r>
      <w:r>
        <w:rPr>
          <w:b/>
          <w:bCs/>
        </w:rPr>
        <w:t>aumento de fibrilação atrial</w:t>
      </w:r>
      <w:r>
        <w:t xml:space="preserve"> nos braços de ômega-3 (3,1% </w:t>
      </w:r>
      <w:r>
        <w:rPr>
          <w:i/>
          <w:iCs/>
        </w:rPr>
        <w:t>vs</w:t>
      </w:r>
      <w:r>
        <w:t xml:space="preserve"> 2,1% no REDUCE-IT; signal similar no STRENGTH). A meta-análise de Gencer e colaboradores (47), publicada em 2021 na </w:t>
      </w:r>
      <w:r>
        <w:rPr>
          <w:i/>
          <w:iCs/>
        </w:rPr>
        <w:t>Circulation</w:t>
      </w:r>
      <w:r>
        <w:t xml:space="preserve">, agrega 7 ensaios cardiovasculares com 81.210 pacientes e mostra associação dose-dependente: razão de risco para fibrilação atrial de 1,25 (IC 95%: 1,07–1,46) no agregado, com HR de 1,49 (IC 95%: 1,04–2,15) em ensaios usando dose superior a 1 g/dia, </w:t>
      </w:r>
      <w:r>
        <w:rPr>
          <w:i/>
          <w:iCs/>
        </w:rPr>
        <w:t>vs</w:t>
      </w:r>
      <w:r>
        <w:t xml:space="preserve"> HR de 1,12 (IC 95%: 1,03–1,22) em doses de 1 g/dia ou </w:t>
      </w:r>
      <w:r>
        <w:lastRenderedPageBreak/>
        <w:t>inferiores. A meta-regressão indica aumento de 11% no risco de FA por grama adicional de ômega-3 por dia.</w:t>
      </w:r>
    </w:p>
    <w:p w14:paraId="3280F99E" w14:textId="77777777" w:rsidR="00C34FD2" w:rsidRDefault="00000000">
      <w:pPr>
        <w:pStyle w:val="Corpodetexto"/>
      </w:pPr>
      <w:r>
        <w:t>O sinal de FA não invalida o achado positivo do REDUCE-IT em desfechos isquêmicos, mas reorganiza o cálculo de risco-benefício e levanta questão sobre quais subpopulações ganham, quais perdem, e em que magnitude líquida.</w:t>
      </w:r>
    </w:p>
    <w:p w14:paraId="18F4E550" w14:textId="77777777" w:rsidR="00C34FD2" w:rsidRDefault="00000000">
      <w:pPr>
        <w:pStyle w:val="Ttulo2"/>
      </w:pPr>
      <w:bookmarkStart w:id="173" w:name="a-leitura-possível-neste-momento"/>
      <w:bookmarkStart w:id="174" w:name="_Toc229219618"/>
      <w:bookmarkEnd w:id="171"/>
      <w:r>
        <w:t>11.4 A leitura possível neste momento</w:t>
      </w:r>
      <w:bookmarkEnd w:id="174"/>
    </w:p>
    <w:p w14:paraId="060DE969" w14:textId="77777777" w:rsidR="00C34FD2" w:rsidRDefault="00000000">
      <w:pPr>
        <w:pStyle w:val="FirstParagraph"/>
      </w:pPr>
      <w:r>
        <w:t>A literatura sobre ômega-3 cardiovascular não tem, no momento, o tipo de fechamento que TRH ou betacaroteno alcançaram. A síntese provisória que se desenha, sujeita a revisão por ensaios futuros, opera com três proposições.</w:t>
      </w:r>
    </w:p>
    <w:p w14:paraId="5EC00F39" w14:textId="77777777" w:rsidR="00C34FD2" w:rsidRDefault="00000000">
      <w:pPr>
        <w:pStyle w:val="Corpodetexto"/>
      </w:pPr>
      <w:r>
        <w:t xml:space="preserve">Primeira: </w:t>
      </w:r>
      <w:r>
        <w:rPr>
          <w:b/>
          <w:bCs/>
        </w:rPr>
        <w:t>ômega-3 em dose dietética baixa (&lt; 1 g/dia), em populações não selecionadas em terapia cardiovascular padrão moderna, não reduz eventos cardiovasculares maiores em prevenção primária</w:t>
      </w:r>
      <w:r>
        <w:t>. ASCEND e VITAL convergem nesse ponto.</w:t>
      </w:r>
    </w:p>
    <w:p w14:paraId="0914F2C0" w14:textId="77777777" w:rsidR="00C34FD2" w:rsidRDefault="00000000">
      <w:pPr>
        <w:pStyle w:val="Corpodetexto"/>
      </w:pPr>
      <w:r>
        <w:t xml:space="preserve">Segunda: </w:t>
      </w:r>
      <w:r>
        <w:rPr>
          <w:b/>
          <w:bCs/>
        </w:rPr>
        <w:t>icosapent etil em alta dose (4 g/dia) reduz eventos cardiovasculares em pacientes de alto risco com hipertrigliceridemia já em uso de estatina</w:t>
      </w:r>
      <w:r>
        <w:t>, achado positivo do REDUCE-IT, mas com magnitude possivelmente inflada por efeito do comparador e não replicado pela formulação alternativa do STRENGTH. A indicação clínica da formulação foi mantida em diretrizes, com explicitação da incerteza.</w:t>
      </w:r>
    </w:p>
    <w:p w14:paraId="03B15897" w14:textId="77777777" w:rsidR="00C34FD2" w:rsidRDefault="00000000">
      <w:pPr>
        <w:pStyle w:val="Corpodetexto"/>
      </w:pPr>
      <w:r>
        <w:t xml:space="preserve">Terceira: </w:t>
      </w:r>
      <w:r>
        <w:rPr>
          <w:b/>
          <w:bCs/>
        </w:rPr>
        <w:t>doses superiores a 1 g/dia aumentam risco de fibrilação atrial em proporção dose-dependente</w:t>
      </w:r>
      <w:r>
        <w:t>. O achado é robusto em meta-análise contemporânea, e tem implicação direta para o cálculo individualizado de risco-benefício.</w:t>
      </w:r>
    </w:p>
    <w:p w14:paraId="45A04C1B" w14:textId="77777777" w:rsidR="00C34FD2" w:rsidRDefault="00000000">
      <w:pPr>
        <w:pStyle w:val="Ttulo2"/>
      </w:pPr>
      <w:bookmarkStart w:id="175" w:name="lição-metodológica-4"/>
      <w:bookmarkStart w:id="176" w:name="_Toc229219619"/>
      <w:bookmarkEnd w:id="173"/>
      <w:r>
        <w:t>11.5 Lição metodológica</w:t>
      </w:r>
      <w:bookmarkEnd w:id="176"/>
    </w:p>
    <w:p w14:paraId="31948AF1" w14:textId="77777777" w:rsidR="00C34FD2" w:rsidRDefault="00000000">
      <w:pPr>
        <w:pStyle w:val="FirstParagraph"/>
      </w:pPr>
      <w:r>
        <w:t>O caso ômega-3 funciona como contraponto aos demais cenários discutidos neste site. Aqui, ao contrário de TRH ou betacaroteno, a evidência observacional original não foi simplesmente invertida pela evidência experimental; ela foi parcialmente confirmada (GISSI), parcialmente neutralizada (ASCEND, VITAL), e parcialmente reescrita (REDUCE-IT positivo, STRENGTH neutro). A complexidade resultante força reconhecimento de que evidência clínica não converge necessariamente para um veredicto único, e que diferentes fontes podem informar diferentes perguntas.</w:t>
      </w:r>
    </w:p>
    <w:p w14:paraId="2AA2FEF1" w14:textId="77777777" w:rsidR="00C34FD2" w:rsidRDefault="00000000">
      <w:pPr>
        <w:pStyle w:val="Corpodetexto"/>
      </w:pPr>
      <w:r>
        <w:t>Três aprendizados específicos emergem para a prática contemporânea.</w:t>
      </w:r>
    </w:p>
    <w:p w14:paraId="4A1B30A7" w14:textId="77777777" w:rsidR="00C34FD2" w:rsidRDefault="00000000">
      <w:pPr>
        <w:pStyle w:val="Corpodetexto"/>
      </w:pPr>
      <w:r>
        <w:t xml:space="preserve">O primeiro é a </w:t>
      </w:r>
      <w:r>
        <w:rPr>
          <w:b/>
          <w:bCs/>
        </w:rPr>
        <w:t>especificidade da pergunta</w:t>
      </w:r>
      <w:r>
        <w:t>. “Ômega-3 funciona?” é pergunta inadequada. Em qual dose, qual formulação, qual população, comparada a qual alternativa, para qual desfecho, em qual horizonte de tempo — cada especificação produz resposta diferente. O target trial torna explícita essa exigência. Estudos que parecem contradizer-se podem estar respondendo perguntas distintas e cumulativas, não a mesma.</w:t>
      </w:r>
    </w:p>
    <w:p w14:paraId="10264CFD" w14:textId="77777777" w:rsidR="00C34FD2" w:rsidRDefault="00000000">
      <w:pPr>
        <w:pStyle w:val="Corpodetexto"/>
      </w:pPr>
      <w:r>
        <w:lastRenderedPageBreak/>
        <w:t xml:space="preserve">O segundo é a </w:t>
      </w:r>
      <w:r>
        <w:rPr>
          <w:b/>
          <w:bCs/>
        </w:rPr>
        <w:t>importância do comparador</w:t>
      </w:r>
      <w:r>
        <w:t xml:space="preserve">. O debate REDUCE-IT </w:t>
      </w:r>
      <w:r>
        <w:rPr>
          <w:i/>
          <w:iCs/>
        </w:rPr>
        <w:t>vs</w:t>
      </w:r>
      <w:r>
        <w:t xml:space="preserve"> STRENGTH ilustra que escolha de placebo não é decisão administrativa neutra. Óleo mineral </w:t>
      </w:r>
      <w:r>
        <w:rPr>
          <w:i/>
          <w:iCs/>
        </w:rPr>
        <w:t>vs</w:t>
      </w:r>
      <w:r>
        <w:t xml:space="preserve"> óleo de milho </w:t>
      </w:r>
      <w:r>
        <w:rPr>
          <w:i/>
          <w:iCs/>
        </w:rPr>
        <w:t>vs</w:t>
      </w:r>
      <w:r>
        <w:t xml:space="preserve"> óleo de oliva </w:t>
      </w:r>
      <w:r>
        <w:rPr>
          <w:i/>
          <w:iCs/>
        </w:rPr>
        <w:t>vs</w:t>
      </w:r>
      <w:r>
        <w:t xml:space="preserve"> placebo não-oleoso podem produzir efeitos diferentes que se confundem com o efeito do agente testado. Triangulação entre ensaios com comparadores diferentes vira parte essencial da inferência.</w:t>
      </w:r>
    </w:p>
    <w:p w14:paraId="286442FA" w14:textId="77777777" w:rsidR="00C34FD2" w:rsidRDefault="00000000">
      <w:pPr>
        <w:pStyle w:val="Corpodetexto"/>
      </w:pPr>
      <w:r>
        <w:t xml:space="preserve">O terceiro é a </w:t>
      </w:r>
      <w:r>
        <w:rPr>
          <w:b/>
          <w:bCs/>
        </w:rPr>
        <w:t>necessidade de seguir efeitos adversos com o mesmo cuidado dos efeitos benéficos</w:t>
      </w:r>
      <w:r>
        <w:t>. A fibrilação atrial era achado secundário em REDUCE-IT e STRENGTH, mas a meta-análise subsequente revelou um sinal sistemático e dose-dependente. Em uma intervenção com balanço de risco-benefício potencialmente fino, eventos adversos modestos em magnitude isolada podem reorganizar substantivamente a indicação clínica quando agregados.</w:t>
      </w:r>
    </w:p>
    <w:p w14:paraId="296A4C16" w14:textId="77777777" w:rsidR="00C34FD2" w:rsidRDefault="00000000">
      <w:pPr>
        <w:pStyle w:val="Corpodetexto"/>
      </w:pPr>
      <w:r>
        <w:t>Os investigadores que conduziram a sequência de ensaios sobre ômega-3 trabalharam com rigor e mantiveram a discussão metodológica franca diante de resultados discordantes — o debate sobre o comparador no REDUCE-IT, em particular, foi conduzido em editoriais e respostas com tom de investigação científica genuína, não de defesa de posições. O caso permanece em aberto, e a posição clínica honesta é reconhecer que o aberto é o estado atual, não uma falha temporária.</w:t>
      </w:r>
    </w:p>
    <w:p w14:paraId="6DF5A49B" w14:textId="77777777" w:rsidR="00C34FD2" w:rsidRDefault="00000000">
      <w:pPr>
        <w:pStyle w:val="Ttulo2"/>
      </w:pPr>
      <w:bookmarkStart w:id="177" w:name="para-discussão-em-sala-4"/>
      <w:bookmarkStart w:id="178" w:name="_Toc229219620"/>
      <w:bookmarkEnd w:id="175"/>
      <w:r>
        <w:t>11.6 Para discussão em sala</w:t>
      </w:r>
      <w:bookmarkEnd w:id="178"/>
    </w:p>
    <w:p w14:paraId="03B8CC7E" w14:textId="77777777" w:rsidR="00C34FD2" w:rsidRDefault="00000000">
      <w:pPr>
        <w:numPr>
          <w:ilvl w:val="0"/>
          <w:numId w:val="10"/>
        </w:numPr>
      </w:pPr>
      <w:r>
        <w:t>Em um paciente com doença coronariana estabelecida, em uso de estatina, com LDL controlado mas triglicerídeos de 250 mg/dL, o cardiologista considera prescrever icosapent etil 4 g/dia com base no REDUCE-IT. Como discutir com o paciente o balanço entre o benefício esperado em desfechos isquêmicos e o aumento de risco de fibrilação atrial? Que outras considerações entrar nessa decisão?</w:t>
      </w:r>
    </w:p>
    <w:p w14:paraId="6389ACC0" w14:textId="77777777" w:rsidR="00C34FD2" w:rsidRDefault="00000000">
      <w:pPr>
        <w:numPr>
          <w:ilvl w:val="0"/>
          <w:numId w:val="10"/>
        </w:numPr>
      </w:pPr>
      <w:r>
        <w:t>REDUCE-IT e STRENGTH testaram populações análogas em doses similares e chegaram a conclusões opostas. Discuta as três hipóteses competidoras (formulação, comparador, ambas). Como uma pergunta de pesquisa subsequente poderia distinguir entre elas? Qual desenho seria informativo?</w:t>
      </w:r>
    </w:p>
    <w:p w14:paraId="33B53DAF" w14:textId="77777777" w:rsidR="00C34FD2" w:rsidRDefault="00000000">
      <w:pPr>
        <w:numPr>
          <w:ilvl w:val="0"/>
          <w:numId w:val="10"/>
        </w:numPr>
      </w:pPr>
      <w:r>
        <w:t>A meta-análise de fibrilação atrial agrega ensaios cuja maioria tem desfechos cardiovasculares como primário. Discuta as implicações metodológicas de extrair achado de evento adverso a partir de ensaios desenhados para outro desfecho. Que cuidados na interpretação?</w:t>
      </w:r>
    </w:p>
    <w:p w14:paraId="4B0C26AF" w14:textId="77777777" w:rsidR="00C34FD2" w:rsidRDefault="00000000">
      <w:pPr>
        <w:pStyle w:val="Ttulo1"/>
      </w:pPr>
      <w:bookmarkStart w:id="179" w:name="X4f6b80fbf985bef0c6baa739e17636d494cf62d"/>
      <w:bookmarkStart w:id="180" w:name="_Toc229219621"/>
      <w:bookmarkEnd w:id="165"/>
      <w:bookmarkEnd w:id="177"/>
      <w:r>
        <w:lastRenderedPageBreak/>
        <w:t>12. Antiarrítmicos pós-IAM (CAST) — quando o desfecho substituto engana</w:t>
      </w:r>
      <w:bookmarkEnd w:id="180"/>
    </w:p>
    <w:p w14:paraId="2C34E5B0" w14:textId="77777777" w:rsidR="00C34FD2" w:rsidRDefault="00000000">
      <w:pPr>
        <w:pStyle w:val="Ttulo2"/>
      </w:pPr>
      <w:bookmarkStart w:id="181" w:name="contexto-clínico-5"/>
      <w:bookmarkStart w:id="182" w:name="_Toc229219622"/>
      <w:r>
        <w:t>12.1 Contexto clínico</w:t>
      </w:r>
      <w:bookmarkEnd w:id="182"/>
    </w:p>
    <w:p w14:paraId="045C49D0" w14:textId="77777777" w:rsidR="00C34FD2" w:rsidRDefault="00000000">
      <w:pPr>
        <w:pStyle w:val="FirstParagraph"/>
      </w:pPr>
      <w:r>
        <w:t>A morte súbita após infarto agudo do miocárdio é evento clínico relevante e relativamente frequente nas primeiras décadas após o evento isquêmico. A maior parte dessas mortes envolve mecanismos arrítmicos — taquicardia ventricular sustentada que degenera em fibrilação ventricular. A pergunta clínica natural foi: quem está sob risco?</w:t>
      </w:r>
    </w:p>
    <w:p w14:paraId="63885EDE" w14:textId="77777777" w:rsidR="00C34FD2" w:rsidRDefault="00000000">
      <w:pPr>
        <w:pStyle w:val="Corpodetexto"/>
      </w:pPr>
      <w:r>
        <w:t>Em 1977, Ruberman e colaboradores (48) publicam estudo de coorte com 1.739 homens com infarto prévio. Demonstram que a presença de extrassístoles ventriculares complexas — em particular as polimorfas, repetitivas, e o fenômeno R sobre T — em registro de uma hora se associa a aumento de três vezes no risco de morte súbita coronariana e de duas vezes no risco de morte por qualquer causa, ajustado para outros marcadores prognósticos. O achado é replicado em outras coortes e cristaliza-se como conhecimento clínico estabelecido: extrassístoles ventriculares complexas são marcador independente de risco pós-infarto.</w:t>
      </w:r>
    </w:p>
    <w:p w14:paraId="01AC4E3B" w14:textId="77777777" w:rsidR="00C34FD2" w:rsidRDefault="00000000">
      <w:pPr>
        <w:pStyle w:val="Corpodetexto"/>
      </w:pPr>
      <w:r>
        <w:t>A inferência seguinte foi feita em terreno mais escorregadio. Se as extrassístoles indicam risco de morte súbita arrítmica, então — raciocínio aparentemente lógico — suprimi-las deveria reduzir esse risco. Os antiarrítmicos da classe IC, sobretudo encainida e flecainida, tornaram-se rapidamente disponíveis e demonstraram, em ensaios pequenos, capacidade efetiva de suprimir extrassístoles. A aprovação para uso ampliado em arritmias ventriculares assintomáticas ou minimamente sintomáticas levou, no fim dos anos 1980, a uma estimativa de aproximadamente 200 mil pacientes em uso desses fármacos nos Estados Unidos.</w:t>
      </w:r>
    </w:p>
    <w:p w14:paraId="4A41F045" w14:textId="77777777" w:rsidR="00C34FD2" w:rsidRDefault="00000000">
      <w:pPr>
        <w:pStyle w:val="Corpodetexto"/>
      </w:pPr>
      <w:r>
        <w:t>A prática se sustentava em três pilares: a associação observada entre extrassístoles e morte súbita; a plausibilidade biológica do mecanismo arrítmico; e a evidência de que os fármacos atingiam o alvo intermediário (supressão das extrassístoles). Faltava o quarto pilar — evidência de que essa supressão se traduzia em redução da mortalidade real.</w:t>
      </w:r>
    </w:p>
    <w:p w14:paraId="5EAB61CE" w14:textId="77777777" w:rsidR="00C34FD2" w:rsidRDefault="00000000">
      <w:pPr>
        <w:pStyle w:val="Ttulo2"/>
      </w:pPr>
      <w:bookmarkStart w:id="183" w:name="X0d90407cc25f0b140228f3dcd86e556c82e1694"/>
      <w:bookmarkStart w:id="184" w:name="_Toc229219623"/>
      <w:bookmarkEnd w:id="181"/>
      <w:r>
        <w:t>12.2 A evidência observacional e o vácuo experimental</w:t>
      </w:r>
      <w:bookmarkEnd w:id="184"/>
    </w:p>
    <w:p w14:paraId="6FD40B67" w14:textId="77777777" w:rsidR="00C34FD2" w:rsidRDefault="00000000">
      <w:pPr>
        <w:pStyle w:val="FirstParagraph"/>
      </w:pPr>
      <w:r>
        <w:t xml:space="preserve">Antes do CAST, a literatura sobre antiarrítmicos da classe I em pacientes pós-infarto consistia majoritariamente em estudos de pequeno porte avaliando o </w:t>
      </w:r>
      <w:r>
        <w:rPr>
          <w:b/>
          <w:bCs/>
        </w:rPr>
        <w:t>desfecho substituto</w:t>
      </w:r>
      <w:r>
        <w:t xml:space="preserve"> — supressão das extrassístoles em monitorização Holter. Vários estudos confirmavam que os fármacos faziam o que se propunham a fazer no nível eletrocardiográfico. Nenhum deles tinha poder estatístico, tempo de seguimento ou desenho adequado para avaliar o desfecho clinicamente relevante: mortalidade total ou morte súbita.</w:t>
      </w:r>
    </w:p>
    <w:p w14:paraId="34C65A04" w14:textId="77777777" w:rsidR="00C34FD2" w:rsidRDefault="00000000">
      <w:pPr>
        <w:pStyle w:val="Corpodetexto"/>
      </w:pPr>
      <w:r>
        <w:lastRenderedPageBreak/>
        <w:t>Algumas séries observacionais sugeriam tendência favorável; outras eram neutras. Persistia uma assimetria epistêmica entre a base de evidência sobre o marcador (robusta, replicada) e a base sobre o desfecho clínico (escassa, indireta). A prática clínica preencheu o vácuo com inferência: se o fármaco reverte o marcador de risco, espera-se que reverta também o risco. A inferência foi tratada como aproximação razoável até que pudesse ser testada formalmente.</w:t>
      </w:r>
    </w:p>
    <w:p w14:paraId="38781F00" w14:textId="77777777" w:rsidR="00C34FD2" w:rsidRDefault="00000000">
      <w:pPr>
        <w:pStyle w:val="Corpodetexto"/>
      </w:pPr>
      <w:r>
        <w:t>Foi essa lacuna que o National Heart, Lung, and Blood Institute, com o desenho de Greene e colaboradores (49), se propôs a fechar.</w:t>
      </w:r>
    </w:p>
    <w:p w14:paraId="734A0AC7" w14:textId="77777777" w:rsidR="00C34FD2" w:rsidRDefault="00000000">
      <w:pPr>
        <w:pStyle w:val="Ttulo2"/>
      </w:pPr>
      <w:bookmarkStart w:id="185" w:name="cast-o-ensaio-randomizado"/>
      <w:bookmarkStart w:id="186" w:name="_Toc229219624"/>
      <w:bookmarkEnd w:id="183"/>
      <w:r>
        <w:t>12.3 CAST: o ensaio randomizado</w:t>
      </w:r>
      <w:bookmarkEnd w:id="186"/>
    </w:p>
    <w:p w14:paraId="7A8C74F1" w14:textId="77777777" w:rsidR="00C34FD2" w:rsidRDefault="00000000">
      <w:pPr>
        <w:pStyle w:val="FirstParagraph"/>
      </w:pPr>
      <w:r>
        <w:t xml:space="preserve">O Cardiac Arrhythmia Suppression Trial foi desenhado para testar diretamente a hipótese de que a supressão de extrassístoles ventriculares assintomáticas ou minimamente sintomáticas em sobreviventes de infarto reduziria a mortalidade arrítmica e a mortalidade total. O desenho previa uma fase de titulação aberta na qual o fármaco era ajustado até que a supressão fosse documentada; em seguida, o paciente entrava em fase randomizada — fármaco efetivo na supressão </w:t>
      </w:r>
      <w:r>
        <w:rPr>
          <w:i/>
          <w:iCs/>
        </w:rPr>
        <w:t>versus</w:t>
      </w:r>
      <w:r>
        <w:t xml:space="preserve"> placebo — em desenho duplo-cego. Três fármacos foram avaliados: encainida, flecainida e moricizina.</w:t>
      </w:r>
    </w:p>
    <w:p w14:paraId="796F3D1B" w14:textId="77777777" w:rsidR="00C34FD2" w:rsidRDefault="00000000">
      <w:pPr>
        <w:pStyle w:val="Corpodetexto"/>
      </w:pPr>
      <w:r>
        <w:t xml:space="preserve">Em abril de 1989, durante análise interina rotineira, o comitê de monitoramento de dados encontra excesso significativo de mortalidade nos braços de encainida e flecainida em comparação com placebo. Após cerca de 10 meses de seguimento médio, os pacientes em uso de droga ativa apresentavam quase três vezes a taxa de mortalidade dos que recebiam placebo. O comitê recomenda parada imediata desses dois braços. O relatório preliminar (50) é publicado no </w:t>
      </w:r>
      <w:r>
        <w:rPr>
          <w:i/>
          <w:iCs/>
        </w:rPr>
        <w:t>New England Journal of Medicine</w:t>
      </w:r>
      <w:r>
        <w:t xml:space="preserve"> em agosto de 1989.</w:t>
      </w:r>
    </w:p>
    <w:p w14:paraId="3B8822E1" w14:textId="77777777" w:rsidR="00C34FD2" w:rsidRDefault="00000000">
      <w:pPr>
        <w:pStyle w:val="Corpodetexto"/>
      </w:pPr>
      <w:r>
        <w:t xml:space="preserve">O relato definitivo dos braços de encainida e flecainida, publicado por Echt e colaboradores (51) em 1991, consolida os números: 89 mortes ao longo do seguimento, das quais 59 por arritmia (43 em droga ativa </w:t>
      </w:r>
      <w:r>
        <w:rPr>
          <w:i/>
          <w:iCs/>
        </w:rPr>
        <w:t>vs</w:t>
      </w:r>
      <w:r>
        <w:t xml:space="preserve"> 16 em placebo; </w:t>
      </w:r>
      <w:r>
        <w:rPr>
          <w:i/>
          <w:iCs/>
        </w:rPr>
        <w:t>p</w:t>
      </w:r>
      <w:r>
        <w:t xml:space="preserve"> = 0,0004) e 22 por causa cardíaca não arrítmica (17 </w:t>
      </w:r>
      <w:r>
        <w:rPr>
          <w:i/>
          <w:iCs/>
        </w:rPr>
        <w:t>vs</w:t>
      </w:r>
      <w:r>
        <w:t xml:space="preserve"> 5; </w:t>
      </w:r>
      <w:r>
        <w:rPr>
          <w:i/>
          <w:iCs/>
        </w:rPr>
        <w:t>p</w:t>
      </w:r>
      <w:r>
        <w:t xml:space="preserve"> = 0,01). O risco relativo de morte arrítmica para droga ativa em relação a placebo era 3,6, e o risco relativo de mortalidade total era 2,5. Os fármacos tinham efeito claro sobre o desfecho substituto — suprimiam extrassístoles —, mas o desfecho clínico se movia na direção oposta da expectativa.</w:t>
      </w:r>
    </w:p>
    <w:p w14:paraId="70AEE521" w14:textId="77777777" w:rsidR="00C34FD2" w:rsidRDefault="00000000">
      <w:pPr>
        <w:pStyle w:val="Corpodetexto"/>
      </w:pPr>
      <w:r>
        <w:t>O braço de moricizina (CAST-II) (52) continuou em ensaio modificado, restrito a pacientes com fração de ejeção mais baixa e com janela de inclusão pós-infarto mais curta, no esforço de identificar subpopulação que pudesse se beneficiar. CAST-II também é encerrado precocemente: nas duas primeiras semanas de tratamento, observou-se mortalidade significativamente maior no grupo da moricizina (17 mortes em 665 pacientes) do que no placebo (3 em 660); a análise condicional de poder indicava menos de 8% de chance de detectar benefício de sobrevida caso o ensaio fosse completado.</w:t>
      </w:r>
    </w:p>
    <w:p w14:paraId="00992990" w14:textId="77777777" w:rsidR="00C34FD2" w:rsidRDefault="00000000">
      <w:pPr>
        <w:pStyle w:val="Ttulo2"/>
      </w:pPr>
      <w:bookmarkStart w:id="187" w:name="lição-metodológica-5"/>
      <w:bookmarkStart w:id="188" w:name="_Toc229219625"/>
      <w:bookmarkEnd w:id="185"/>
      <w:r>
        <w:lastRenderedPageBreak/>
        <w:t>12.4 Lição metodológica</w:t>
      </w:r>
      <w:bookmarkEnd w:id="188"/>
    </w:p>
    <w:p w14:paraId="0EDC357C" w14:textId="77777777" w:rsidR="00C34FD2" w:rsidRDefault="00000000">
      <w:pPr>
        <w:pStyle w:val="FirstParagraph"/>
      </w:pPr>
      <w:r>
        <w:t xml:space="preserve">A história do CAST é o exemplo mais consequente do que a literatura epidemiológica metodológica passou a chamar de </w:t>
      </w:r>
      <w:r>
        <w:rPr>
          <w:b/>
          <w:bCs/>
        </w:rPr>
        <w:t>problema do desfecho substituto</w:t>
      </w:r>
      <w:r>
        <w:t>. Um marcador biológico associado a um desfecho clínico — extrassístoles ventriculares e morte súbita, no caso — pode estar associado por mecanismos compartilhados com o desfecho, como expressão de doença subjacente, sem que sua manipulação afete o desfecho. Pior, a manipulação do marcador pode introduzir efeitos paralelos do agente sobre vias causais não consideradas. As classes IC, em particular, têm propriedades pró-arrítmicas próprias: prolongam a condução intraventricular e podem facilitar reentrada em corações com substrato isquêmico. Essas propriedades não eram visíveis no desfecho substituto monitorado; emergiram apenas quando o desfecho clínico foi medido diretamente.</w:t>
      </w:r>
    </w:p>
    <w:p w14:paraId="30FC840E" w14:textId="77777777" w:rsidR="00C34FD2" w:rsidRDefault="00000000">
      <w:pPr>
        <w:pStyle w:val="Corpodetexto"/>
      </w:pPr>
      <w:r>
        <w:t>Vale registrar que o trabalho dos investigadores que conduziram o CAST não foi causa do problema, e sim sua resposta. A prática clínica anterior a 1989 baseava-se em inferência compatível com o conhecimento e a evidência disponíveis na época. O desenho do CAST — randomizado, com placebo, comitê de monitoramento independente — era o instrumento corretivo possível, e a parada precoce em 1989 deu testemunho de que esse instrumento funcionou: o ensaio identificou o dano, comunicou-o à comunidade médica, e a prática mudou. Estima-se que a interrupção precoce do CAST tenha evitado número expressivo de mortes nos anos subsequentes, ao retirar de uso uma intervenção amplamente empregada.</w:t>
      </w:r>
    </w:p>
    <w:p w14:paraId="6262E04B" w14:textId="77777777" w:rsidR="00C34FD2" w:rsidRDefault="00000000">
      <w:pPr>
        <w:pStyle w:val="Corpodetexto"/>
      </w:pPr>
      <w:r>
        <w:t xml:space="preserve">A lição metodológica que a epidemiologia contemporânea extrai do CAST é direta. A demonstração de que um agente atua sobre um marcador associado a um desfecho não estabelece, por si só, eficácia sobre o desfecho. Eficácia clínica se mede no desfecho clinicamente relevante — mortalidade por todas as causas, eventos cardiovasculares maiores, qualidade de vida, função preservada — e não em parâmetros laboratoriais ou eletrocardiográficos. A formalização dessa exigência aparece, no Cap. 03, na noção de </w:t>
      </w:r>
      <w:r>
        <w:rPr>
          <w:i/>
          <w:iCs/>
        </w:rPr>
        <w:t>target trial</w:t>
      </w:r>
      <w:r>
        <w:t>: o protocolo precisa especificar explicitamente qual desfecho clinicamente relevante se pretende afetar, e a análise — observacional ou experimental — precisa estimar exatamente esse desfecho.</w:t>
      </w:r>
    </w:p>
    <w:p w14:paraId="06437F38" w14:textId="77777777" w:rsidR="00C34FD2" w:rsidRDefault="00000000">
      <w:pPr>
        <w:pStyle w:val="Corpodetexto"/>
      </w:pPr>
      <w:r>
        <w:t xml:space="preserve">A intuição de que “se o marcador é causa do desfecho, então corrigir o marcador corrige o desfecho” tem outras manifestações na prática contemporânea: ajuste agressivo de glicemia como </w:t>
      </w:r>
      <w:r>
        <w:rPr>
          <w:i/>
          <w:iCs/>
        </w:rPr>
        <w:t>proxy</w:t>
      </w:r>
      <w:r>
        <w:t xml:space="preserve"> de evento microvascular; LDL pós-tratamento como </w:t>
      </w:r>
      <w:r>
        <w:rPr>
          <w:i/>
          <w:iCs/>
        </w:rPr>
        <w:t>proxy</w:t>
      </w:r>
      <w:r>
        <w:t xml:space="preserve"> de mortalidade cardiovascular; biomarcadores oncológicos circulantes como </w:t>
      </w:r>
      <w:r>
        <w:rPr>
          <w:i/>
          <w:iCs/>
        </w:rPr>
        <w:t>proxy</w:t>
      </w:r>
      <w:r>
        <w:t xml:space="preserve"> de sobrevida em ensaios de fase II. Em cada um desses contextos, a história do CAST funciona como advertência: o marcador precisa ter sido validado contra o desfecho clínico em ensaios prévios, e mesmo essa validação tem alcance restrito ao contexto em que foi feita.</w:t>
      </w:r>
    </w:p>
    <w:p w14:paraId="66743AAB" w14:textId="77777777" w:rsidR="00C34FD2" w:rsidRDefault="00000000">
      <w:pPr>
        <w:pStyle w:val="Ttulo2"/>
      </w:pPr>
      <w:bookmarkStart w:id="189" w:name="para-discussão-em-sala-5"/>
      <w:bookmarkStart w:id="190" w:name="_Toc229219626"/>
      <w:bookmarkEnd w:id="187"/>
      <w:r>
        <w:lastRenderedPageBreak/>
        <w:t>12.5 Para discussão em sala</w:t>
      </w:r>
      <w:bookmarkEnd w:id="190"/>
    </w:p>
    <w:p w14:paraId="13FB9C39" w14:textId="77777777" w:rsidR="00C34FD2" w:rsidRDefault="00000000">
      <w:pPr>
        <w:numPr>
          <w:ilvl w:val="0"/>
          <w:numId w:val="11"/>
        </w:numPr>
      </w:pPr>
      <w:r>
        <w:t>Antes da publicação do CAST, era razoável prescrever encainida ou flecainida para pacientes pós-infarto com extrassístoles ventriculares assintomáticas? Discuta a partir do conhecimento disponível à época, sem contaminar o argumento com o que se sabe hoje.</w:t>
      </w:r>
    </w:p>
    <w:p w14:paraId="36A4F1FA" w14:textId="77777777" w:rsidR="00C34FD2" w:rsidRDefault="00000000">
      <w:pPr>
        <w:numPr>
          <w:ilvl w:val="0"/>
          <w:numId w:val="11"/>
        </w:numPr>
      </w:pPr>
      <w:r>
        <w:t>O comitê de monitoramento de dados do CAST decidiu pela parada precoce em abril de 1989. Discuta as obrigações éticas envolvidas nessa decisão — o que se devia aos pacientes randomizados para droga ativa? O que se devia aos pacientes em uso clínico do fármaco fora do ensaio?</w:t>
      </w:r>
    </w:p>
    <w:p w14:paraId="70E3D14B" w14:textId="77777777" w:rsidR="00C34FD2" w:rsidRDefault="00000000">
      <w:pPr>
        <w:numPr>
          <w:ilvl w:val="0"/>
          <w:numId w:val="11"/>
        </w:numPr>
      </w:pPr>
      <w:r>
        <w:t>Em um ensaio fase II que demonstra redução de marcador tumoral circulante após nova quimioterapia, deve-se aprovar o fármaco com base nesse achado, ou aguardar ensaios fase III com desfecho de sobrevida? Argumente com referência ao CAST e à literatura sobre desfechos substitutos.</w:t>
      </w:r>
    </w:p>
    <w:p w14:paraId="5E415405" w14:textId="77777777" w:rsidR="00274C70" w:rsidRDefault="00274C70">
      <w:pPr>
        <w:rPr>
          <w:rFonts w:asciiTheme="majorHAnsi" w:eastAsiaTheme="majorEastAsia" w:hAnsiTheme="majorHAnsi" w:cstheme="majorBidi"/>
          <w:color w:val="0F4761" w:themeColor="accent1" w:themeShade="BF"/>
          <w:sz w:val="40"/>
          <w:szCs w:val="40"/>
        </w:rPr>
      </w:pPr>
      <w:bookmarkStart w:id="191" w:name="referências"/>
      <w:bookmarkStart w:id="192" w:name="_Toc229219627"/>
      <w:bookmarkEnd w:id="179"/>
      <w:bookmarkEnd w:id="189"/>
      <w:r>
        <w:br w:type="page"/>
      </w:r>
    </w:p>
    <w:p w14:paraId="6EE12367" w14:textId="708CA275" w:rsidR="00C34FD2" w:rsidRDefault="00000000">
      <w:pPr>
        <w:pStyle w:val="Ttulo1"/>
      </w:pPr>
      <w:r>
        <w:lastRenderedPageBreak/>
        <w:t>Referências</w:t>
      </w:r>
      <w:bookmarkEnd w:id="192"/>
    </w:p>
    <w:p w14:paraId="4E181BAE" w14:textId="77777777" w:rsidR="00C34FD2" w:rsidRDefault="00000000">
      <w:pPr>
        <w:pStyle w:val="FirstParagraph"/>
      </w:pPr>
      <w:r>
        <w:t xml:space="preserve">A lista abaixo agrega todas as referências da bibliografia, formatadas em estilo Vancouver. Os metadados foram verificados em PubMed (autor, periódico, volume, fascículo, páginas, ano, DOI/PMID); documentos sem indexação no PubMed (relatórios institucionais como o </w:t>
      </w:r>
      <w:r>
        <w:rPr>
          <w:i/>
          <w:iCs/>
        </w:rPr>
        <w:t>Surgeon General Report</w:t>
      </w:r>
      <w:r>
        <w:t xml:space="preserve"> de 1964) foram verificados via NLM Catalog ou registro oficial do editor.</w:t>
      </w:r>
    </w:p>
    <w:p w14:paraId="0DEAC665" w14:textId="77777777" w:rsidR="00C34FD2" w:rsidRPr="00274C70" w:rsidRDefault="00000000">
      <w:pPr>
        <w:pStyle w:val="Bibliografia"/>
        <w:rPr>
          <w:lang w:val="en-US"/>
        </w:rPr>
      </w:pPr>
      <w:bookmarkStart w:id="193" w:name="ref-Morabia2013SuiGeneris"/>
      <w:bookmarkStart w:id="194" w:name="refs"/>
      <w:r w:rsidRPr="00274C70">
        <w:rPr>
          <w:lang w:val="en-US"/>
        </w:rPr>
        <w:t xml:space="preserve">1. </w:t>
      </w:r>
      <w:r w:rsidRPr="00274C70">
        <w:rPr>
          <w:lang w:val="en-US"/>
        </w:rPr>
        <w:tab/>
        <w:t xml:space="preserve">Morabia A. </w:t>
      </w:r>
      <w:hyperlink r:id="rId31">
        <w:r w:rsidRPr="00274C70">
          <w:rPr>
            <w:rStyle w:val="Hyperlink"/>
            <w:lang w:val="en-US"/>
          </w:rPr>
          <w:t>Hume, Mill, Hill, and the Sui Generis Epidemiologic Approach to Causal Inference</w:t>
        </w:r>
      </w:hyperlink>
      <w:r w:rsidRPr="00274C70">
        <w:rPr>
          <w:lang w:val="en-US"/>
        </w:rPr>
        <w:t xml:space="preserve">. American Journal of Epidemiology. 2013;178(10):1526–32. </w:t>
      </w:r>
    </w:p>
    <w:p w14:paraId="02C9BE8D" w14:textId="77777777" w:rsidR="00C34FD2" w:rsidRPr="00274C70" w:rsidRDefault="00000000">
      <w:pPr>
        <w:pStyle w:val="Bibliografia"/>
        <w:rPr>
          <w:lang w:val="en-US"/>
        </w:rPr>
      </w:pPr>
      <w:bookmarkStart w:id="195" w:name="ref-Savitz2025Considerations"/>
      <w:bookmarkEnd w:id="193"/>
      <w:r w:rsidRPr="00274C70">
        <w:rPr>
          <w:lang w:val="en-US"/>
        </w:rPr>
        <w:t xml:space="preserve">2. </w:t>
      </w:r>
      <w:r w:rsidRPr="00274C70">
        <w:rPr>
          <w:lang w:val="en-US"/>
        </w:rPr>
        <w:tab/>
        <w:t xml:space="preserve">Savitz DA, Pearce N, Rothman KJ. </w:t>
      </w:r>
      <w:hyperlink r:id="rId32">
        <w:r w:rsidRPr="00274C70">
          <w:rPr>
            <w:rStyle w:val="Hyperlink"/>
            <w:lang w:val="en-US"/>
          </w:rPr>
          <w:t>Hill’s Considerations Are Not Causal Criteria</w:t>
        </w:r>
      </w:hyperlink>
      <w:r w:rsidRPr="00274C70">
        <w:rPr>
          <w:lang w:val="en-US"/>
        </w:rPr>
        <w:t xml:space="preserve">. Journal of Clinical Epidemiology. 2025;190:112087. </w:t>
      </w:r>
    </w:p>
    <w:p w14:paraId="109FE0FF" w14:textId="77777777" w:rsidR="00C34FD2" w:rsidRDefault="00000000">
      <w:pPr>
        <w:pStyle w:val="Bibliografia"/>
      </w:pPr>
      <w:bookmarkStart w:id="196" w:name="ref-Morabia2005Causality"/>
      <w:bookmarkEnd w:id="195"/>
      <w:r w:rsidRPr="00274C70">
        <w:rPr>
          <w:lang w:val="en-US"/>
        </w:rPr>
        <w:t xml:space="preserve">3. </w:t>
      </w:r>
      <w:r w:rsidRPr="00274C70">
        <w:rPr>
          <w:lang w:val="en-US"/>
        </w:rPr>
        <w:tab/>
        <w:t xml:space="preserve">Morabia A. Epidemiological Causality. History and Philosophy of the Life Sciences [Internet]. </w:t>
      </w:r>
      <w:r>
        <w:t xml:space="preserve">2005;27(3-4):365–79. Disponível em: </w:t>
      </w:r>
      <w:hyperlink r:id="rId33">
        <w:r>
          <w:rPr>
            <w:rStyle w:val="Hyperlink"/>
          </w:rPr>
          <w:t>http://www.jstor.org/stable/23333898</w:t>
        </w:r>
      </w:hyperlink>
    </w:p>
    <w:p w14:paraId="60874BD6" w14:textId="77777777" w:rsidR="00C34FD2" w:rsidRPr="00274C70" w:rsidRDefault="00000000">
      <w:pPr>
        <w:pStyle w:val="Bibliografia"/>
        <w:rPr>
          <w:lang w:val="en-US"/>
        </w:rPr>
      </w:pPr>
      <w:bookmarkStart w:id="197" w:name="ref-Schwartz1999Future"/>
      <w:bookmarkEnd w:id="196"/>
      <w:r>
        <w:t xml:space="preserve">4. </w:t>
      </w:r>
      <w:r>
        <w:tab/>
        <w:t xml:space="preserve">Schwartz S, Susser E, Susser M. </w:t>
      </w:r>
      <w:hyperlink r:id="rId34">
        <w:r w:rsidRPr="00274C70">
          <w:rPr>
            <w:rStyle w:val="Hyperlink"/>
            <w:lang w:val="en-US"/>
          </w:rPr>
          <w:t>A Future for Epidemiology?</w:t>
        </w:r>
      </w:hyperlink>
      <w:r w:rsidRPr="00274C70">
        <w:rPr>
          <w:lang w:val="en-US"/>
        </w:rPr>
        <w:t xml:space="preserve"> Annual Review of Public Health. 1999;20:15–33. </w:t>
      </w:r>
    </w:p>
    <w:p w14:paraId="4175403C" w14:textId="77777777" w:rsidR="00C34FD2" w:rsidRDefault="00000000">
      <w:pPr>
        <w:pStyle w:val="Bibliografia"/>
      </w:pPr>
      <w:bookmarkStart w:id="198" w:name="ref-SurgeonGeneral1964Smoking"/>
      <w:bookmarkEnd w:id="197"/>
      <w:r w:rsidRPr="00274C70">
        <w:rPr>
          <w:lang w:val="en-US"/>
        </w:rPr>
        <w:t xml:space="preserve">5. </w:t>
      </w:r>
      <w:r w:rsidRPr="00274C70">
        <w:rPr>
          <w:lang w:val="en-US"/>
        </w:rPr>
        <w:tab/>
        <w:t xml:space="preserve">U.S. Department of Health, Education, and Welfare. Smoking and Health: Report of the Advisory Committee to the Surgeon General of the Public Health Service [Internet]. Washington, DC: U.S. Department of Health, Education,; Welfare, Public Health Service; 1964. </w:t>
      </w:r>
      <w:r>
        <w:t xml:space="preserve">Report No.: 1103. Disponível em: </w:t>
      </w:r>
      <w:hyperlink r:id="rId35">
        <w:r>
          <w:rPr>
            <w:rStyle w:val="Hyperlink"/>
          </w:rPr>
          <w:t>https://collections.nlm.nih.gov/ext/document/101584932X202/PDF/101584932X202.pdf</w:t>
        </w:r>
      </w:hyperlink>
    </w:p>
    <w:p w14:paraId="4A2E226D" w14:textId="77777777" w:rsidR="00C34FD2" w:rsidRPr="00274C70" w:rsidRDefault="00000000">
      <w:pPr>
        <w:pStyle w:val="Bibliografia"/>
        <w:rPr>
          <w:lang w:val="en-US"/>
        </w:rPr>
      </w:pPr>
      <w:bookmarkStart w:id="199" w:name="ref-Hill1965Environment"/>
      <w:bookmarkEnd w:id="198"/>
      <w:r w:rsidRPr="00274C70">
        <w:rPr>
          <w:lang w:val="en-US"/>
        </w:rPr>
        <w:t xml:space="preserve">6. </w:t>
      </w:r>
      <w:r w:rsidRPr="00274C70">
        <w:rPr>
          <w:lang w:val="en-US"/>
        </w:rPr>
        <w:tab/>
        <w:t xml:space="preserve">Hill AB. </w:t>
      </w:r>
      <w:hyperlink r:id="rId36">
        <w:r w:rsidRPr="00274C70">
          <w:rPr>
            <w:rStyle w:val="Hyperlink"/>
            <w:lang w:val="en-US"/>
          </w:rPr>
          <w:t>The Environment and Disease: Association or Causation?</w:t>
        </w:r>
      </w:hyperlink>
      <w:r w:rsidRPr="00274C70">
        <w:rPr>
          <w:lang w:val="en-US"/>
        </w:rPr>
        <w:t xml:space="preserve"> Proceedings of the Royal Society of Medicine. 1965;58(5):295–300. </w:t>
      </w:r>
    </w:p>
    <w:p w14:paraId="66EB8743" w14:textId="77777777" w:rsidR="00C34FD2" w:rsidRPr="00274C70" w:rsidRDefault="00000000">
      <w:pPr>
        <w:pStyle w:val="Bibliografia"/>
        <w:rPr>
          <w:lang w:val="en-US"/>
        </w:rPr>
      </w:pPr>
      <w:bookmarkStart w:id="200" w:name="ref-Rothman1976Causes"/>
      <w:bookmarkEnd w:id="199"/>
      <w:r w:rsidRPr="00274C70">
        <w:rPr>
          <w:lang w:val="en-US"/>
        </w:rPr>
        <w:t xml:space="preserve">7. </w:t>
      </w:r>
      <w:r w:rsidRPr="00274C70">
        <w:rPr>
          <w:lang w:val="en-US"/>
        </w:rPr>
        <w:tab/>
        <w:t xml:space="preserve">Rothman KJ. </w:t>
      </w:r>
      <w:hyperlink r:id="rId37">
        <w:r w:rsidRPr="00274C70">
          <w:rPr>
            <w:rStyle w:val="Hyperlink"/>
            <w:lang w:val="en-US"/>
          </w:rPr>
          <w:t>Causes</w:t>
        </w:r>
      </w:hyperlink>
      <w:r w:rsidRPr="00274C70">
        <w:rPr>
          <w:lang w:val="en-US"/>
        </w:rPr>
        <w:t xml:space="preserve">. American Journal of Epidemiology. 1976;104(6):587–92. </w:t>
      </w:r>
    </w:p>
    <w:p w14:paraId="74B1031B" w14:textId="77777777" w:rsidR="00C34FD2" w:rsidRPr="00274C70" w:rsidRDefault="00000000">
      <w:pPr>
        <w:pStyle w:val="Bibliografia"/>
        <w:rPr>
          <w:lang w:val="en-US"/>
        </w:rPr>
      </w:pPr>
      <w:bookmarkStart w:id="201" w:name="ref-Suzuki2021Strength"/>
      <w:bookmarkEnd w:id="200"/>
      <w:r w:rsidRPr="00274C70">
        <w:rPr>
          <w:lang w:val="en-US"/>
        </w:rPr>
        <w:t xml:space="preserve">8. </w:t>
      </w:r>
      <w:r w:rsidRPr="00274C70">
        <w:rPr>
          <w:lang w:val="en-US"/>
        </w:rPr>
        <w:tab/>
        <w:t xml:space="preserve">Suzuki E, Yamamoto E. </w:t>
      </w:r>
      <w:hyperlink r:id="rId38">
        <w:r w:rsidRPr="00274C70">
          <w:rPr>
            <w:rStyle w:val="Hyperlink"/>
            <w:lang w:val="en-US"/>
          </w:rPr>
          <w:t>Strength in Causality: Discerning Causal Mechanisms in the Sufficient Cause Model</w:t>
        </w:r>
      </w:hyperlink>
      <w:r w:rsidRPr="00274C70">
        <w:rPr>
          <w:lang w:val="en-US"/>
        </w:rPr>
        <w:t xml:space="preserve">. European Journal of Epidemiology. 2021;36(9):899–908. </w:t>
      </w:r>
    </w:p>
    <w:p w14:paraId="45D126FB" w14:textId="77777777" w:rsidR="00C34FD2" w:rsidRPr="00274C70" w:rsidRDefault="00000000">
      <w:pPr>
        <w:pStyle w:val="Bibliografia"/>
        <w:rPr>
          <w:lang w:val="en-US"/>
        </w:rPr>
      </w:pPr>
      <w:bookmarkStart w:id="202" w:name="ref-Greenland1986Identifiability"/>
      <w:bookmarkEnd w:id="201"/>
      <w:r w:rsidRPr="00274C70">
        <w:rPr>
          <w:lang w:val="en-US"/>
        </w:rPr>
        <w:t xml:space="preserve">9. </w:t>
      </w:r>
      <w:r w:rsidRPr="00274C70">
        <w:rPr>
          <w:lang w:val="en-US"/>
        </w:rPr>
        <w:tab/>
        <w:t xml:space="preserve">Greenland S, Robins JM. </w:t>
      </w:r>
      <w:hyperlink r:id="rId39">
        <w:r w:rsidRPr="00274C70">
          <w:rPr>
            <w:rStyle w:val="Hyperlink"/>
            <w:lang w:val="en-US"/>
          </w:rPr>
          <w:t>Identifiability, Exchangeability, and Epidemiological Confounding</w:t>
        </w:r>
      </w:hyperlink>
      <w:r w:rsidRPr="00274C70">
        <w:rPr>
          <w:lang w:val="en-US"/>
        </w:rPr>
        <w:t xml:space="preserve">. International Journal of Epidemiology. 1986;15(3):413–9. </w:t>
      </w:r>
    </w:p>
    <w:p w14:paraId="03D154E9" w14:textId="77777777" w:rsidR="00C34FD2" w:rsidRPr="00274C70" w:rsidRDefault="00000000">
      <w:pPr>
        <w:pStyle w:val="Bibliografia"/>
        <w:rPr>
          <w:lang w:val="en-US"/>
        </w:rPr>
      </w:pPr>
      <w:bookmarkStart w:id="203" w:name="ref-Byeon2023DAGs"/>
      <w:bookmarkEnd w:id="202"/>
      <w:r w:rsidRPr="00274C70">
        <w:rPr>
          <w:lang w:val="en-US"/>
        </w:rPr>
        <w:t xml:space="preserve">10. </w:t>
      </w:r>
      <w:r w:rsidRPr="00274C70">
        <w:rPr>
          <w:lang w:val="en-US"/>
        </w:rPr>
        <w:tab/>
        <w:t xml:space="preserve">Byeon S, Lee W. </w:t>
      </w:r>
      <w:hyperlink r:id="rId40">
        <w:r w:rsidRPr="00274C70">
          <w:rPr>
            <w:rStyle w:val="Hyperlink"/>
            <w:lang w:val="en-US"/>
          </w:rPr>
          <w:t>Directed Acyclic Graphs for Clinical Research: A Tutorial</w:t>
        </w:r>
      </w:hyperlink>
      <w:r w:rsidRPr="00274C70">
        <w:rPr>
          <w:lang w:val="en-US"/>
        </w:rPr>
        <w:t xml:space="preserve">. Journal of Minimally Invasive Surgery. 2023;26(3):97–107. </w:t>
      </w:r>
    </w:p>
    <w:p w14:paraId="10B32D70" w14:textId="77777777" w:rsidR="00C34FD2" w:rsidRPr="00274C70" w:rsidRDefault="00000000">
      <w:pPr>
        <w:pStyle w:val="Bibliografia"/>
        <w:rPr>
          <w:lang w:val="en-US"/>
        </w:rPr>
      </w:pPr>
      <w:bookmarkStart w:id="204" w:name="ref-VanderWeele2008Direction"/>
      <w:bookmarkEnd w:id="203"/>
      <w:r w:rsidRPr="00274C70">
        <w:rPr>
          <w:lang w:val="en-US"/>
        </w:rPr>
        <w:t xml:space="preserve">11. </w:t>
      </w:r>
      <w:r w:rsidRPr="00274C70">
        <w:rPr>
          <w:lang w:val="en-US"/>
        </w:rPr>
        <w:tab/>
        <w:t xml:space="preserve">VanderWeele TJ, Hernán MA, Robins JM. </w:t>
      </w:r>
      <w:hyperlink r:id="rId41">
        <w:r w:rsidRPr="00274C70">
          <w:rPr>
            <w:rStyle w:val="Hyperlink"/>
            <w:lang w:val="en-US"/>
          </w:rPr>
          <w:t>Causal Directed Acyclic Graphs and the Direction of Unmeasured Confounding Bias</w:t>
        </w:r>
      </w:hyperlink>
      <w:r w:rsidRPr="00274C70">
        <w:rPr>
          <w:lang w:val="en-US"/>
        </w:rPr>
        <w:t xml:space="preserve">. Epidemiology. 2008;19(5):720–8. </w:t>
      </w:r>
    </w:p>
    <w:p w14:paraId="44E2DD68" w14:textId="77777777" w:rsidR="00C34FD2" w:rsidRPr="00274C70" w:rsidRDefault="00000000">
      <w:pPr>
        <w:pStyle w:val="Bibliografia"/>
        <w:rPr>
          <w:lang w:val="en-US"/>
        </w:rPr>
      </w:pPr>
      <w:bookmarkStart w:id="205" w:name="ref-Hernan2016TargetTrial"/>
      <w:bookmarkEnd w:id="204"/>
      <w:r w:rsidRPr="00274C70">
        <w:rPr>
          <w:lang w:val="en-US"/>
        </w:rPr>
        <w:lastRenderedPageBreak/>
        <w:t xml:space="preserve">12. </w:t>
      </w:r>
      <w:r w:rsidRPr="00274C70">
        <w:rPr>
          <w:lang w:val="en-US"/>
        </w:rPr>
        <w:tab/>
        <w:t xml:space="preserve">Hernán MA, Robins JM. </w:t>
      </w:r>
      <w:hyperlink r:id="rId42">
        <w:r w:rsidRPr="00274C70">
          <w:rPr>
            <w:rStyle w:val="Hyperlink"/>
            <w:lang w:val="en-US"/>
          </w:rPr>
          <w:t>Using Big Data to Emulate a Target Trial When a Randomized Trial Is Not Available</w:t>
        </w:r>
      </w:hyperlink>
      <w:r w:rsidRPr="00274C70">
        <w:rPr>
          <w:lang w:val="en-US"/>
        </w:rPr>
        <w:t xml:space="preserve">. American Journal of Epidemiology. 2016;183(8):758–64. </w:t>
      </w:r>
    </w:p>
    <w:p w14:paraId="4E54AFB4" w14:textId="77777777" w:rsidR="00C34FD2" w:rsidRPr="00274C70" w:rsidRDefault="00000000">
      <w:pPr>
        <w:pStyle w:val="Bibliografia"/>
        <w:rPr>
          <w:lang w:val="en-US"/>
        </w:rPr>
      </w:pPr>
      <w:bookmarkStart w:id="206" w:name="ref-Shimonovich2021Assessing"/>
      <w:bookmarkEnd w:id="205"/>
      <w:r w:rsidRPr="00274C70">
        <w:rPr>
          <w:lang w:val="en-US"/>
        </w:rPr>
        <w:t xml:space="preserve">13. </w:t>
      </w:r>
      <w:r w:rsidRPr="00274C70">
        <w:rPr>
          <w:lang w:val="en-US"/>
        </w:rPr>
        <w:tab/>
        <w:t xml:space="preserve">Shimonovich M, Pearce A, Thomson H, Keyes K, Katikireddi SV. </w:t>
      </w:r>
      <w:hyperlink r:id="rId43">
        <w:r w:rsidRPr="00274C70">
          <w:rPr>
            <w:rStyle w:val="Hyperlink"/>
            <w:lang w:val="en-US"/>
          </w:rPr>
          <w:t>Assessing Causality in Epidemiology: Revisiting Bradford Hill to Incorporate Developments in Causal Thinking</w:t>
        </w:r>
      </w:hyperlink>
      <w:r w:rsidRPr="00274C70">
        <w:rPr>
          <w:lang w:val="en-US"/>
        </w:rPr>
        <w:t xml:space="preserve">. European Journal of Epidemiology. 2021;36(9):873–87. </w:t>
      </w:r>
    </w:p>
    <w:p w14:paraId="21E56CD3" w14:textId="77777777" w:rsidR="00C34FD2" w:rsidRPr="00274C70" w:rsidRDefault="00000000">
      <w:pPr>
        <w:pStyle w:val="Bibliografia"/>
        <w:rPr>
          <w:lang w:val="en-US"/>
        </w:rPr>
      </w:pPr>
      <w:bookmarkStart w:id="207" w:name="ref-Lesko2025Evolved"/>
      <w:bookmarkEnd w:id="206"/>
      <w:r w:rsidRPr="00274C70">
        <w:rPr>
          <w:lang w:val="en-US"/>
        </w:rPr>
        <w:t xml:space="preserve">14. </w:t>
      </w:r>
      <w:r w:rsidRPr="00274C70">
        <w:rPr>
          <w:lang w:val="en-US"/>
        </w:rPr>
        <w:tab/>
        <w:t xml:space="preserve">Lesko CR, Fox MP. </w:t>
      </w:r>
      <w:hyperlink r:id="rId44">
        <w:r w:rsidRPr="00274C70">
          <w:rPr>
            <w:rStyle w:val="Hyperlink"/>
            <w:lang w:val="en-US"/>
          </w:rPr>
          <w:t>An Evolved Interpretation of Austin Bradford Hill’s Causal Viewpoints and Their Influence on Epidemiologic Methods</w:t>
        </w:r>
      </w:hyperlink>
      <w:r w:rsidRPr="00274C70">
        <w:rPr>
          <w:lang w:val="en-US"/>
        </w:rPr>
        <w:t xml:space="preserve">. American Journal of Epidemiology. 2025;194(6):1476–81. </w:t>
      </w:r>
    </w:p>
    <w:p w14:paraId="798CABB9" w14:textId="77777777" w:rsidR="00C34FD2" w:rsidRPr="00274C70" w:rsidRDefault="00000000">
      <w:pPr>
        <w:pStyle w:val="Bibliografia"/>
        <w:rPr>
          <w:lang w:val="en-US"/>
        </w:rPr>
      </w:pPr>
      <w:bookmarkStart w:id="208" w:name="ref-VanderWeele2017Evalue"/>
      <w:bookmarkEnd w:id="207"/>
      <w:r w:rsidRPr="00274C70">
        <w:rPr>
          <w:lang w:val="en-US"/>
        </w:rPr>
        <w:t xml:space="preserve">15. </w:t>
      </w:r>
      <w:r w:rsidRPr="00274C70">
        <w:rPr>
          <w:lang w:val="en-US"/>
        </w:rPr>
        <w:tab/>
        <w:t xml:space="preserve">VanderWeele TJ, Ding P. </w:t>
      </w:r>
      <w:hyperlink r:id="rId45">
        <w:r w:rsidRPr="00274C70">
          <w:rPr>
            <w:rStyle w:val="Hyperlink"/>
            <w:lang w:val="en-US"/>
          </w:rPr>
          <w:t>Sensitivity Analysis in Observational Research: Introducing the E-Value</w:t>
        </w:r>
      </w:hyperlink>
      <w:r w:rsidRPr="00274C70">
        <w:rPr>
          <w:lang w:val="en-US"/>
        </w:rPr>
        <w:t xml:space="preserve">. Annals of Internal Medicine. 2017;167(4):268–74. </w:t>
      </w:r>
    </w:p>
    <w:p w14:paraId="24A4C694" w14:textId="77777777" w:rsidR="00C34FD2" w:rsidRPr="00274C70" w:rsidRDefault="00000000">
      <w:pPr>
        <w:pStyle w:val="Bibliografia"/>
        <w:rPr>
          <w:lang w:val="en-US"/>
        </w:rPr>
      </w:pPr>
      <w:bookmarkStart w:id="209" w:name="ref-Ioannidis2016ExposureWide"/>
      <w:bookmarkEnd w:id="208"/>
      <w:r w:rsidRPr="00274C70">
        <w:rPr>
          <w:lang w:val="en-US"/>
        </w:rPr>
        <w:t xml:space="preserve">16. </w:t>
      </w:r>
      <w:r w:rsidRPr="00274C70">
        <w:rPr>
          <w:lang w:val="en-US"/>
        </w:rPr>
        <w:tab/>
        <w:t xml:space="preserve">Ioannidis JPA. </w:t>
      </w:r>
      <w:hyperlink r:id="rId46">
        <w:r w:rsidRPr="00274C70">
          <w:rPr>
            <w:rStyle w:val="Hyperlink"/>
            <w:lang w:val="en-US"/>
          </w:rPr>
          <w:t>Exposure-Wide Epidemiology: Revisiting Bradford Hill</w:t>
        </w:r>
      </w:hyperlink>
      <w:r w:rsidRPr="00274C70">
        <w:rPr>
          <w:lang w:val="en-US"/>
        </w:rPr>
        <w:t xml:space="preserve">. Statistics in Medicine. 2016;35(11):1749–62. </w:t>
      </w:r>
    </w:p>
    <w:p w14:paraId="6062E4AB" w14:textId="77777777" w:rsidR="00C34FD2" w:rsidRPr="00274C70" w:rsidRDefault="00000000">
      <w:pPr>
        <w:pStyle w:val="Bibliografia"/>
        <w:rPr>
          <w:lang w:val="en-US"/>
        </w:rPr>
      </w:pPr>
      <w:bookmarkStart w:id="210" w:name="ref-Schunemann2011GRADE"/>
      <w:bookmarkEnd w:id="209"/>
      <w:r w:rsidRPr="00274C70">
        <w:rPr>
          <w:lang w:val="en-US"/>
        </w:rPr>
        <w:t xml:space="preserve">17. </w:t>
      </w:r>
      <w:r w:rsidRPr="00274C70">
        <w:rPr>
          <w:lang w:val="en-US"/>
        </w:rPr>
        <w:tab/>
        <w:t xml:space="preserve">Schünemann H, Hill S, Guyatt G, Akl EA, Ahmed F. </w:t>
      </w:r>
      <w:hyperlink r:id="rId47">
        <w:r w:rsidRPr="00274C70">
          <w:rPr>
            <w:rStyle w:val="Hyperlink"/>
            <w:lang w:val="en-US"/>
          </w:rPr>
          <w:t>The GRADE Approach and Bradford Hill’s Criteria for Causation</w:t>
        </w:r>
      </w:hyperlink>
      <w:r w:rsidRPr="00274C70">
        <w:rPr>
          <w:lang w:val="en-US"/>
        </w:rPr>
        <w:t xml:space="preserve">. Journal of Epidemiology and Community Health. 2011;65(5):392–5. </w:t>
      </w:r>
    </w:p>
    <w:p w14:paraId="4CEB6A35" w14:textId="77777777" w:rsidR="00C34FD2" w:rsidRPr="00274C70" w:rsidRDefault="00000000">
      <w:pPr>
        <w:pStyle w:val="Bibliografia"/>
        <w:rPr>
          <w:lang w:val="en-US"/>
        </w:rPr>
      </w:pPr>
      <w:bookmarkStart w:id="211" w:name="ref-Olsen2019Revision"/>
      <w:bookmarkEnd w:id="210"/>
      <w:r w:rsidRPr="00274C70">
        <w:rPr>
          <w:lang w:val="en-US"/>
        </w:rPr>
        <w:t xml:space="preserve">18. </w:t>
      </w:r>
      <w:r w:rsidRPr="00274C70">
        <w:rPr>
          <w:lang w:val="en-US"/>
        </w:rPr>
        <w:tab/>
        <w:t xml:space="preserve">Olsen J, Jensen UJ. </w:t>
      </w:r>
      <w:hyperlink r:id="rId48">
        <w:r w:rsidRPr="00274C70">
          <w:rPr>
            <w:rStyle w:val="Hyperlink"/>
            <w:lang w:val="en-US"/>
          </w:rPr>
          <w:t>Causal Criteria: Time Has Come for a Revision</w:t>
        </w:r>
      </w:hyperlink>
      <w:r w:rsidRPr="00274C70">
        <w:rPr>
          <w:lang w:val="en-US"/>
        </w:rPr>
        <w:t xml:space="preserve">. European Journal of Epidemiology. 2019;34(6):537–41. </w:t>
      </w:r>
    </w:p>
    <w:p w14:paraId="7E565748" w14:textId="77777777" w:rsidR="00C34FD2" w:rsidRPr="00274C70" w:rsidRDefault="00000000">
      <w:pPr>
        <w:pStyle w:val="Bibliografia"/>
        <w:rPr>
          <w:lang w:val="en-US"/>
        </w:rPr>
      </w:pPr>
      <w:bookmarkStart w:id="212" w:name="ref-Cox2018Modernizing"/>
      <w:bookmarkEnd w:id="211"/>
      <w:r w:rsidRPr="00274C70">
        <w:rPr>
          <w:lang w:val="en-US"/>
        </w:rPr>
        <w:t xml:space="preserve">19. </w:t>
      </w:r>
      <w:r w:rsidRPr="00274C70">
        <w:rPr>
          <w:lang w:val="en-US"/>
        </w:rPr>
        <w:tab/>
        <w:t xml:space="preserve">Cox LA. </w:t>
      </w:r>
      <w:hyperlink r:id="rId49">
        <w:r w:rsidRPr="00274C70">
          <w:rPr>
            <w:rStyle w:val="Hyperlink"/>
            <w:lang w:val="en-US"/>
          </w:rPr>
          <w:t>Modernizing the Bradford Hill Criteria for Assessing Causal Relationships in Observational Data</w:t>
        </w:r>
      </w:hyperlink>
      <w:r w:rsidRPr="00274C70">
        <w:rPr>
          <w:lang w:val="en-US"/>
        </w:rPr>
        <w:t xml:space="preserve">. Critical Reviews in Toxicology. 2018;48(8):682–712. </w:t>
      </w:r>
    </w:p>
    <w:p w14:paraId="515F51CD" w14:textId="77777777" w:rsidR="00C34FD2" w:rsidRPr="00274C70" w:rsidRDefault="00000000">
      <w:pPr>
        <w:pStyle w:val="Bibliografia"/>
        <w:rPr>
          <w:lang w:val="en-US"/>
        </w:rPr>
      </w:pPr>
      <w:bookmarkStart w:id="213" w:name="ref-Frank2025RFEMF"/>
      <w:bookmarkEnd w:id="212"/>
      <w:r w:rsidRPr="00274C70">
        <w:rPr>
          <w:lang w:val="en-US"/>
        </w:rPr>
        <w:t xml:space="preserve">20. </w:t>
      </w:r>
      <w:r w:rsidRPr="00274C70">
        <w:rPr>
          <w:lang w:val="en-US"/>
        </w:rPr>
        <w:tab/>
        <w:t xml:space="preserve">Frank JW. </w:t>
      </w:r>
      <w:hyperlink r:id="rId50">
        <w:r w:rsidRPr="00274C70">
          <w:rPr>
            <w:rStyle w:val="Hyperlink"/>
            <w:lang w:val="en-US"/>
          </w:rPr>
          <w:t>Epidemiological Criteria for Causation Applied to Human Health Harms From RF-EMF Exposure: Bradford Hill Revisited</w:t>
        </w:r>
      </w:hyperlink>
      <w:r w:rsidRPr="00274C70">
        <w:rPr>
          <w:lang w:val="en-US"/>
        </w:rPr>
        <w:t xml:space="preserve">. Frontiers in Public Health. 2025;13:1559868. </w:t>
      </w:r>
    </w:p>
    <w:p w14:paraId="50D20DD9" w14:textId="77777777" w:rsidR="00C34FD2" w:rsidRPr="00274C70" w:rsidRDefault="00000000">
      <w:pPr>
        <w:pStyle w:val="Bibliografia"/>
        <w:rPr>
          <w:lang w:val="en-US"/>
        </w:rPr>
      </w:pPr>
      <w:bookmarkStart w:id="214" w:name="ref-Shakir2002Pharmacovigilance"/>
      <w:bookmarkEnd w:id="213"/>
      <w:r w:rsidRPr="00274C70">
        <w:rPr>
          <w:lang w:val="en-US"/>
        </w:rPr>
        <w:t xml:space="preserve">21. </w:t>
      </w:r>
      <w:r w:rsidRPr="00274C70">
        <w:rPr>
          <w:lang w:val="en-US"/>
        </w:rPr>
        <w:tab/>
        <w:t xml:space="preserve">Shakir SAW, Layton D. </w:t>
      </w:r>
      <w:hyperlink r:id="rId51">
        <w:r w:rsidRPr="00274C70">
          <w:rPr>
            <w:rStyle w:val="Hyperlink"/>
            <w:lang w:val="en-US"/>
          </w:rPr>
          <w:t>Causal Association in Pharmacovigilance and Pharmacoepidemiology: Thoughts on the Application of the Austin Bradford-Hill Criteria</w:t>
        </w:r>
      </w:hyperlink>
      <w:r w:rsidRPr="00274C70">
        <w:rPr>
          <w:lang w:val="en-US"/>
        </w:rPr>
        <w:t xml:space="preserve">. Drug Safety. 2002;25(6):467–71. </w:t>
      </w:r>
    </w:p>
    <w:p w14:paraId="256A18A6" w14:textId="77777777" w:rsidR="00C34FD2" w:rsidRPr="00274C70" w:rsidRDefault="00000000">
      <w:pPr>
        <w:pStyle w:val="Bibliografia"/>
        <w:rPr>
          <w:lang w:val="en-US"/>
        </w:rPr>
      </w:pPr>
      <w:bookmarkStart w:id="215" w:name="ref-Gvozdenovic2021Vaccine"/>
      <w:bookmarkEnd w:id="214"/>
      <w:r w:rsidRPr="00274C70">
        <w:rPr>
          <w:lang w:val="en-US"/>
        </w:rPr>
        <w:t xml:space="preserve">22. </w:t>
      </w:r>
      <w:r w:rsidRPr="00274C70">
        <w:rPr>
          <w:lang w:val="en-US"/>
        </w:rPr>
        <w:tab/>
        <w:t xml:space="preserve">Gvozdenović E, Malvisi L, Cinconze E, Vansteelandt S, Nakanwagi P, Aris E, et al. </w:t>
      </w:r>
      <w:hyperlink r:id="rId52">
        <w:r w:rsidRPr="00274C70">
          <w:rPr>
            <w:rStyle w:val="Hyperlink"/>
            <w:lang w:val="en-US"/>
          </w:rPr>
          <w:t>Causal Inference Concepts Applied to Three Observational Studies in the Context of Vaccine Development: From Theory to Practice</w:t>
        </w:r>
      </w:hyperlink>
      <w:r w:rsidRPr="00274C70">
        <w:rPr>
          <w:lang w:val="en-US"/>
        </w:rPr>
        <w:t xml:space="preserve">. BMC Medical Research Methodology. 2021;21(1):35. </w:t>
      </w:r>
    </w:p>
    <w:p w14:paraId="72405179" w14:textId="77777777" w:rsidR="00C34FD2" w:rsidRPr="00274C70" w:rsidRDefault="00000000">
      <w:pPr>
        <w:pStyle w:val="Bibliografia"/>
        <w:rPr>
          <w:lang w:val="en-US"/>
        </w:rPr>
      </w:pPr>
      <w:bookmarkStart w:id="216" w:name="ref-Stampfer1985Prospective"/>
      <w:bookmarkEnd w:id="215"/>
      <w:r w:rsidRPr="00274C70">
        <w:rPr>
          <w:lang w:val="en-US"/>
        </w:rPr>
        <w:t xml:space="preserve">23. </w:t>
      </w:r>
      <w:r w:rsidRPr="00274C70">
        <w:rPr>
          <w:lang w:val="en-US"/>
        </w:rPr>
        <w:tab/>
        <w:t xml:space="preserve">Stampfer MJ, Willett WC, Colditz GA, Rosner B, Speizer FE, Hennekens CH. </w:t>
      </w:r>
      <w:hyperlink r:id="rId53">
        <w:r w:rsidRPr="00274C70">
          <w:rPr>
            <w:rStyle w:val="Hyperlink"/>
            <w:lang w:val="en-US"/>
          </w:rPr>
          <w:t>A Prospective Study of Postmenopausal Estrogen Therapy and Coronary Heart Disease</w:t>
        </w:r>
      </w:hyperlink>
      <w:r w:rsidRPr="00274C70">
        <w:rPr>
          <w:lang w:val="en-US"/>
        </w:rPr>
        <w:t xml:space="preserve">. New England Journal of Medicine. 1985;313(17):1044–9. </w:t>
      </w:r>
    </w:p>
    <w:p w14:paraId="28827F80" w14:textId="77777777" w:rsidR="00C34FD2" w:rsidRPr="00274C70" w:rsidRDefault="00000000">
      <w:pPr>
        <w:pStyle w:val="Bibliografia"/>
        <w:rPr>
          <w:lang w:val="en-US"/>
        </w:rPr>
      </w:pPr>
      <w:bookmarkStart w:id="217" w:name="ref-Stampfer1991Postmenopausal"/>
      <w:bookmarkEnd w:id="216"/>
      <w:r w:rsidRPr="00274C70">
        <w:rPr>
          <w:lang w:val="en-US"/>
        </w:rPr>
        <w:t xml:space="preserve">24. </w:t>
      </w:r>
      <w:r w:rsidRPr="00274C70">
        <w:rPr>
          <w:lang w:val="en-US"/>
        </w:rPr>
        <w:tab/>
        <w:t xml:space="preserve">Stampfer MJ, Colditz GA, Willett WC, Manson JE, Rosner B, Speizer FE, et al. </w:t>
      </w:r>
      <w:hyperlink r:id="rId54">
        <w:r w:rsidRPr="00274C70">
          <w:rPr>
            <w:rStyle w:val="Hyperlink"/>
            <w:lang w:val="en-US"/>
          </w:rPr>
          <w:t xml:space="preserve">Postmenopausal Estrogen Therapy and Cardiovascular Disease: Ten-Year Follow-Up </w:t>
        </w:r>
        <w:r w:rsidRPr="00274C70">
          <w:rPr>
            <w:rStyle w:val="Hyperlink"/>
            <w:lang w:val="en-US"/>
          </w:rPr>
          <w:lastRenderedPageBreak/>
          <w:t>From the Nurses’ Health Study</w:t>
        </w:r>
      </w:hyperlink>
      <w:r w:rsidRPr="00274C70">
        <w:rPr>
          <w:lang w:val="en-US"/>
        </w:rPr>
        <w:t xml:space="preserve">. New England Journal of Medicine. 1991;325(11):756–62. </w:t>
      </w:r>
    </w:p>
    <w:p w14:paraId="31622499" w14:textId="77777777" w:rsidR="00C34FD2" w:rsidRPr="00274C70" w:rsidRDefault="00000000">
      <w:pPr>
        <w:pStyle w:val="Bibliografia"/>
        <w:rPr>
          <w:lang w:val="en-US"/>
        </w:rPr>
      </w:pPr>
      <w:bookmarkStart w:id="218" w:name="ref-Hulley1998HERS"/>
      <w:bookmarkEnd w:id="217"/>
      <w:r w:rsidRPr="00274C70">
        <w:rPr>
          <w:lang w:val="en-US"/>
        </w:rPr>
        <w:t xml:space="preserve">25. </w:t>
      </w:r>
      <w:r w:rsidRPr="00274C70">
        <w:rPr>
          <w:lang w:val="en-US"/>
        </w:rPr>
        <w:tab/>
        <w:t xml:space="preserve">Hulley S, Grady D, Bush T, Furberg C, Herrington D, Riggs B, et al. </w:t>
      </w:r>
      <w:hyperlink r:id="rId55">
        <w:r w:rsidRPr="00274C70">
          <w:rPr>
            <w:rStyle w:val="Hyperlink"/>
            <w:lang w:val="en-US"/>
          </w:rPr>
          <w:t>Randomized Trial of Estrogen Plus Progestin for Secondary Prevention of Coronary Heart Disease in Postmenopausal Women: Heart and Estrogen/progestin Replacement Study (HERS)</w:t>
        </w:r>
      </w:hyperlink>
      <w:r w:rsidRPr="00274C70">
        <w:rPr>
          <w:lang w:val="en-US"/>
        </w:rPr>
        <w:t xml:space="preserve">. JAMA. 1998;280(7):605–13. </w:t>
      </w:r>
    </w:p>
    <w:p w14:paraId="1D22C5EB" w14:textId="77777777" w:rsidR="00C34FD2" w:rsidRPr="00274C70" w:rsidRDefault="00000000">
      <w:pPr>
        <w:pStyle w:val="Bibliografia"/>
        <w:rPr>
          <w:lang w:val="en-US"/>
        </w:rPr>
      </w:pPr>
      <w:bookmarkStart w:id="219" w:name="ref-Rossouw2002WHI"/>
      <w:bookmarkEnd w:id="218"/>
      <w:r w:rsidRPr="00274C70">
        <w:rPr>
          <w:lang w:val="en-US"/>
        </w:rPr>
        <w:t xml:space="preserve">26. </w:t>
      </w:r>
      <w:r w:rsidRPr="00274C70">
        <w:rPr>
          <w:lang w:val="en-US"/>
        </w:rPr>
        <w:tab/>
        <w:t xml:space="preserve">Rossouw JE, Anderson GL, Prentice RL, LaCroix AZ, Kooperberg C, Stefanick ML, et al. </w:t>
      </w:r>
      <w:hyperlink r:id="rId56">
        <w:r w:rsidRPr="00274C70">
          <w:rPr>
            <w:rStyle w:val="Hyperlink"/>
            <w:lang w:val="en-US"/>
          </w:rPr>
          <w:t>Risks and Benefits of Estrogen Plus Progestin in Healthy Postmenopausal Women: Principal Results From the Women’s Health Initiative Randomized Controlled Trial</w:t>
        </w:r>
      </w:hyperlink>
      <w:r w:rsidRPr="00274C70">
        <w:rPr>
          <w:lang w:val="en-US"/>
        </w:rPr>
        <w:t xml:space="preserve">. JAMA. 2002;288(3):321–33. </w:t>
      </w:r>
    </w:p>
    <w:p w14:paraId="5A0F9505" w14:textId="77777777" w:rsidR="00C34FD2" w:rsidRPr="00274C70" w:rsidRDefault="00000000">
      <w:pPr>
        <w:pStyle w:val="Bibliografia"/>
        <w:rPr>
          <w:lang w:val="en-US"/>
        </w:rPr>
      </w:pPr>
      <w:bookmarkStart w:id="220" w:name="ref-Manson2013WHIExtended"/>
      <w:bookmarkEnd w:id="219"/>
      <w:r w:rsidRPr="00274C70">
        <w:rPr>
          <w:lang w:val="en-US"/>
        </w:rPr>
        <w:t xml:space="preserve">27. </w:t>
      </w:r>
      <w:r w:rsidRPr="00274C70">
        <w:rPr>
          <w:lang w:val="en-US"/>
        </w:rPr>
        <w:tab/>
        <w:t xml:space="preserve">Manson JE, Chlebowski RT, Stefanick ML, Aragaki AK, Rossouw JE, Prentice RL, et al. </w:t>
      </w:r>
      <w:hyperlink r:id="rId57">
        <w:r w:rsidRPr="00274C70">
          <w:rPr>
            <w:rStyle w:val="Hyperlink"/>
            <w:lang w:val="en-US"/>
          </w:rPr>
          <w:t>Menopausal Hormone Therapy and Health Outcomes During the Intervention and Extended Poststopping Phases of the Women’s Health Initiative Randomized Trials</w:t>
        </w:r>
      </w:hyperlink>
      <w:r w:rsidRPr="00274C70">
        <w:rPr>
          <w:lang w:val="en-US"/>
        </w:rPr>
        <w:t xml:space="preserve">. JAMA. 2013;310(13):1353–68. </w:t>
      </w:r>
    </w:p>
    <w:p w14:paraId="22D4DA0D" w14:textId="77777777" w:rsidR="00C34FD2" w:rsidRPr="00274C70" w:rsidRDefault="00000000">
      <w:pPr>
        <w:pStyle w:val="Bibliografia"/>
        <w:rPr>
          <w:lang w:val="en-US"/>
        </w:rPr>
      </w:pPr>
      <w:bookmarkStart w:id="221" w:name="ref-Manson2017WHIMortality"/>
      <w:bookmarkEnd w:id="220"/>
      <w:r w:rsidRPr="00274C70">
        <w:rPr>
          <w:lang w:val="en-US"/>
        </w:rPr>
        <w:t xml:space="preserve">28. </w:t>
      </w:r>
      <w:r w:rsidRPr="00274C70">
        <w:rPr>
          <w:lang w:val="en-US"/>
        </w:rPr>
        <w:tab/>
        <w:t xml:space="preserve">Manson JE, Aragaki AK, Rossouw JE, Anderson GL, Prentice RL, LaCroix AZ, et al. </w:t>
      </w:r>
      <w:hyperlink r:id="rId58">
        <w:r w:rsidRPr="00274C70">
          <w:rPr>
            <w:rStyle w:val="Hyperlink"/>
            <w:lang w:val="en-US"/>
          </w:rPr>
          <w:t>Menopausal Hormone Therapy and Long-term All-Cause and Cause-Specific Mortality: The Women’s Health Initiative Randomized Trials</w:t>
        </w:r>
      </w:hyperlink>
      <w:r w:rsidRPr="00274C70">
        <w:rPr>
          <w:lang w:val="en-US"/>
        </w:rPr>
        <w:t xml:space="preserve">. JAMA. 2017;318(10):927–38. </w:t>
      </w:r>
    </w:p>
    <w:p w14:paraId="5ABDFA84" w14:textId="77777777" w:rsidR="00C34FD2" w:rsidRPr="00274C70" w:rsidRDefault="00000000">
      <w:pPr>
        <w:pStyle w:val="Bibliografia"/>
        <w:rPr>
          <w:lang w:val="en-US"/>
        </w:rPr>
      </w:pPr>
      <w:bookmarkStart w:id="222" w:name="ref-Stampfer1993VitaminEWomen"/>
      <w:bookmarkEnd w:id="221"/>
      <w:r w:rsidRPr="00274C70">
        <w:rPr>
          <w:lang w:val="en-US"/>
        </w:rPr>
        <w:t xml:space="preserve">29. </w:t>
      </w:r>
      <w:r w:rsidRPr="00274C70">
        <w:rPr>
          <w:lang w:val="en-US"/>
        </w:rPr>
        <w:tab/>
        <w:t xml:space="preserve">Stampfer MJ, Hennekens CH, Manson JE, Colditz GA, Rosner B, Willett WC. </w:t>
      </w:r>
      <w:hyperlink r:id="rId59">
        <w:r w:rsidRPr="00274C70">
          <w:rPr>
            <w:rStyle w:val="Hyperlink"/>
            <w:lang w:val="en-US"/>
          </w:rPr>
          <w:t>Vitamin E Consumption and the Risk of Coronary Disease in Women</w:t>
        </w:r>
      </w:hyperlink>
      <w:r w:rsidRPr="00274C70">
        <w:rPr>
          <w:lang w:val="en-US"/>
        </w:rPr>
        <w:t xml:space="preserve">. New England Journal of Medicine. 1993;328(20):1444–9. </w:t>
      </w:r>
    </w:p>
    <w:p w14:paraId="454072F8" w14:textId="77777777" w:rsidR="00C34FD2" w:rsidRPr="00274C70" w:rsidRDefault="00000000">
      <w:pPr>
        <w:pStyle w:val="Bibliografia"/>
        <w:rPr>
          <w:lang w:val="en-US"/>
        </w:rPr>
      </w:pPr>
      <w:bookmarkStart w:id="223" w:name="ref-Rimm1993VitaminEMen"/>
      <w:bookmarkEnd w:id="222"/>
      <w:r w:rsidRPr="00274C70">
        <w:rPr>
          <w:lang w:val="en-US"/>
        </w:rPr>
        <w:t xml:space="preserve">30. </w:t>
      </w:r>
      <w:r w:rsidRPr="00274C70">
        <w:rPr>
          <w:lang w:val="en-US"/>
        </w:rPr>
        <w:tab/>
        <w:t xml:space="preserve">Rimm EB, Stampfer MJ, Ascherio A, Giovannucci E, Colditz GA, Willett WC. </w:t>
      </w:r>
      <w:hyperlink r:id="rId60">
        <w:r w:rsidRPr="00274C70">
          <w:rPr>
            <w:rStyle w:val="Hyperlink"/>
            <w:lang w:val="en-US"/>
          </w:rPr>
          <w:t>Vitamin E Consumption and the Risk of Coronary Heart Disease in Men</w:t>
        </w:r>
      </w:hyperlink>
      <w:r w:rsidRPr="00274C70">
        <w:rPr>
          <w:lang w:val="en-US"/>
        </w:rPr>
        <w:t xml:space="preserve">. New England Journal of Medicine. 1993;328(20):1450–6. </w:t>
      </w:r>
    </w:p>
    <w:p w14:paraId="548765D7" w14:textId="77777777" w:rsidR="00C34FD2" w:rsidRPr="00274C70" w:rsidRDefault="00000000">
      <w:pPr>
        <w:pStyle w:val="Bibliografia"/>
        <w:rPr>
          <w:lang w:val="en-US"/>
        </w:rPr>
      </w:pPr>
      <w:bookmarkStart w:id="224" w:name="ref-GISSI1999Prevenzione"/>
      <w:bookmarkEnd w:id="223"/>
      <w:r w:rsidRPr="00274C70">
        <w:rPr>
          <w:lang w:val="en-US"/>
        </w:rPr>
        <w:t xml:space="preserve">31. </w:t>
      </w:r>
      <w:r w:rsidRPr="00274C70">
        <w:rPr>
          <w:lang w:val="en-US"/>
        </w:rPr>
        <w:tab/>
        <w:t xml:space="preserve">Gruppo Italiano per lo Studio della Sopravvivenza nell’Infarto miocardico (GISSI-Prevenzione Investigators). </w:t>
      </w:r>
      <w:hyperlink r:id="rId61">
        <w:r w:rsidRPr="00274C70">
          <w:rPr>
            <w:rStyle w:val="Hyperlink"/>
            <w:lang w:val="en-US"/>
          </w:rPr>
          <w:t>Dietary Supplementation With n-3 Polyunsaturated Fatty Acids and Vitamin E After Myocardial Infarction: Results of the GISSI-Prevenzione Trial</w:t>
        </w:r>
      </w:hyperlink>
      <w:r w:rsidRPr="00274C70">
        <w:rPr>
          <w:lang w:val="en-US"/>
        </w:rPr>
        <w:t xml:space="preserve">. Lancet. 1999;354(9177):447–55. </w:t>
      </w:r>
    </w:p>
    <w:p w14:paraId="695AC976" w14:textId="77777777" w:rsidR="00C34FD2" w:rsidRPr="00274C70" w:rsidRDefault="00000000">
      <w:pPr>
        <w:pStyle w:val="Bibliografia"/>
        <w:rPr>
          <w:lang w:val="en-US"/>
        </w:rPr>
      </w:pPr>
      <w:bookmarkStart w:id="225" w:name="ref-Yusuf2000HOPE"/>
      <w:bookmarkEnd w:id="224"/>
      <w:r w:rsidRPr="00274C70">
        <w:rPr>
          <w:lang w:val="en-US"/>
        </w:rPr>
        <w:t xml:space="preserve">32. </w:t>
      </w:r>
      <w:r w:rsidRPr="00274C70">
        <w:rPr>
          <w:lang w:val="en-US"/>
        </w:rPr>
        <w:tab/>
        <w:t xml:space="preserve">Yusuf S, Dagenais G, Pogue J, Bosch J, Sleight P, The Heart Outcomes Prevention Evaluation Study Investigators. </w:t>
      </w:r>
      <w:hyperlink r:id="rId62">
        <w:r w:rsidRPr="00274C70">
          <w:rPr>
            <w:rStyle w:val="Hyperlink"/>
            <w:lang w:val="en-US"/>
          </w:rPr>
          <w:t>Vitamin E Supplementation and Cardiovascular Events in High-Risk Patients</w:t>
        </w:r>
      </w:hyperlink>
      <w:r w:rsidRPr="00274C70">
        <w:rPr>
          <w:lang w:val="en-US"/>
        </w:rPr>
        <w:t xml:space="preserve">. New England Journal of Medicine. 2000;342(3):154–60. </w:t>
      </w:r>
    </w:p>
    <w:p w14:paraId="5AEFA455" w14:textId="77777777" w:rsidR="00C34FD2" w:rsidRPr="00274C70" w:rsidRDefault="00000000">
      <w:pPr>
        <w:pStyle w:val="Bibliografia"/>
        <w:rPr>
          <w:lang w:val="en-US"/>
        </w:rPr>
      </w:pPr>
      <w:bookmarkStart w:id="226" w:name="ref-Miller2005VitaminEMortality"/>
      <w:bookmarkEnd w:id="225"/>
      <w:r w:rsidRPr="00274C70">
        <w:rPr>
          <w:lang w:val="en-US"/>
        </w:rPr>
        <w:t xml:space="preserve">33. </w:t>
      </w:r>
      <w:r w:rsidRPr="00274C70">
        <w:rPr>
          <w:lang w:val="en-US"/>
        </w:rPr>
        <w:tab/>
        <w:t xml:space="preserve">Miller ER, Pastor-Barriuso R, Dalal D, Riemersma RA, Appel LJ, Guallar E. </w:t>
      </w:r>
      <w:hyperlink r:id="rId63">
        <w:r w:rsidRPr="00274C70">
          <w:rPr>
            <w:rStyle w:val="Hyperlink"/>
            <w:lang w:val="en-US"/>
          </w:rPr>
          <w:t>Meta-Analysis: High-Dosage Vitamin E Supplementation May Increase All-Cause Mortality</w:t>
        </w:r>
      </w:hyperlink>
      <w:r w:rsidRPr="00274C70">
        <w:rPr>
          <w:lang w:val="en-US"/>
        </w:rPr>
        <w:t xml:space="preserve">. Annals of Internal Medicine. 2005;142(1):37–46. </w:t>
      </w:r>
    </w:p>
    <w:p w14:paraId="3680435F" w14:textId="77777777" w:rsidR="00C34FD2" w:rsidRPr="00274C70" w:rsidRDefault="00000000">
      <w:pPr>
        <w:pStyle w:val="Bibliografia"/>
        <w:rPr>
          <w:lang w:val="en-US"/>
        </w:rPr>
      </w:pPr>
      <w:bookmarkStart w:id="227" w:name="ref-Klein2011SELECT"/>
      <w:bookmarkEnd w:id="226"/>
      <w:r w:rsidRPr="00274C70">
        <w:rPr>
          <w:lang w:val="en-US"/>
        </w:rPr>
        <w:lastRenderedPageBreak/>
        <w:t xml:space="preserve">34. </w:t>
      </w:r>
      <w:r w:rsidRPr="00274C70">
        <w:rPr>
          <w:lang w:val="en-US"/>
        </w:rPr>
        <w:tab/>
        <w:t xml:space="preserve">Klein EA, Thompson IM, Tangen CM, Crowley JJ, Lucia MS, Goodman PJ, et al. </w:t>
      </w:r>
      <w:hyperlink r:id="rId64">
        <w:r w:rsidRPr="00274C70">
          <w:rPr>
            <w:rStyle w:val="Hyperlink"/>
            <w:lang w:val="en-US"/>
          </w:rPr>
          <w:t>Vitamin E and the Risk of Prostate Cancer: The Selenium and Vitamin E Cancer Prevention Trial (SELECT)</w:t>
        </w:r>
      </w:hyperlink>
      <w:r w:rsidRPr="00274C70">
        <w:rPr>
          <w:lang w:val="en-US"/>
        </w:rPr>
        <w:t xml:space="preserve">. JAMA. 2011;306(14):1549–56. </w:t>
      </w:r>
    </w:p>
    <w:p w14:paraId="71A55BF7" w14:textId="77777777" w:rsidR="00C34FD2" w:rsidRPr="00274C70" w:rsidRDefault="00000000">
      <w:pPr>
        <w:pStyle w:val="Bibliografia"/>
        <w:rPr>
          <w:lang w:val="en-US"/>
        </w:rPr>
      </w:pPr>
      <w:bookmarkStart w:id="228" w:name="ref-ATBC1994"/>
      <w:bookmarkEnd w:id="227"/>
      <w:r w:rsidRPr="00274C70">
        <w:rPr>
          <w:lang w:val="en-US"/>
        </w:rPr>
        <w:t xml:space="preserve">35. </w:t>
      </w:r>
      <w:r w:rsidRPr="00274C70">
        <w:rPr>
          <w:lang w:val="en-US"/>
        </w:rPr>
        <w:tab/>
        <w:t xml:space="preserve">The Alpha-Tocopherol, Beta Carotene Cancer Prevention Study Group. </w:t>
      </w:r>
      <w:hyperlink r:id="rId65">
        <w:r w:rsidRPr="00274C70">
          <w:rPr>
            <w:rStyle w:val="Hyperlink"/>
            <w:lang w:val="en-US"/>
          </w:rPr>
          <w:t>The Effect of Vitamin E and Beta Carotene on the Incidence of Lung Cancer and Other Cancers in Male Smokers</w:t>
        </w:r>
      </w:hyperlink>
      <w:r w:rsidRPr="00274C70">
        <w:rPr>
          <w:lang w:val="en-US"/>
        </w:rPr>
        <w:t xml:space="preserve">. New England Journal of Medicine. 1994;330(15):1029–35. </w:t>
      </w:r>
    </w:p>
    <w:p w14:paraId="6FC6055E" w14:textId="77777777" w:rsidR="00C34FD2" w:rsidRPr="00274C70" w:rsidRDefault="00000000">
      <w:pPr>
        <w:pStyle w:val="Bibliografia"/>
        <w:rPr>
          <w:lang w:val="en-US"/>
        </w:rPr>
      </w:pPr>
      <w:bookmarkStart w:id="229" w:name="ref-Omenn1996CARET"/>
      <w:bookmarkEnd w:id="228"/>
      <w:r w:rsidRPr="00274C70">
        <w:rPr>
          <w:lang w:val="en-US"/>
        </w:rPr>
        <w:t xml:space="preserve">36. </w:t>
      </w:r>
      <w:r w:rsidRPr="00274C70">
        <w:rPr>
          <w:lang w:val="en-US"/>
        </w:rPr>
        <w:tab/>
        <w:t xml:space="preserve">Omenn GS, Goodman GE, Thornquist MD, Balmes J, Cullen MR, Glass A, et al. </w:t>
      </w:r>
      <w:hyperlink r:id="rId66">
        <w:r w:rsidRPr="00274C70">
          <w:rPr>
            <w:rStyle w:val="Hyperlink"/>
            <w:lang w:val="en-US"/>
          </w:rPr>
          <w:t>Effects of a Combination of Beta Carotene and Vitamin A on Lung Cancer and Cardiovascular Disease</w:t>
        </w:r>
      </w:hyperlink>
      <w:r w:rsidRPr="00274C70">
        <w:rPr>
          <w:lang w:val="en-US"/>
        </w:rPr>
        <w:t xml:space="preserve">. New England Journal of Medicine. 1996;334(18):1150–5. </w:t>
      </w:r>
    </w:p>
    <w:p w14:paraId="1AC8E3E8" w14:textId="77777777" w:rsidR="00C34FD2" w:rsidRPr="00274C70" w:rsidRDefault="00000000">
      <w:pPr>
        <w:pStyle w:val="Bibliografia"/>
        <w:rPr>
          <w:lang w:val="en-US"/>
        </w:rPr>
      </w:pPr>
      <w:bookmarkStart w:id="230" w:name="ref-Hennekens1996PHS"/>
      <w:bookmarkEnd w:id="229"/>
      <w:r w:rsidRPr="00274C70">
        <w:rPr>
          <w:lang w:val="en-US"/>
        </w:rPr>
        <w:t xml:space="preserve">37. </w:t>
      </w:r>
      <w:r w:rsidRPr="00274C70">
        <w:rPr>
          <w:lang w:val="en-US"/>
        </w:rPr>
        <w:tab/>
        <w:t xml:space="preserve">Hennekens CH, Buring JE, Manson JE, Stampfer M, Rosner B, Cook NR, et al. </w:t>
      </w:r>
      <w:hyperlink r:id="rId67">
        <w:r w:rsidRPr="00274C70">
          <w:rPr>
            <w:rStyle w:val="Hyperlink"/>
            <w:lang w:val="en-US"/>
          </w:rPr>
          <w:t>Lack of Effect of Long-Term Supplementation With Beta Carotene on the Incidence of Malignant Neoplasms and Cardiovascular Disease</w:t>
        </w:r>
      </w:hyperlink>
      <w:r w:rsidRPr="00274C70">
        <w:rPr>
          <w:lang w:val="en-US"/>
        </w:rPr>
        <w:t xml:space="preserve">. New England Journal of Medicine. 1996;334(18):1145–9. </w:t>
      </w:r>
    </w:p>
    <w:p w14:paraId="27DBFF65" w14:textId="77777777" w:rsidR="00C34FD2" w:rsidRPr="00274C70" w:rsidRDefault="00000000">
      <w:pPr>
        <w:pStyle w:val="Bibliografia"/>
        <w:rPr>
          <w:lang w:val="en-US"/>
        </w:rPr>
      </w:pPr>
      <w:bookmarkStart w:id="231" w:name="ref-Bjelakovic2007Antioxidants"/>
      <w:bookmarkEnd w:id="230"/>
      <w:r w:rsidRPr="00274C70">
        <w:rPr>
          <w:lang w:val="en-US"/>
        </w:rPr>
        <w:t xml:space="preserve">38. </w:t>
      </w:r>
      <w:r w:rsidRPr="00274C70">
        <w:rPr>
          <w:lang w:val="en-US"/>
        </w:rPr>
        <w:tab/>
        <w:t xml:space="preserve">Bjelakovic G, Nikolova D, Gluud LL, Simonetti RG, Gluud C. </w:t>
      </w:r>
      <w:hyperlink r:id="rId68">
        <w:r w:rsidRPr="00274C70">
          <w:rPr>
            <w:rStyle w:val="Hyperlink"/>
            <w:lang w:val="en-US"/>
          </w:rPr>
          <w:t>Mortality in Randomized Trials of Antioxidant Supplements for Primary and Secondary Prevention: Systematic Review and Meta-analysis</w:t>
        </w:r>
      </w:hyperlink>
      <w:r w:rsidRPr="00274C70">
        <w:rPr>
          <w:lang w:val="en-US"/>
        </w:rPr>
        <w:t xml:space="preserve">. JAMA. 2007;297(8):842–57. </w:t>
      </w:r>
    </w:p>
    <w:p w14:paraId="3DE17D70" w14:textId="77777777" w:rsidR="00C34FD2" w:rsidRDefault="00000000">
      <w:pPr>
        <w:pStyle w:val="Bibliografia"/>
      </w:pPr>
      <w:bookmarkStart w:id="232" w:name="ref-Autier2014VitaminD"/>
      <w:bookmarkEnd w:id="231"/>
      <w:r w:rsidRPr="00274C70">
        <w:rPr>
          <w:lang w:val="en-US"/>
        </w:rPr>
        <w:t xml:space="preserve">39. </w:t>
      </w:r>
      <w:r w:rsidRPr="00274C70">
        <w:rPr>
          <w:lang w:val="en-US"/>
        </w:rPr>
        <w:tab/>
        <w:t xml:space="preserve">Autier P, Boniol M, Pizot C, Mullie P. </w:t>
      </w:r>
      <w:hyperlink r:id="rId69">
        <w:r w:rsidRPr="00274C70">
          <w:rPr>
            <w:rStyle w:val="Hyperlink"/>
            <w:lang w:val="en-US"/>
          </w:rPr>
          <w:t>Vitamin D Status and Ill Health: A Systematic Review</w:t>
        </w:r>
      </w:hyperlink>
      <w:r w:rsidRPr="00274C70">
        <w:rPr>
          <w:lang w:val="en-US"/>
        </w:rPr>
        <w:t xml:space="preserve">. </w:t>
      </w:r>
      <w:r>
        <w:t xml:space="preserve">The Lancet Diabetes &amp; Endocrinology. 2014;2(1):76–89. </w:t>
      </w:r>
    </w:p>
    <w:p w14:paraId="0E9610ED" w14:textId="77777777" w:rsidR="00C34FD2" w:rsidRPr="00274C70" w:rsidRDefault="00000000">
      <w:pPr>
        <w:pStyle w:val="Bibliografia"/>
        <w:rPr>
          <w:lang w:val="en-US"/>
        </w:rPr>
      </w:pPr>
      <w:bookmarkStart w:id="233" w:name="ref-Theodoratou2014Umbrella"/>
      <w:bookmarkEnd w:id="232"/>
      <w:r>
        <w:t xml:space="preserve">40. </w:t>
      </w:r>
      <w:r>
        <w:tab/>
        <w:t xml:space="preserve">Theodoratou E, Tzoulaki I, Zgaga L, Ioannidis JPA. </w:t>
      </w:r>
      <w:hyperlink r:id="rId70">
        <w:r w:rsidRPr="00274C70">
          <w:rPr>
            <w:rStyle w:val="Hyperlink"/>
            <w:lang w:val="en-US"/>
          </w:rPr>
          <w:t>Vitamin D and Multiple Health Outcomes: Umbrella Review of Systematic Reviews and Meta-Analyses of Observational Studies and Randomised Trials</w:t>
        </w:r>
      </w:hyperlink>
      <w:r w:rsidRPr="00274C70">
        <w:rPr>
          <w:lang w:val="en-US"/>
        </w:rPr>
        <w:t xml:space="preserve">. BMJ. 2014;348:g2035. </w:t>
      </w:r>
    </w:p>
    <w:p w14:paraId="2E140268" w14:textId="77777777" w:rsidR="00C34FD2" w:rsidRPr="00274C70" w:rsidRDefault="00000000">
      <w:pPr>
        <w:pStyle w:val="Bibliografia"/>
        <w:rPr>
          <w:lang w:val="en-US"/>
        </w:rPr>
      </w:pPr>
      <w:bookmarkStart w:id="234" w:name="ref-Manson2019VITAL"/>
      <w:bookmarkEnd w:id="233"/>
      <w:r w:rsidRPr="00274C70">
        <w:rPr>
          <w:lang w:val="en-US"/>
        </w:rPr>
        <w:t xml:space="preserve">41. </w:t>
      </w:r>
      <w:r w:rsidRPr="00274C70">
        <w:rPr>
          <w:lang w:val="en-US"/>
        </w:rPr>
        <w:tab/>
        <w:t xml:space="preserve">Manson JE, Cook NR, Lee IM, Christen W, Bassuk SS, Mora S, et al. </w:t>
      </w:r>
      <w:hyperlink r:id="rId71">
        <w:r w:rsidRPr="00274C70">
          <w:rPr>
            <w:rStyle w:val="Hyperlink"/>
            <w:lang w:val="en-US"/>
          </w:rPr>
          <w:t>Vitamin D Supplements and Prevention of Cancer and Cardiovascular Disease</w:t>
        </w:r>
      </w:hyperlink>
      <w:r w:rsidRPr="00274C70">
        <w:rPr>
          <w:lang w:val="en-US"/>
        </w:rPr>
        <w:t xml:space="preserve">. New England Journal of Medicine. 2019;380(1):33–44. </w:t>
      </w:r>
    </w:p>
    <w:p w14:paraId="50AD0CFF" w14:textId="77777777" w:rsidR="00C34FD2" w:rsidRPr="00274C70" w:rsidRDefault="00000000">
      <w:pPr>
        <w:pStyle w:val="Bibliografia"/>
        <w:rPr>
          <w:lang w:val="en-US"/>
        </w:rPr>
      </w:pPr>
      <w:bookmarkStart w:id="235" w:name="ref-Zittermann2019VitaminD"/>
      <w:bookmarkEnd w:id="234"/>
      <w:r w:rsidRPr="00274C70">
        <w:rPr>
          <w:lang w:val="en-US"/>
        </w:rPr>
        <w:t xml:space="preserve">42. </w:t>
      </w:r>
      <w:r w:rsidRPr="00274C70">
        <w:rPr>
          <w:lang w:val="en-US"/>
        </w:rPr>
        <w:tab/>
        <w:t xml:space="preserve">Zittermann A, Pilz S. </w:t>
      </w:r>
      <w:hyperlink r:id="rId72">
        <w:r w:rsidRPr="00274C70">
          <w:rPr>
            <w:rStyle w:val="Hyperlink"/>
            <w:lang w:val="en-US"/>
          </w:rPr>
          <w:t>Vitamin D and Cardiovascular Disease: An Update</w:t>
        </w:r>
      </w:hyperlink>
      <w:r w:rsidRPr="00274C70">
        <w:rPr>
          <w:lang w:val="en-US"/>
        </w:rPr>
        <w:t xml:space="preserve">. Anticancer Research. 2019;39(9):4627–35. </w:t>
      </w:r>
    </w:p>
    <w:p w14:paraId="19D87BD7" w14:textId="77777777" w:rsidR="00C34FD2" w:rsidRPr="00274C70" w:rsidRDefault="00000000">
      <w:pPr>
        <w:pStyle w:val="Bibliografia"/>
        <w:rPr>
          <w:lang w:val="en-US"/>
        </w:rPr>
      </w:pPr>
      <w:bookmarkStart w:id="236" w:name="ref-ASCEND2018Omega3"/>
      <w:bookmarkEnd w:id="235"/>
      <w:r w:rsidRPr="00274C70">
        <w:rPr>
          <w:lang w:val="en-US"/>
        </w:rPr>
        <w:t xml:space="preserve">43. </w:t>
      </w:r>
      <w:r w:rsidRPr="00274C70">
        <w:rPr>
          <w:lang w:val="en-US"/>
        </w:rPr>
        <w:tab/>
        <w:t xml:space="preserve">ASCEND Study Collaborative Group, Bowman L, Mafham M, Wallendszus K, Stevens W, Buck G, et al. </w:t>
      </w:r>
      <w:hyperlink r:id="rId73">
        <w:r w:rsidRPr="00274C70">
          <w:rPr>
            <w:rStyle w:val="Hyperlink"/>
            <w:lang w:val="en-US"/>
          </w:rPr>
          <w:t>Effects of n-3 Fatty Acid Supplements in Diabetes Mellitus</w:t>
        </w:r>
      </w:hyperlink>
      <w:r w:rsidRPr="00274C70">
        <w:rPr>
          <w:lang w:val="en-US"/>
        </w:rPr>
        <w:t xml:space="preserve">. New England Journal of Medicine. 2018;379(16):1540–50. </w:t>
      </w:r>
    </w:p>
    <w:p w14:paraId="21139B7C" w14:textId="77777777" w:rsidR="00C34FD2" w:rsidRPr="00274C70" w:rsidRDefault="00000000">
      <w:pPr>
        <w:pStyle w:val="Bibliografia"/>
        <w:rPr>
          <w:lang w:val="en-US"/>
        </w:rPr>
      </w:pPr>
      <w:bookmarkStart w:id="237" w:name="ref-Manson2019VITALOmega"/>
      <w:bookmarkEnd w:id="236"/>
      <w:r w:rsidRPr="00274C70">
        <w:rPr>
          <w:lang w:val="en-US"/>
        </w:rPr>
        <w:t xml:space="preserve">44. </w:t>
      </w:r>
      <w:r w:rsidRPr="00274C70">
        <w:rPr>
          <w:lang w:val="en-US"/>
        </w:rPr>
        <w:tab/>
        <w:t xml:space="preserve">Manson JE, Cook NR, Lee IM, Christen W, Bassuk SS, Mora S, et al. </w:t>
      </w:r>
      <w:hyperlink r:id="rId74">
        <w:r w:rsidRPr="00274C70">
          <w:rPr>
            <w:rStyle w:val="Hyperlink"/>
            <w:lang w:val="en-US"/>
          </w:rPr>
          <w:t>Marine n-3 Fatty Acids and Prevention of Cardiovascular Disease and Cancer</w:t>
        </w:r>
      </w:hyperlink>
      <w:r w:rsidRPr="00274C70">
        <w:rPr>
          <w:lang w:val="en-US"/>
        </w:rPr>
        <w:t xml:space="preserve">. New England Journal of Medicine. 2019;380(1):23–32. </w:t>
      </w:r>
    </w:p>
    <w:p w14:paraId="08409641" w14:textId="77777777" w:rsidR="00C34FD2" w:rsidRPr="00274C70" w:rsidRDefault="00000000">
      <w:pPr>
        <w:pStyle w:val="Bibliografia"/>
        <w:rPr>
          <w:lang w:val="en-US"/>
        </w:rPr>
      </w:pPr>
      <w:bookmarkStart w:id="238" w:name="ref-Bhatt2019REDUCEIT"/>
      <w:bookmarkEnd w:id="237"/>
      <w:r w:rsidRPr="00274C70">
        <w:rPr>
          <w:lang w:val="en-US"/>
        </w:rPr>
        <w:t xml:space="preserve">45. </w:t>
      </w:r>
      <w:r w:rsidRPr="00274C70">
        <w:rPr>
          <w:lang w:val="en-US"/>
        </w:rPr>
        <w:tab/>
        <w:t xml:space="preserve">Bhatt DL, Steg PG, Miller M, Brinton EA, Jacobson TA, Ketchum SB, et al. </w:t>
      </w:r>
      <w:hyperlink r:id="rId75">
        <w:r w:rsidRPr="00274C70">
          <w:rPr>
            <w:rStyle w:val="Hyperlink"/>
            <w:lang w:val="en-US"/>
          </w:rPr>
          <w:t>Cardiovascular Risk Reduction with Icosapent Ethyl for Hypertriglyceridemia</w:t>
        </w:r>
      </w:hyperlink>
      <w:r w:rsidRPr="00274C70">
        <w:rPr>
          <w:lang w:val="en-US"/>
        </w:rPr>
        <w:t xml:space="preserve">. New England Journal of Medicine. 2019;380(1):11–22. </w:t>
      </w:r>
    </w:p>
    <w:p w14:paraId="30D0E38D" w14:textId="77777777" w:rsidR="00C34FD2" w:rsidRPr="00274C70" w:rsidRDefault="00000000">
      <w:pPr>
        <w:pStyle w:val="Bibliografia"/>
        <w:rPr>
          <w:lang w:val="en-US"/>
        </w:rPr>
      </w:pPr>
      <w:bookmarkStart w:id="239" w:name="ref-Nicholls2020STRENGTH"/>
      <w:bookmarkEnd w:id="238"/>
      <w:r w:rsidRPr="00274C70">
        <w:rPr>
          <w:lang w:val="en-US"/>
        </w:rPr>
        <w:lastRenderedPageBreak/>
        <w:t xml:space="preserve">46. </w:t>
      </w:r>
      <w:r w:rsidRPr="00274C70">
        <w:rPr>
          <w:lang w:val="en-US"/>
        </w:rPr>
        <w:tab/>
        <w:t xml:space="preserve">Nicholls SJ, Lincoff AM, Garcia M, Bash D, Ballantyne CM, Barter PJ, et al. </w:t>
      </w:r>
      <w:hyperlink r:id="rId76">
        <w:r w:rsidRPr="00274C70">
          <w:rPr>
            <w:rStyle w:val="Hyperlink"/>
            <w:lang w:val="en-US"/>
          </w:rPr>
          <w:t>Effect of High-Dose Omega-3 Fatty Acids vs Corn Oil on Major Adverse Cardiovascular Events in Patients at High Cardiovascular Risk: The STRENGTH Randomized Clinical Trial</w:t>
        </w:r>
      </w:hyperlink>
      <w:r w:rsidRPr="00274C70">
        <w:rPr>
          <w:lang w:val="en-US"/>
        </w:rPr>
        <w:t xml:space="preserve">. JAMA. 2020;324(22):2268–80. </w:t>
      </w:r>
    </w:p>
    <w:p w14:paraId="58B66AF1" w14:textId="77777777" w:rsidR="00C34FD2" w:rsidRPr="00274C70" w:rsidRDefault="00000000">
      <w:pPr>
        <w:pStyle w:val="Bibliografia"/>
        <w:rPr>
          <w:lang w:val="en-US"/>
        </w:rPr>
      </w:pPr>
      <w:bookmarkStart w:id="240" w:name="ref-Gencer2021AFOmega"/>
      <w:bookmarkEnd w:id="239"/>
      <w:r w:rsidRPr="00274C70">
        <w:rPr>
          <w:lang w:val="en-US"/>
        </w:rPr>
        <w:t xml:space="preserve">47. </w:t>
      </w:r>
      <w:r w:rsidRPr="00274C70">
        <w:rPr>
          <w:lang w:val="en-US"/>
        </w:rPr>
        <w:tab/>
        <w:t xml:space="preserve">Gencer B, Djousse L, Al-Ramady OT, Cook NR, Manson JE, Albert CM. </w:t>
      </w:r>
      <w:hyperlink r:id="rId77">
        <w:r w:rsidRPr="00274C70">
          <w:rPr>
            <w:rStyle w:val="Hyperlink"/>
            <w:lang w:val="en-US"/>
          </w:rPr>
          <w:t>Effect of Long-Term Marine Omega-3 Fatty Acids Supplementation on the Risk of Atrial Fibrillation in Randomized Controlled Trials of Cardiovascular Outcomes: A Systematic Review and Meta-Analysis</w:t>
        </w:r>
      </w:hyperlink>
      <w:r w:rsidRPr="00274C70">
        <w:rPr>
          <w:lang w:val="en-US"/>
        </w:rPr>
        <w:t xml:space="preserve">. Circulation. 2021;144(25):1981–90. </w:t>
      </w:r>
    </w:p>
    <w:p w14:paraId="69318DC5" w14:textId="77777777" w:rsidR="00C34FD2" w:rsidRPr="00274C70" w:rsidRDefault="00000000">
      <w:pPr>
        <w:pStyle w:val="Bibliografia"/>
        <w:rPr>
          <w:lang w:val="en-US"/>
        </w:rPr>
      </w:pPr>
      <w:bookmarkStart w:id="241" w:name="ref-Ruberman1977Ventricular"/>
      <w:bookmarkEnd w:id="240"/>
      <w:r w:rsidRPr="00274C70">
        <w:rPr>
          <w:lang w:val="en-US"/>
        </w:rPr>
        <w:t xml:space="preserve">48. </w:t>
      </w:r>
      <w:r w:rsidRPr="00274C70">
        <w:rPr>
          <w:lang w:val="en-US"/>
        </w:rPr>
        <w:tab/>
        <w:t xml:space="preserve">Ruberman W, Weinblatt E, Goldberg JD, Frank CW, Shapiro S. </w:t>
      </w:r>
      <w:hyperlink r:id="rId78">
        <w:r w:rsidRPr="00274C70">
          <w:rPr>
            <w:rStyle w:val="Hyperlink"/>
            <w:lang w:val="en-US"/>
          </w:rPr>
          <w:t>Ventricular Premature Beats and Mortality After Myocardial Infarction</w:t>
        </w:r>
      </w:hyperlink>
      <w:r w:rsidRPr="00274C70">
        <w:rPr>
          <w:lang w:val="en-US"/>
        </w:rPr>
        <w:t xml:space="preserve">. New England Journal of Medicine. 1977;297(14):750–7. </w:t>
      </w:r>
    </w:p>
    <w:p w14:paraId="2D189FD3" w14:textId="77777777" w:rsidR="00C34FD2" w:rsidRPr="00274C70" w:rsidRDefault="00000000">
      <w:pPr>
        <w:pStyle w:val="Bibliografia"/>
        <w:rPr>
          <w:lang w:val="en-US"/>
        </w:rPr>
      </w:pPr>
      <w:bookmarkStart w:id="242" w:name="ref-Greene1992CAST"/>
      <w:bookmarkEnd w:id="241"/>
      <w:r w:rsidRPr="00274C70">
        <w:rPr>
          <w:lang w:val="en-US"/>
        </w:rPr>
        <w:t xml:space="preserve">49. </w:t>
      </w:r>
      <w:r w:rsidRPr="00274C70">
        <w:rPr>
          <w:lang w:val="en-US"/>
        </w:rPr>
        <w:tab/>
        <w:t xml:space="preserve">Greene HL, Roden DM, Katz RJ, Woosley RL, Salerno DM, Henthorn RW. </w:t>
      </w:r>
      <w:hyperlink r:id="rId79">
        <w:r w:rsidRPr="00274C70">
          <w:rPr>
            <w:rStyle w:val="Hyperlink"/>
            <w:lang w:val="en-US"/>
          </w:rPr>
          <w:t>The Cardiac Arrhythmia Suppression Trial: First CAST ... Then CAST-II</w:t>
        </w:r>
      </w:hyperlink>
      <w:r w:rsidRPr="00274C70">
        <w:rPr>
          <w:lang w:val="en-US"/>
        </w:rPr>
        <w:t xml:space="preserve">. Journal of the American College of Cardiology. 1992;19(5):894–8. </w:t>
      </w:r>
    </w:p>
    <w:p w14:paraId="24B832A7" w14:textId="77777777" w:rsidR="00C34FD2" w:rsidRPr="00274C70" w:rsidRDefault="00000000">
      <w:pPr>
        <w:pStyle w:val="Bibliografia"/>
        <w:rPr>
          <w:lang w:val="en-US"/>
        </w:rPr>
      </w:pPr>
      <w:bookmarkStart w:id="243" w:name="ref-CAST1989Preliminary"/>
      <w:bookmarkEnd w:id="242"/>
      <w:r w:rsidRPr="00274C70">
        <w:rPr>
          <w:lang w:val="en-US"/>
        </w:rPr>
        <w:t xml:space="preserve">50. </w:t>
      </w:r>
      <w:r w:rsidRPr="00274C70">
        <w:rPr>
          <w:lang w:val="en-US"/>
        </w:rPr>
        <w:tab/>
        <w:t xml:space="preserve">Cardiac Arrhythmia Suppression Trial (CAST) Investigators. </w:t>
      </w:r>
      <w:hyperlink r:id="rId80">
        <w:r w:rsidRPr="00274C70">
          <w:rPr>
            <w:rStyle w:val="Hyperlink"/>
            <w:lang w:val="en-US"/>
          </w:rPr>
          <w:t>Preliminary Report: Effect of Encainide and Flecainide on Mortality in a Randomized Trial of Arrhythmia Suppression After Myocardial Infarction</w:t>
        </w:r>
      </w:hyperlink>
      <w:r w:rsidRPr="00274C70">
        <w:rPr>
          <w:lang w:val="en-US"/>
        </w:rPr>
        <w:t xml:space="preserve">. New England Journal of Medicine. 1989;321(6):406–12. </w:t>
      </w:r>
    </w:p>
    <w:p w14:paraId="497BF1B5" w14:textId="77777777" w:rsidR="00C34FD2" w:rsidRPr="00274C70" w:rsidRDefault="00000000">
      <w:pPr>
        <w:pStyle w:val="Bibliografia"/>
        <w:rPr>
          <w:lang w:val="en-US"/>
        </w:rPr>
      </w:pPr>
      <w:bookmarkStart w:id="244" w:name="ref-Echt1991CAST"/>
      <w:bookmarkEnd w:id="243"/>
      <w:r w:rsidRPr="00274C70">
        <w:rPr>
          <w:lang w:val="en-US"/>
        </w:rPr>
        <w:t xml:space="preserve">51. </w:t>
      </w:r>
      <w:r w:rsidRPr="00274C70">
        <w:rPr>
          <w:lang w:val="en-US"/>
        </w:rPr>
        <w:tab/>
        <w:t xml:space="preserve">Echt DS, Liebson PR, Mitchell LB, Peters RW, Obias-Manno D, Barker AH, et al. </w:t>
      </w:r>
      <w:hyperlink r:id="rId81">
        <w:r w:rsidRPr="00274C70">
          <w:rPr>
            <w:rStyle w:val="Hyperlink"/>
            <w:lang w:val="en-US"/>
          </w:rPr>
          <w:t>Mortality and Morbidity in Patients Receiving Encainide, Flecainide, or Placebo: The Cardiac Arrhythmia Suppression Trial</w:t>
        </w:r>
      </w:hyperlink>
      <w:r w:rsidRPr="00274C70">
        <w:rPr>
          <w:lang w:val="en-US"/>
        </w:rPr>
        <w:t xml:space="preserve">. New England Journal of Medicine. 1991;324(12):781–8. </w:t>
      </w:r>
    </w:p>
    <w:p w14:paraId="32F479B5" w14:textId="77777777" w:rsidR="00C34FD2" w:rsidRDefault="00000000">
      <w:pPr>
        <w:pStyle w:val="Bibliografia"/>
      </w:pPr>
      <w:bookmarkStart w:id="245" w:name="ref-CAST1992MoricizineII"/>
      <w:bookmarkEnd w:id="244"/>
      <w:r w:rsidRPr="00274C70">
        <w:rPr>
          <w:lang w:val="en-US"/>
        </w:rPr>
        <w:t xml:space="preserve">52. </w:t>
      </w:r>
      <w:r w:rsidRPr="00274C70">
        <w:rPr>
          <w:lang w:val="en-US"/>
        </w:rPr>
        <w:tab/>
        <w:t xml:space="preserve">Cardiac Arrhythmia Suppression Trial II Investigators. </w:t>
      </w:r>
      <w:hyperlink r:id="rId82">
        <w:r w:rsidRPr="00274C70">
          <w:rPr>
            <w:rStyle w:val="Hyperlink"/>
            <w:lang w:val="en-US"/>
          </w:rPr>
          <w:t>Effect of the Antiarrhythmic Agent Moricizine on Survival After Myocardial Infarction</w:t>
        </w:r>
      </w:hyperlink>
      <w:r w:rsidRPr="00274C70">
        <w:rPr>
          <w:lang w:val="en-US"/>
        </w:rPr>
        <w:t xml:space="preserve">. </w:t>
      </w:r>
      <w:r>
        <w:t xml:space="preserve">New England Journal of Medicine. 1992;327(4):227–33. </w:t>
      </w:r>
    </w:p>
    <w:p w14:paraId="5D2F7B49" w14:textId="77777777" w:rsidR="00274C70" w:rsidRDefault="00274C70">
      <w:pPr>
        <w:rPr>
          <w:rFonts w:asciiTheme="majorHAnsi" w:eastAsiaTheme="majorEastAsia" w:hAnsiTheme="majorHAnsi" w:cstheme="majorBidi"/>
          <w:color w:val="0F4761" w:themeColor="accent1" w:themeShade="BF"/>
          <w:sz w:val="40"/>
          <w:szCs w:val="40"/>
        </w:rPr>
      </w:pPr>
      <w:bookmarkStart w:id="246" w:name="sobre-este-projeto"/>
      <w:bookmarkStart w:id="247" w:name="_Toc229219628"/>
      <w:bookmarkEnd w:id="191"/>
      <w:bookmarkEnd w:id="194"/>
      <w:bookmarkEnd w:id="245"/>
      <w:r>
        <w:br w:type="page"/>
      </w:r>
    </w:p>
    <w:p w14:paraId="67EDDD22" w14:textId="0B4124DA" w:rsidR="00C34FD2" w:rsidRDefault="00000000">
      <w:pPr>
        <w:pStyle w:val="Ttulo1"/>
      </w:pPr>
      <w:r>
        <w:lastRenderedPageBreak/>
        <w:t>Sobre este projeto</w:t>
      </w:r>
      <w:bookmarkEnd w:id="247"/>
    </w:p>
    <w:p w14:paraId="2B494D06" w14:textId="77777777" w:rsidR="00C34FD2" w:rsidRDefault="00000000">
      <w:pPr>
        <w:pStyle w:val="Ttulo2"/>
      </w:pPr>
      <w:bookmarkStart w:id="248" w:name="autor"/>
      <w:bookmarkStart w:id="249" w:name="_Toc229219629"/>
      <w:r>
        <w:t>12.6 Autor</w:t>
      </w:r>
      <w:bookmarkEnd w:id="249"/>
    </w:p>
    <w:p w14:paraId="361CB9B2" w14:textId="77777777" w:rsidR="00C34FD2" w:rsidRDefault="00000000">
      <w:pPr>
        <w:pStyle w:val="FirstParagraph"/>
      </w:pPr>
      <w:r>
        <w:rPr>
          <w:b/>
          <w:bCs/>
        </w:rPr>
        <w:t>Henrique Alvarenga da Silva</w:t>
      </w:r>
    </w:p>
    <w:p w14:paraId="070CA554" w14:textId="77777777" w:rsidR="00C34FD2" w:rsidRDefault="00000000">
      <w:pPr>
        <w:pStyle w:val="Corpodetexto"/>
      </w:pPr>
      <w:r>
        <w:t>Médico psiquiatra. Professor de Psiquiatria do Curso de Medicina da Universidade Federal de São João del-Rei (UFSJ) e professor na AFYA Educacional. Especialista em Psiquiatria e Psicopatologia, com foco em metodologia de pesquisa e educação médica baseada em evidências. Mestre em Educação Médica.</w:t>
      </w:r>
    </w:p>
    <w:p w14:paraId="0B2F3BD2" w14:textId="77777777" w:rsidR="00C34FD2" w:rsidRDefault="00000000">
      <w:pPr>
        <w:pStyle w:val="Corpodetexto"/>
      </w:pPr>
      <w:hyperlink r:id="rId83">
        <w:r>
          <w:rPr>
            <w:rStyle w:val="Hyperlink"/>
            <w:rFonts w:ascii="Apple Color Emoji" w:hAnsi="Apple Color Emoji" w:cs="Apple Color Emoji"/>
          </w:rPr>
          <w:t>🌐</w:t>
        </w:r>
        <w:r>
          <w:rPr>
            <w:rStyle w:val="Hyperlink"/>
          </w:rPr>
          <w:t xml:space="preserve"> Site pessoal</w:t>
        </w:r>
      </w:hyperlink>
      <w:r>
        <w:t xml:space="preserve"> </w:t>
      </w:r>
      <w:hyperlink r:id="rId84">
        <w:r>
          <w:rPr>
            <w:rStyle w:val="Hyperlink"/>
            <w:rFonts w:ascii="Apple Color Emoji" w:hAnsi="Apple Color Emoji" w:cs="Apple Color Emoji"/>
          </w:rPr>
          <w:t>📧</w:t>
        </w:r>
        <w:r>
          <w:rPr>
            <w:rStyle w:val="Hyperlink"/>
          </w:rPr>
          <w:t xml:space="preserve"> E-mail</w:t>
        </w:r>
      </w:hyperlink>
      <w:r>
        <w:t xml:space="preserve"> </w:t>
      </w:r>
      <w:hyperlink r:id="rId85">
        <w:r>
          <w:rPr>
            <w:rStyle w:val="Hyperlink"/>
            <w:rFonts w:ascii="Apple Color Emoji" w:hAnsi="Apple Color Emoji" w:cs="Apple Color Emoji"/>
          </w:rPr>
          <w:t>🆔</w:t>
        </w:r>
        <w:r>
          <w:rPr>
            <w:rStyle w:val="Hyperlink"/>
          </w:rPr>
          <w:t xml:space="preserve"> ORCID</w:t>
        </w:r>
      </w:hyperlink>
      <w:r>
        <w:t xml:space="preserve"> </w:t>
      </w:r>
      <w:hyperlink r:id="rId86">
        <w:r>
          <w:rPr>
            <w:rStyle w:val="Hyperlink"/>
            <w:rFonts w:ascii="Apple Color Emoji" w:hAnsi="Apple Color Emoji" w:cs="Apple Color Emoji"/>
          </w:rPr>
          <w:t>📚</w:t>
        </w:r>
        <w:r>
          <w:rPr>
            <w:rStyle w:val="Hyperlink"/>
          </w:rPr>
          <w:t xml:space="preserve"> GitHub</w:t>
        </w:r>
      </w:hyperlink>
    </w:p>
    <w:p w14:paraId="2E169286" w14:textId="77777777" w:rsidR="00C34FD2" w:rsidRDefault="00000000">
      <w:pPr>
        <w:pStyle w:val="Ttulo2"/>
      </w:pPr>
      <w:bookmarkStart w:id="250" w:name="metodologia-e-tecnologias"/>
      <w:bookmarkStart w:id="251" w:name="_Toc229219630"/>
      <w:bookmarkEnd w:id="248"/>
      <w:r>
        <w:t>12.7 Metodologia e tecnologias</w:t>
      </w:r>
      <w:bookmarkEnd w:id="251"/>
    </w:p>
    <w:p w14:paraId="32FFF11A" w14:textId="77777777" w:rsidR="00C34FD2" w:rsidRDefault="00000000">
      <w:pPr>
        <w:pStyle w:val="FirstParagraph"/>
      </w:pPr>
      <w:r>
        <w:t>Este recurso foi construído usando ferramentas de código aberto e ciência aberta:</w:t>
      </w:r>
    </w:p>
    <w:p w14:paraId="1FD144CB" w14:textId="77777777" w:rsidR="00C34FD2" w:rsidRDefault="00000000">
      <w:pPr>
        <w:pStyle w:val="Ttulo4"/>
      </w:pPr>
      <w:bookmarkStart w:id="252" w:name="escrita-estrutura"/>
      <w:r>
        <w:t>12.7.0.1 Escrita &amp; Estrutura</w:t>
      </w:r>
    </w:p>
    <w:p w14:paraId="3A48EB20" w14:textId="77777777" w:rsidR="00C34FD2" w:rsidRDefault="00000000">
      <w:pPr>
        <w:pStyle w:val="FirstParagraph"/>
      </w:pPr>
      <w:r>
        <w:rPr>
          <w:b/>
          <w:bCs/>
        </w:rPr>
        <w:t>Quarto</w:t>
      </w:r>
      <w:r>
        <w:t xml:space="preserve"> — Sistema de publicação científica</w:t>
      </w:r>
      <w:r>
        <w:br/>
      </w:r>
      <w:r>
        <w:rPr>
          <w:b/>
          <w:bCs/>
        </w:rPr>
        <w:t>Markdown</w:t>
      </w:r>
      <w:r>
        <w:t xml:space="preserve"> — Linguagem de marcação</w:t>
      </w:r>
      <w:r>
        <w:br/>
      </w:r>
      <w:r>
        <w:rPr>
          <w:b/>
          <w:bCs/>
        </w:rPr>
        <w:t>BibTeX</w:t>
      </w:r>
      <w:r>
        <w:t xml:space="preserve"> — Gerenciamento bibliográfico</w:t>
      </w:r>
    </w:p>
    <w:p w14:paraId="1A70FA20" w14:textId="77777777" w:rsidR="00C34FD2" w:rsidRDefault="00000000">
      <w:pPr>
        <w:pStyle w:val="Ttulo4"/>
      </w:pPr>
      <w:bookmarkStart w:id="253" w:name="desenvolvimento"/>
      <w:bookmarkEnd w:id="252"/>
      <w:r>
        <w:t>12.7.0.2 Desenvolvimento</w:t>
      </w:r>
    </w:p>
    <w:p w14:paraId="7B386CBF" w14:textId="77777777" w:rsidR="00C34FD2" w:rsidRDefault="00000000">
      <w:pPr>
        <w:pStyle w:val="FirstParagraph"/>
      </w:pPr>
      <w:r>
        <w:rPr>
          <w:b/>
          <w:bCs/>
        </w:rPr>
        <w:t>Positron IDE</w:t>
      </w:r>
      <w:r>
        <w:t xml:space="preserve"> — Ambiente integrado</w:t>
      </w:r>
      <w:r>
        <w:br/>
      </w:r>
      <w:r>
        <w:rPr>
          <w:b/>
          <w:bCs/>
        </w:rPr>
        <w:t>Git/GitHub</w:t>
      </w:r>
      <w:r>
        <w:t xml:space="preserve"> — Controle de versão</w:t>
      </w:r>
      <w:r>
        <w:br/>
      </w:r>
      <w:r>
        <w:rPr>
          <w:b/>
          <w:bCs/>
        </w:rPr>
        <w:t>GitHub Pages</w:t>
      </w:r>
      <w:r>
        <w:t xml:space="preserve"> — Hospedagem</w:t>
      </w:r>
    </w:p>
    <w:p w14:paraId="3EB0D465" w14:textId="77777777" w:rsidR="00C34FD2" w:rsidRDefault="00000000">
      <w:pPr>
        <w:pStyle w:val="Ttulo4"/>
      </w:pPr>
      <w:bookmarkStart w:id="254" w:name="pesquisa"/>
      <w:bookmarkEnd w:id="253"/>
      <w:r>
        <w:t>12.7.0.3 Pesquisa</w:t>
      </w:r>
    </w:p>
    <w:p w14:paraId="20D10E05" w14:textId="77777777" w:rsidR="00C34FD2" w:rsidRDefault="00000000">
      <w:pPr>
        <w:pStyle w:val="FirstParagraph"/>
      </w:pPr>
      <w:r>
        <w:rPr>
          <w:b/>
          <w:bCs/>
        </w:rPr>
        <w:t>PubMed</w:t>
      </w:r>
      <w:r>
        <w:t xml:space="preserve"> — Base bibliográfica</w:t>
      </w:r>
      <w:r>
        <w:br/>
      </w:r>
      <w:r>
        <w:rPr>
          <w:b/>
          <w:bCs/>
        </w:rPr>
        <w:t>Zotero</w:t>
      </w:r>
      <w:r>
        <w:t xml:space="preserve"> — Gerenciamento de referências</w:t>
      </w:r>
      <w:r>
        <w:br/>
      </w:r>
      <w:r>
        <w:rPr>
          <w:b/>
          <w:bCs/>
        </w:rPr>
        <w:t>DOI verification</w:t>
      </w:r>
      <w:r>
        <w:t xml:space="preserve"> — Validação de citações</w:t>
      </w:r>
    </w:p>
    <w:p w14:paraId="0F139BCE" w14:textId="77777777" w:rsidR="00C34FD2" w:rsidRDefault="00000000">
      <w:pPr>
        <w:pStyle w:val="Ttulo4"/>
      </w:pPr>
      <w:bookmarkStart w:id="255" w:name="design"/>
      <w:bookmarkEnd w:id="254"/>
      <w:r>
        <w:t>12.7.0.4 Design</w:t>
      </w:r>
    </w:p>
    <w:p w14:paraId="7E4CD3F9" w14:textId="77777777" w:rsidR="00C34FD2" w:rsidRDefault="00000000">
      <w:pPr>
        <w:pStyle w:val="FirstParagraph"/>
      </w:pPr>
      <w:r>
        <w:rPr>
          <w:b/>
          <w:bCs/>
        </w:rPr>
        <w:t>CSS moderno</w:t>
      </w:r>
      <w:r>
        <w:t xml:space="preserve"> — Interface responsiva</w:t>
      </w:r>
      <w:r>
        <w:br/>
      </w:r>
      <w:r>
        <w:rPr>
          <w:b/>
          <w:bCs/>
        </w:rPr>
        <w:t>Inter typography</w:t>
      </w:r>
      <w:r>
        <w:t xml:space="preserve"> — Tipografia limpa</w:t>
      </w:r>
      <w:r>
        <w:br/>
      </w:r>
      <w:r>
        <w:rPr>
          <w:b/>
          <w:bCs/>
        </w:rPr>
        <w:t>SVG graphics</w:t>
      </w:r>
      <w:r>
        <w:t xml:space="preserve"> — Ícones escaláveis</w:t>
      </w:r>
    </w:p>
    <w:p w14:paraId="646CE2C1" w14:textId="77777777" w:rsidR="00C34FD2" w:rsidRDefault="00000000">
      <w:pPr>
        <w:pStyle w:val="Ttulo3"/>
      </w:pPr>
      <w:bookmarkStart w:id="256" w:name="inteligência-artificial"/>
      <w:bookmarkStart w:id="257" w:name="_Toc229219631"/>
      <w:bookmarkEnd w:id="255"/>
      <w:r>
        <w:t>12.7.1 Inteligência artificial</w:t>
      </w:r>
      <w:bookmarkEnd w:id="257"/>
    </w:p>
    <w:p w14:paraId="4043E426" w14:textId="77777777" w:rsidR="00C34FD2" w:rsidRDefault="00000000">
      <w:pPr>
        <w:pStyle w:val="FirstParagraph"/>
      </w:pPr>
      <w:r>
        <w:t>O desenvolvimento contou com auxílio de IA generativa:</w:t>
      </w:r>
    </w:p>
    <w:p w14:paraId="07945E13" w14:textId="77777777" w:rsidR="00C34FD2" w:rsidRDefault="00000000">
      <w:pPr>
        <w:pStyle w:val="Compact"/>
        <w:numPr>
          <w:ilvl w:val="0"/>
          <w:numId w:val="12"/>
        </w:numPr>
      </w:pPr>
      <w:r>
        <w:rPr>
          <w:b/>
          <w:bCs/>
        </w:rPr>
        <w:t>Claude</w:t>
      </w:r>
      <w:r>
        <w:t xml:space="preserve"> (Anthropic) — assistência na estruturação, código CSS, organização bibliográfica</w:t>
      </w:r>
    </w:p>
    <w:p w14:paraId="61E9B154" w14:textId="77777777" w:rsidR="00C34FD2" w:rsidRDefault="00000000">
      <w:pPr>
        <w:pStyle w:val="Compact"/>
        <w:numPr>
          <w:ilvl w:val="0"/>
          <w:numId w:val="12"/>
        </w:numPr>
      </w:pPr>
      <w:r>
        <w:rPr>
          <w:b/>
          <w:bCs/>
        </w:rPr>
        <w:t>PubMed search automation</w:t>
      </w:r>
      <w:r>
        <w:t xml:space="preserve"> — busca sistemática de literatura recente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126"/>
      </w:tblGrid>
      <w:tr w:rsidR="00C34FD2" w14:paraId="32886D91" w14:textId="77777777" w:rsidTr="00C34FD2">
        <w:trPr>
          <w:cantSplit/>
        </w:trPr>
        <w:tc>
          <w:tcPr>
            <w:tcW w:w="0" w:type="auto"/>
            <w:shd w:val="clear" w:color="auto" w:fill="DAE6FB"/>
            <w:tcMar>
              <w:top w:w="92" w:type="dxa"/>
              <w:bottom w:w="92" w:type="dxa"/>
            </w:tcMar>
          </w:tcPr>
          <w:p w14:paraId="5D44C6B8" w14:textId="77777777" w:rsidR="00C34FD2" w:rsidRDefault="00000000">
            <w:pPr>
              <w:pStyle w:val="FirstParagraph"/>
              <w:spacing w:before="0" w:after="0"/>
              <w:textAlignment w:val="center"/>
            </w:pPr>
            <w:r>
              <w:rPr>
                <w:noProof/>
              </w:rPr>
              <w:lastRenderedPageBreak/>
              <w:drawing>
                <wp:inline distT="0" distB="0" distL="0" distR="0" wp14:anchorId="6382BE06" wp14:editId="29C0E351">
                  <wp:extent cx="152400" cy="152400"/>
                  <wp:effectExtent l="0" t="0" r="0" b="0"/>
                  <wp:docPr id="275" name="Picture"/>
                  <wp:cNvGraphicFramePr/>
                  <a:graphic xmlns:a="http://schemas.openxmlformats.org/drawingml/2006/main">
                    <a:graphicData uri="http://schemas.openxmlformats.org/drawingml/2006/picture">
                      <pic:pic xmlns:pic="http://schemas.openxmlformats.org/drawingml/2006/picture">
                        <pic:nvPicPr>
                          <pic:cNvPr id="276" name="Picture" descr="/Applications/quarto/share/formats/docx/note.png"/>
                          <pic:cNvPicPr>
                            <a:picLocks noChangeAspect="1" noChangeArrowheads="1"/>
                          </pic:cNvPicPr>
                        </pic:nvPicPr>
                        <pic:blipFill>
                          <a:blip r:embed="rId87"/>
                          <a:stretch>
                            <a:fillRect/>
                          </a:stretch>
                        </pic:blipFill>
                        <pic:spPr bwMode="auto">
                          <a:xfrm>
                            <a:off x="0" y="0"/>
                            <a:ext cx="152400" cy="152400"/>
                          </a:xfrm>
                          <a:prstGeom prst="rect">
                            <a:avLst/>
                          </a:prstGeom>
                          <a:noFill/>
                          <a:ln w="9525">
                            <a:noFill/>
                            <a:headEnd/>
                            <a:tailEnd/>
                          </a:ln>
                        </pic:spPr>
                      </pic:pic>
                    </a:graphicData>
                  </a:graphic>
                </wp:inline>
              </w:drawing>
            </w:r>
            <w:r>
              <w:t xml:space="preserve">  Transparência sobre uso de IA</w:t>
            </w:r>
          </w:p>
        </w:tc>
      </w:tr>
      <w:tr w:rsidR="00C34FD2" w14:paraId="0B0BAC1E" w14:textId="77777777" w:rsidTr="00C34FD2">
        <w:trPr>
          <w:cantSplit/>
        </w:trPr>
        <w:tc>
          <w:tcPr>
            <w:tcW w:w="0" w:type="auto"/>
            <w:tcMar>
              <w:top w:w="108" w:type="dxa"/>
              <w:bottom w:w="108" w:type="dxa"/>
            </w:tcMar>
          </w:tcPr>
          <w:p w14:paraId="36E01CA8" w14:textId="77777777" w:rsidR="00C34FD2" w:rsidRDefault="00000000">
            <w:pPr>
              <w:pStyle w:val="Corpodetexto"/>
              <w:spacing w:before="16" w:after="16"/>
            </w:pPr>
            <w:r>
              <w:t>A IA foi utilizada como ferramenta de apoio, não substituto do trabalho intelectual. Toda informação foi verificada, todas as referências conferidas individualmente, todos os DOIs validados. A responsabilidade pelo conteúdo final é integralmente do autor.</w:t>
            </w:r>
          </w:p>
          <w:p w14:paraId="4EB82FB9" w14:textId="77777777" w:rsidR="00C34FD2" w:rsidRDefault="00C34FD2"/>
        </w:tc>
      </w:tr>
    </w:tbl>
    <w:p w14:paraId="59D6C18E" w14:textId="77777777" w:rsidR="00C34FD2" w:rsidRDefault="00000000">
      <w:pPr>
        <w:pStyle w:val="Ttulo2"/>
      </w:pPr>
      <w:bookmarkStart w:id="258" w:name="repositório-e-colaboração"/>
      <w:bookmarkStart w:id="259" w:name="_Toc229219632"/>
      <w:bookmarkEnd w:id="250"/>
      <w:bookmarkEnd w:id="256"/>
      <w:r>
        <w:t>12.8 Repositório e colaboração</w:t>
      </w:r>
      <w:bookmarkEnd w:id="259"/>
    </w:p>
    <w:p w14:paraId="1ECC4971" w14:textId="77777777" w:rsidR="00C34FD2" w:rsidRDefault="00000000">
      <w:pPr>
        <w:pStyle w:val="FirstParagraph"/>
      </w:pPr>
      <w:r>
        <w:t>O código-fonte está disponível publicamente:</w:t>
      </w:r>
    </w:p>
    <w:p w14:paraId="1E2A3A43" w14:textId="77777777" w:rsidR="00C34FD2" w:rsidRDefault="00000000">
      <w:pPr>
        <w:pStyle w:val="Corpodetexto"/>
      </w:pPr>
      <w:r>
        <w:t xml:space="preserve">🔗 </w:t>
      </w:r>
      <w:r>
        <w:rPr>
          <w:b/>
          <w:bCs/>
        </w:rPr>
        <w:t>Repositório:</w:t>
      </w:r>
      <w:r>
        <w:t xml:space="preserve"> </w:t>
      </w:r>
      <w:hyperlink r:id="rId88">
        <w:r>
          <w:rPr>
            <w:rStyle w:val="Hyperlink"/>
          </w:rPr>
          <w:t>github.com/henriquealvarenga/causalidade</w:t>
        </w:r>
      </w:hyperlink>
    </w:p>
    <w:p w14:paraId="5509D762" w14:textId="77777777" w:rsidR="00C34FD2" w:rsidRDefault="00000000">
      <w:pPr>
        <w:pStyle w:val="Corpodetexto"/>
      </w:pPr>
      <w:r>
        <w:t xml:space="preserve">Contribuições são bem-vindas via </w:t>
      </w:r>
      <w:r>
        <w:rPr>
          <w:i/>
          <w:iCs/>
        </w:rPr>
        <w:t>issues</w:t>
      </w:r>
      <w:r>
        <w:t xml:space="preserve"> ou </w:t>
      </w:r>
      <w:r>
        <w:rPr>
          <w:i/>
          <w:iCs/>
        </w:rPr>
        <w:t>pull requests</w:t>
      </w:r>
      <w:r>
        <w:t>, especialmente: - Correções bibliográficas - Sugestões de novos casos paradigmáticos - Melhorias na interface - Traduções para outras línguas</w:t>
      </w:r>
    </w:p>
    <w:p w14:paraId="7598A988" w14:textId="77777777" w:rsidR="00C34FD2" w:rsidRDefault="00000000">
      <w:pPr>
        <w:pStyle w:val="Ttulo2"/>
      </w:pPr>
      <w:bookmarkStart w:id="260" w:name="outros-projetos-do-autor"/>
      <w:bookmarkStart w:id="261" w:name="_Toc229219633"/>
      <w:bookmarkEnd w:id="258"/>
      <w:r>
        <w:t>12.9 Outros projetos do autor</w:t>
      </w:r>
      <w:bookmarkEnd w:id="261"/>
    </w:p>
    <w:p w14:paraId="7CACCBED" w14:textId="77777777" w:rsidR="00C34FD2" w:rsidRDefault="00000000">
      <w:pPr>
        <w:pStyle w:val="Compact"/>
        <w:numPr>
          <w:ilvl w:val="0"/>
          <w:numId w:val="13"/>
        </w:numPr>
      </w:pPr>
      <w:hyperlink r:id="rId89">
        <w:r>
          <w:rPr>
            <w:rStyle w:val="Hyperlink"/>
          </w:rPr>
          <w:t>Tipos de Dados em Saúde</w:t>
        </w:r>
      </w:hyperlink>
      <w:r>
        <w:t xml:space="preserve"> — Classificação e organização de dados para pesquisa</w:t>
      </w:r>
    </w:p>
    <w:p w14:paraId="0C18372A" w14:textId="77777777" w:rsidR="00C34FD2" w:rsidRDefault="00000000">
      <w:pPr>
        <w:pStyle w:val="Compact"/>
        <w:numPr>
          <w:ilvl w:val="0"/>
          <w:numId w:val="13"/>
        </w:numPr>
      </w:pPr>
      <w:hyperlink r:id="rId90">
        <w:r>
          <w:rPr>
            <w:rStyle w:val="Hyperlink"/>
          </w:rPr>
          <w:t>Dos Dados aos Gráficos</w:t>
        </w:r>
      </w:hyperlink>
      <w:r>
        <w:t xml:space="preserve"> — Visualização estatística para profissionais de saúde</w:t>
      </w:r>
      <w:r>
        <w:br/>
      </w:r>
    </w:p>
    <w:p w14:paraId="180907AC" w14:textId="77777777" w:rsidR="00C34FD2" w:rsidRDefault="00000000">
      <w:pPr>
        <w:pStyle w:val="Compact"/>
        <w:numPr>
          <w:ilvl w:val="0"/>
          <w:numId w:val="13"/>
        </w:numPr>
      </w:pPr>
      <w:hyperlink r:id="rId91">
        <w:r>
          <w:rPr>
            <w:rStyle w:val="Hyperlink"/>
          </w:rPr>
          <w:t>Revisões de Literatura em Saúde</w:t>
        </w:r>
      </w:hyperlink>
      <w:r>
        <w:t xml:space="preserve"> — Metodologia para revisão sistemática</w:t>
      </w:r>
    </w:p>
    <w:p w14:paraId="2D781AEA" w14:textId="77777777" w:rsidR="00C34FD2" w:rsidRDefault="00000000">
      <w:pPr>
        <w:pStyle w:val="Compact"/>
        <w:numPr>
          <w:ilvl w:val="0"/>
          <w:numId w:val="13"/>
        </w:numPr>
      </w:pPr>
      <w:hyperlink r:id="rId92">
        <w:r>
          <w:rPr>
            <w:rStyle w:val="Hyperlink"/>
          </w:rPr>
          <w:t>Manual Básico da Linguagem R</w:t>
        </w:r>
      </w:hyperlink>
      <w:r>
        <w:t xml:space="preserve"> — Introdução à programação estatística</w:t>
      </w:r>
    </w:p>
    <w:p w14:paraId="73AD5D25" w14:textId="77777777" w:rsidR="00C34FD2" w:rsidRDefault="00000000">
      <w:pPr>
        <w:pStyle w:val="Ttulo2"/>
      </w:pPr>
      <w:bookmarkStart w:id="262" w:name="licenciamento"/>
      <w:bookmarkStart w:id="263" w:name="_Toc229219634"/>
      <w:bookmarkEnd w:id="260"/>
      <w:r>
        <w:t>12.10 Licenciamento</w:t>
      </w:r>
      <w:bookmarkEnd w:id="263"/>
    </w:p>
    <w:p w14:paraId="5CDB41FC" w14:textId="77777777" w:rsidR="00C34FD2" w:rsidRDefault="00000000">
      <w:pPr>
        <w:pStyle w:val="FirstParagraph"/>
      </w:pPr>
      <w:r>
        <w:t xml:space="preserve">Este trabalho está licenciado sob </w:t>
      </w:r>
      <w:r>
        <w:rPr>
          <w:b/>
          <w:bCs/>
        </w:rPr>
        <w:t>Creative Commons Atribuição-NãoComercial-CompartilhaIgual 4.0 Internacional (CC BY-NC-SA 4.0)</w:t>
      </w:r>
      <w:r>
        <w:t>.</w:t>
      </w:r>
    </w:p>
    <w:p w14:paraId="627F4FD0" w14:textId="77777777" w:rsidR="00C34FD2" w:rsidRDefault="00000000">
      <w:pPr>
        <w:pStyle w:val="Corpodetexto"/>
      </w:pPr>
      <w:r>
        <w:rPr>
          <w:b/>
          <w:bCs/>
        </w:rPr>
        <w:t>Você pode:</w:t>
      </w:r>
      <w:r>
        <w:t xml:space="preserve"> - </w:t>
      </w:r>
      <w:r>
        <w:rPr>
          <w:b/>
          <w:bCs/>
        </w:rPr>
        <w:t>Compartilhar</w:t>
      </w:r>
      <w:r>
        <w:t xml:space="preserve"> — copiar e redistribuir o material. - </w:t>
      </w:r>
      <w:r>
        <w:rPr>
          <w:b/>
          <w:bCs/>
        </w:rPr>
        <w:t>Adaptar</w:t>
      </w:r>
      <w:r>
        <w:t xml:space="preserve"> — remixar, transformar e criar a partir do material.</w:t>
      </w:r>
    </w:p>
    <w:p w14:paraId="4925D4A6" w14:textId="77777777" w:rsidR="00C34FD2" w:rsidRDefault="00000000">
      <w:pPr>
        <w:pStyle w:val="Corpodetexto"/>
      </w:pPr>
      <w:r>
        <w:rPr>
          <w:b/>
          <w:bCs/>
        </w:rPr>
        <w:t>Sob as condições:</w:t>
      </w:r>
      <w:r>
        <w:t xml:space="preserve">. - </w:t>
      </w:r>
      <w:r>
        <w:rPr>
          <w:b/>
          <w:bCs/>
        </w:rPr>
        <w:t>Atribuição</w:t>
      </w:r>
      <w:r>
        <w:t xml:space="preserve"> — dar crédito apropriado.</w:t>
      </w:r>
      <w:r>
        <w:br/>
        <w:t xml:space="preserve">- </w:t>
      </w:r>
      <w:r>
        <w:rPr>
          <w:b/>
          <w:bCs/>
        </w:rPr>
        <w:t>NãoComercial</w:t>
      </w:r>
      <w:r>
        <w:t xml:space="preserve"> — não usar para fins comerciais.</w:t>
      </w:r>
    </w:p>
    <w:p w14:paraId="4B5BC855" w14:textId="77777777" w:rsidR="00C34FD2" w:rsidRDefault="00000000">
      <w:pPr>
        <w:pStyle w:val="Corpodetexto"/>
      </w:pPr>
      <w:r>
        <w:t xml:space="preserve">🔗 </w:t>
      </w:r>
      <w:hyperlink r:id="rId93">
        <w:r>
          <w:rPr>
            <w:rStyle w:val="Hyperlink"/>
          </w:rPr>
          <w:t>Texto completo da licença</w:t>
        </w:r>
      </w:hyperlink>
    </w:p>
    <w:p w14:paraId="1B215187" w14:textId="77777777" w:rsidR="00C34FD2" w:rsidRDefault="00000000">
      <w:pPr>
        <w:pStyle w:val="Ttulo2"/>
      </w:pPr>
      <w:bookmarkStart w:id="264" w:name="citação-sugerida"/>
      <w:bookmarkStart w:id="265" w:name="_Toc229219635"/>
      <w:bookmarkEnd w:id="262"/>
      <w:r>
        <w:t>12.11 Citação sugerida</w:t>
      </w:r>
      <w:bookmarkEnd w:id="265"/>
    </w:p>
    <w:p w14:paraId="68416A0D" w14:textId="77777777" w:rsidR="00C34FD2" w:rsidRDefault="00000000">
      <w:pPr>
        <w:pStyle w:val="FirstParagraph"/>
      </w:pPr>
      <w:r>
        <w:rPr>
          <w:b/>
          <w:bCs/>
        </w:rPr>
        <w:t>ABNT:</w:t>
      </w:r>
      <w:r>
        <w:t xml:space="preserve"> SILVA, Henrique Alvarenga da. </w:t>
      </w:r>
      <w:r>
        <w:rPr>
          <w:b/>
          <w:bCs/>
        </w:rPr>
        <w:t>Da Correlação à Causalidade: O Difícil Caminho da Evidência Científica</w:t>
      </w:r>
      <w:r>
        <w:t>. Recurso educacional aberto, 2026. Disponível em: https://henriquealvarenga.com/correlacao-causalidade/</w:t>
      </w:r>
    </w:p>
    <w:p w14:paraId="308E75E6" w14:textId="77777777" w:rsidR="00C34FD2" w:rsidRDefault="00000000">
      <w:pPr>
        <w:pStyle w:val="Corpodetexto"/>
      </w:pPr>
      <w:r>
        <w:rPr>
          <w:b/>
          <w:bCs/>
        </w:rPr>
        <w:lastRenderedPageBreak/>
        <w:t>APA 7ª ed.:</w:t>
      </w:r>
      <w:r>
        <w:t xml:space="preserve"> Silva, H. A. (2026). </w:t>
      </w:r>
      <w:r>
        <w:rPr>
          <w:i/>
          <w:iCs/>
        </w:rPr>
        <w:t>Da correlação à causalidade: O difícil caminho da evidência científica</w:t>
      </w:r>
      <w:r>
        <w:t>. Recurso educacional aberto. https://henriquealvarenga.com/correlacao-causalidade/</w:t>
      </w:r>
    </w:p>
    <w:p w14:paraId="644DD816" w14:textId="77777777" w:rsidR="00C34FD2" w:rsidRDefault="00000000">
      <w:pPr>
        <w:pStyle w:val="Corpodetexto"/>
      </w:pPr>
      <w:r>
        <w:rPr>
          <w:b/>
          <w:bCs/>
        </w:rPr>
        <w:t>BibTeX:</w:t>
      </w:r>
    </w:p>
    <w:p w14:paraId="1967B48A" w14:textId="77777777" w:rsidR="00C34FD2" w:rsidRDefault="00000000">
      <w:pPr>
        <w:pStyle w:val="SourceCode"/>
      </w:pPr>
      <w:r>
        <w:rPr>
          <w:rStyle w:val="VerbatimChar"/>
        </w:rPr>
        <w:t>@misc{silva2026correlacao,</w:t>
      </w:r>
      <w:r>
        <w:br/>
      </w:r>
      <w:r>
        <w:rPr>
          <w:rStyle w:val="VerbatimChar"/>
        </w:rPr>
        <w:t xml:space="preserve">  author = {Silva, Henrique Alvarenga da},</w:t>
      </w:r>
      <w:r>
        <w:br/>
      </w:r>
      <w:r>
        <w:rPr>
          <w:rStyle w:val="VerbatimChar"/>
        </w:rPr>
        <w:t xml:space="preserve">  title = {Da Correlação à Causalidade: O Difícil Caminho da Evidência Científica},</w:t>
      </w:r>
      <w:r>
        <w:br/>
      </w:r>
      <w:r>
        <w:rPr>
          <w:rStyle w:val="VerbatimChar"/>
        </w:rPr>
        <w:t xml:space="preserve">  year = {2026},</w:t>
      </w:r>
      <w:r>
        <w:br/>
      </w:r>
      <w:r>
        <w:rPr>
          <w:rStyle w:val="VerbatimChar"/>
        </w:rPr>
        <w:t xml:space="preserve">  url = {https://henriquealvarenga.com/correlacao-causalidade/},</w:t>
      </w:r>
      <w:r>
        <w:br/>
      </w:r>
      <w:r>
        <w:rPr>
          <w:rStyle w:val="VerbatimChar"/>
        </w:rPr>
        <w:t xml:space="preserve">  note = {Recurso educacional aberto}</w:t>
      </w:r>
      <w:r>
        <w:br/>
      </w:r>
      <w:r>
        <w:rPr>
          <w:rStyle w:val="VerbatimChar"/>
        </w:rPr>
        <w:t>}</w:t>
      </w:r>
    </w:p>
    <w:p w14:paraId="3A85BEDE" w14:textId="77777777" w:rsidR="00C34FD2" w:rsidRDefault="00000000">
      <w:pPr>
        <w:pStyle w:val="Ttulo2"/>
      </w:pPr>
      <w:bookmarkStart w:id="266" w:name="agradecimentos"/>
      <w:bookmarkStart w:id="267" w:name="_Toc229219636"/>
      <w:bookmarkEnd w:id="264"/>
      <w:r>
        <w:t>12.12 Agradecimentos</w:t>
      </w:r>
      <w:bookmarkEnd w:id="267"/>
    </w:p>
    <w:p w14:paraId="37F80EFC" w14:textId="77777777" w:rsidR="00C34FD2" w:rsidRDefault="00000000">
      <w:pPr>
        <w:pStyle w:val="FirstParagraph"/>
      </w:pPr>
      <w:r>
        <w:t>Aos estudantes de medicina que, com suas perguntas sobre “essa nova descoberta que saiu no jornal”, motivaram a criação deste material.</w:t>
      </w:r>
    </w:p>
    <w:p w14:paraId="4263A633" w14:textId="77777777" w:rsidR="00C34FD2" w:rsidRDefault="00000000">
      <w:pPr>
        <w:pStyle w:val="Ttulo2"/>
      </w:pPr>
      <w:bookmarkStart w:id="268" w:name="contato"/>
      <w:bookmarkStart w:id="269" w:name="_Toc229219637"/>
      <w:bookmarkEnd w:id="266"/>
      <w:r>
        <w:t>12.13 Contato</w:t>
      </w:r>
      <w:bookmarkEnd w:id="269"/>
    </w:p>
    <w:p w14:paraId="03EBC567" w14:textId="77777777" w:rsidR="00C34FD2" w:rsidRDefault="00000000">
      <w:pPr>
        <w:pStyle w:val="FirstParagraph"/>
      </w:pPr>
      <w:r>
        <w:t>Dúvidas, sugestões ou correções:</w:t>
      </w:r>
    </w:p>
    <w:p w14:paraId="0700AFDA" w14:textId="77777777" w:rsidR="00C34FD2" w:rsidRDefault="00000000">
      <w:pPr>
        <w:pStyle w:val="Corpodetexto"/>
      </w:pPr>
      <w:r>
        <w:t xml:space="preserve">📧 </w:t>
      </w:r>
      <w:hyperlink r:id="rId94">
        <w:r>
          <w:rPr>
            <w:rStyle w:val="Hyperlink"/>
          </w:rPr>
          <w:t>henriquealvarenga@ufsj.edu.br</w:t>
        </w:r>
      </w:hyperlink>
    </w:p>
    <w:p w14:paraId="4066F0D9" w14:textId="77777777" w:rsidR="00C34FD2" w:rsidRDefault="00000000">
      <w:pPr>
        <w:pStyle w:val="Corpodetexto"/>
      </w:pPr>
      <w:r>
        <w:t xml:space="preserve">Ou via </w:t>
      </w:r>
      <w:r>
        <w:rPr>
          <w:i/>
          <w:iCs/>
        </w:rPr>
        <w:t>issues</w:t>
      </w:r>
      <w:r>
        <w:t xml:space="preserve"> no repositório GitHub.</w:t>
      </w:r>
    </w:p>
    <w:p w14:paraId="48328694" w14:textId="77777777" w:rsidR="00C34FD2" w:rsidRDefault="009A2673">
      <w:r>
        <w:rPr>
          <w:noProof/>
        </w:rPr>
        <w:pict w14:anchorId="50821DCB">
          <v:rect id="_x0000_i1025" alt="" style="width:425.2pt;height:.05pt;mso-width-percent:0;mso-height-percent:0;mso-width-percent:0;mso-height-percent:0" o:hralign="center" o:hrstd="t" o:hr="t"/>
        </w:pict>
      </w:r>
    </w:p>
    <w:p w14:paraId="5561BC1F" w14:textId="77777777" w:rsidR="00C34FD2" w:rsidRDefault="00000000">
      <w:pPr>
        <w:pStyle w:val="FirstParagraph"/>
      </w:pPr>
      <w:r>
        <w:rPr>
          <w:i/>
          <w:iCs/>
        </w:rPr>
        <w:t>Última atualização: Maio de 2026</w:t>
      </w:r>
      <w:bookmarkEnd w:id="246"/>
      <w:bookmarkEnd w:id="268"/>
    </w:p>
    <w:sectPr w:rsidR="00C34FD2" w:rsidSect="00DD26E6">
      <w:footnotePr>
        <w:numRestart w:val="eachSect"/>
      </w:footnotePr>
      <w:pgSz w:w="12240" w:h="15840"/>
      <w:pgMar w:top="1417" w:right="1701" w:bottom="1417" w:left="1701"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346C2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946D6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D23B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3666587">
    <w:abstractNumId w:val="0"/>
  </w:num>
  <w:num w:numId="2" w16cid:durableId="1665234740">
    <w:abstractNumId w:val="1"/>
  </w:num>
  <w:num w:numId="3" w16cid:durableId="15264793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54642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5122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36358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62745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73113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962847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2468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327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39478893">
    <w:abstractNumId w:val="1"/>
  </w:num>
  <w:num w:numId="13" w16cid:durableId="981884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34FD2"/>
    <w:rsid w:val="00274C70"/>
    <w:rsid w:val="009A2673"/>
    <w:rsid w:val="00AF1B75"/>
    <w:rsid w:val="00C34FD2"/>
    <w:rsid w:val="00DD26E6"/>
    <w:rsid w:val="00E84B0E"/>
    <w:rsid w:val="00F40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EB21"/>
  <w15:docId w15:val="{CDCA89AC-7ECA-6547-A986-DFCC4325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uiPriority w:val="99"/>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Sumrio1">
    <w:name w:val="toc 1"/>
    <w:basedOn w:val="Normal"/>
    <w:next w:val="Normal"/>
    <w:autoRedefine/>
    <w:uiPriority w:val="39"/>
    <w:rsid w:val="00274C70"/>
    <w:pPr>
      <w:spacing w:after="100"/>
    </w:pPr>
  </w:style>
  <w:style w:type="paragraph" w:styleId="Sumrio2">
    <w:name w:val="toc 2"/>
    <w:basedOn w:val="Normal"/>
    <w:next w:val="Normal"/>
    <w:autoRedefine/>
    <w:uiPriority w:val="39"/>
    <w:rsid w:val="00274C70"/>
    <w:pPr>
      <w:spacing w:after="100"/>
      <w:ind w:left="240"/>
    </w:pPr>
  </w:style>
  <w:style w:type="paragraph" w:styleId="Sumrio3">
    <w:name w:val="toc 3"/>
    <w:basedOn w:val="Normal"/>
    <w:next w:val="Normal"/>
    <w:autoRedefine/>
    <w:uiPriority w:val="39"/>
    <w:rsid w:val="00274C70"/>
    <w:pPr>
      <w:spacing w:after="100"/>
      <w:ind w:left="480"/>
    </w:pPr>
  </w:style>
  <w:style w:type="paragraph" w:styleId="Sumrio4">
    <w:name w:val="toc 4"/>
    <w:basedOn w:val="Normal"/>
    <w:next w:val="Normal"/>
    <w:autoRedefine/>
    <w:uiPriority w:val="39"/>
    <w:unhideWhenUsed/>
    <w:rsid w:val="00274C70"/>
    <w:pPr>
      <w:spacing w:after="100" w:line="278" w:lineRule="auto"/>
      <w:ind w:left="720"/>
    </w:pPr>
    <w:rPr>
      <w:rFonts w:eastAsiaTheme="minorEastAsia"/>
      <w:kern w:val="2"/>
      <w:lang w:eastAsia="pt-BR"/>
    </w:rPr>
  </w:style>
  <w:style w:type="paragraph" w:styleId="Sumrio5">
    <w:name w:val="toc 5"/>
    <w:basedOn w:val="Normal"/>
    <w:next w:val="Normal"/>
    <w:autoRedefine/>
    <w:uiPriority w:val="39"/>
    <w:unhideWhenUsed/>
    <w:rsid w:val="00274C70"/>
    <w:pPr>
      <w:spacing w:after="100" w:line="278" w:lineRule="auto"/>
      <w:ind w:left="960"/>
    </w:pPr>
    <w:rPr>
      <w:rFonts w:eastAsiaTheme="minorEastAsia"/>
      <w:kern w:val="2"/>
      <w:lang w:eastAsia="pt-BR"/>
    </w:rPr>
  </w:style>
  <w:style w:type="paragraph" w:styleId="Sumrio6">
    <w:name w:val="toc 6"/>
    <w:basedOn w:val="Normal"/>
    <w:next w:val="Normal"/>
    <w:autoRedefine/>
    <w:uiPriority w:val="39"/>
    <w:unhideWhenUsed/>
    <w:rsid w:val="00274C70"/>
    <w:pPr>
      <w:spacing w:after="100" w:line="278" w:lineRule="auto"/>
      <w:ind w:left="1200"/>
    </w:pPr>
    <w:rPr>
      <w:rFonts w:eastAsiaTheme="minorEastAsia"/>
      <w:kern w:val="2"/>
      <w:lang w:eastAsia="pt-BR"/>
    </w:rPr>
  </w:style>
  <w:style w:type="paragraph" w:styleId="Sumrio7">
    <w:name w:val="toc 7"/>
    <w:basedOn w:val="Normal"/>
    <w:next w:val="Normal"/>
    <w:autoRedefine/>
    <w:uiPriority w:val="39"/>
    <w:unhideWhenUsed/>
    <w:rsid w:val="00274C70"/>
    <w:pPr>
      <w:spacing w:after="100" w:line="278" w:lineRule="auto"/>
      <w:ind w:left="1440"/>
    </w:pPr>
    <w:rPr>
      <w:rFonts w:eastAsiaTheme="minorEastAsia"/>
      <w:kern w:val="2"/>
      <w:lang w:eastAsia="pt-BR"/>
    </w:rPr>
  </w:style>
  <w:style w:type="paragraph" w:styleId="Sumrio8">
    <w:name w:val="toc 8"/>
    <w:basedOn w:val="Normal"/>
    <w:next w:val="Normal"/>
    <w:autoRedefine/>
    <w:uiPriority w:val="39"/>
    <w:unhideWhenUsed/>
    <w:rsid w:val="00274C70"/>
    <w:pPr>
      <w:spacing w:after="100" w:line="278" w:lineRule="auto"/>
      <w:ind w:left="1680"/>
    </w:pPr>
    <w:rPr>
      <w:rFonts w:eastAsiaTheme="minorEastAsia"/>
      <w:kern w:val="2"/>
      <w:lang w:eastAsia="pt-BR"/>
    </w:rPr>
  </w:style>
  <w:style w:type="paragraph" w:styleId="Sumrio9">
    <w:name w:val="toc 9"/>
    <w:basedOn w:val="Normal"/>
    <w:next w:val="Normal"/>
    <w:autoRedefine/>
    <w:uiPriority w:val="39"/>
    <w:unhideWhenUsed/>
    <w:rsid w:val="00274C70"/>
    <w:pPr>
      <w:spacing w:after="100" w:line="278" w:lineRule="auto"/>
      <w:ind w:left="1920"/>
    </w:pPr>
    <w:rPr>
      <w:rFonts w:eastAsiaTheme="minorEastAsia"/>
      <w:kern w:val="2"/>
      <w:lang w:eastAsia="pt-BR"/>
    </w:rPr>
  </w:style>
  <w:style w:type="character" w:styleId="MenoPendente">
    <w:name w:val="Unresolved Mention"/>
    <w:basedOn w:val="Fontepargpadro"/>
    <w:uiPriority w:val="99"/>
    <w:semiHidden/>
    <w:unhideWhenUsed/>
    <w:rsid w:val="00274C70"/>
    <w:rPr>
      <w:color w:val="605E5C"/>
      <w:shd w:val="clear" w:color="auto" w:fill="E1DFDD"/>
    </w:rPr>
  </w:style>
  <w:style w:type="paragraph" w:styleId="SemEspaamento">
    <w:name w:val="No Spacing"/>
    <w:link w:val="SemEspaamentoChar"/>
    <w:uiPriority w:val="1"/>
    <w:qFormat/>
    <w:rsid w:val="00DD26E6"/>
    <w:pPr>
      <w:spacing w:after="0"/>
    </w:pPr>
    <w:rPr>
      <w:rFonts w:eastAsiaTheme="minorEastAsia"/>
      <w:sz w:val="22"/>
      <w:szCs w:val="22"/>
      <w:lang w:val="en-US" w:eastAsia="zh-CN"/>
    </w:rPr>
  </w:style>
  <w:style w:type="character" w:customStyle="1" w:styleId="SemEspaamentoChar">
    <w:name w:val="Sem Espaçamento Char"/>
    <w:basedOn w:val="Fontepargpadro"/>
    <w:link w:val="SemEspaamento"/>
    <w:uiPriority w:val="1"/>
    <w:rsid w:val="00DD26E6"/>
    <w:rPr>
      <w:rFonts w:eastAsiaTheme="minorEastAsia"/>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vitamina-e.qmd" TargetMode="External"/><Relationship Id="rId21" Type="http://schemas.openxmlformats.org/officeDocument/2006/relationships/hyperlink" Target="casos/vitamina-d.qmd" TargetMode="External"/><Relationship Id="rId42" Type="http://schemas.openxmlformats.org/officeDocument/2006/relationships/hyperlink" Target="https://doi.org/10.1093/aje/kwv254" TargetMode="External"/><Relationship Id="rId47" Type="http://schemas.openxmlformats.org/officeDocument/2006/relationships/hyperlink" Target="https://doi.org/10.1136/jech.2010.119933" TargetMode="External"/><Relationship Id="rId63" Type="http://schemas.openxmlformats.org/officeDocument/2006/relationships/hyperlink" Target="https://doi.org/10.7326/0003-4819-142-1-200501040-00110" TargetMode="External"/><Relationship Id="rId68" Type="http://schemas.openxmlformats.org/officeDocument/2006/relationships/hyperlink" Target="https://doi.org/10.1001/jama.297.8.842" TargetMode="External"/><Relationship Id="rId84" Type="http://schemas.openxmlformats.org/officeDocument/2006/relationships/hyperlink" Target="mailto:henrique@ufsj.edu.br" TargetMode="External"/><Relationship Id="rId89" Type="http://schemas.openxmlformats.org/officeDocument/2006/relationships/hyperlink" Target="www.henriquealvarenga.com/tiposdedados" TargetMode="External"/><Relationship Id="rId16" Type="http://schemas.openxmlformats.org/officeDocument/2006/relationships/image" Target="media/image11.svg"/><Relationship Id="rId11" Type="http://schemas.openxmlformats.org/officeDocument/2006/relationships/image" Target="media/image6.png"/><Relationship Id="rId32" Type="http://schemas.openxmlformats.org/officeDocument/2006/relationships/hyperlink" Target="https://doi.org/10.1016/j.jclinepi.2025.112087" TargetMode="External"/><Relationship Id="rId37" Type="http://schemas.openxmlformats.org/officeDocument/2006/relationships/hyperlink" Target="https://doi.org/10.1093/oxfordjournals.aje.a112335" TargetMode="External"/><Relationship Id="rId53" Type="http://schemas.openxmlformats.org/officeDocument/2006/relationships/hyperlink" Target="https://doi.org/10.1056/NEJM198510243131703" TargetMode="External"/><Relationship Id="rId58" Type="http://schemas.openxmlformats.org/officeDocument/2006/relationships/hyperlink" Target="https://doi.org/10.1001/jama.2017.11217" TargetMode="External"/><Relationship Id="rId74" Type="http://schemas.openxmlformats.org/officeDocument/2006/relationships/hyperlink" Target="https://doi.org/10.1056/NEJMoa1811403" TargetMode="External"/><Relationship Id="rId79" Type="http://schemas.openxmlformats.org/officeDocument/2006/relationships/hyperlink" Target="https://doi.org/10.1016/0735-1097(92)90267-Q" TargetMode="External"/><Relationship Id="rId5" Type="http://schemas.openxmlformats.org/officeDocument/2006/relationships/hyperlink" Target="https://henriquealvarenga.com/correlacao-causalidade/" TargetMode="External"/><Relationship Id="rId90" Type="http://schemas.openxmlformats.org/officeDocument/2006/relationships/hyperlink" Target="www.henriquealvarenga.com/graficos" TargetMode="External"/><Relationship Id="rId95" Type="http://schemas.openxmlformats.org/officeDocument/2006/relationships/fontTable" Target="fontTable.xml"/><Relationship Id="rId22" Type="http://schemas.openxmlformats.org/officeDocument/2006/relationships/hyperlink" Target="casos/vitamina-d.qmd" TargetMode="External"/><Relationship Id="rId27" Type="http://schemas.openxmlformats.org/officeDocument/2006/relationships/hyperlink" Target="betacaroteno.qmd" TargetMode="External"/><Relationship Id="rId43" Type="http://schemas.openxmlformats.org/officeDocument/2006/relationships/hyperlink" Target="https://doi.org/10.1007/s10654-020-00703-7" TargetMode="External"/><Relationship Id="rId48" Type="http://schemas.openxmlformats.org/officeDocument/2006/relationships/hyperlink" Target="https://doi.org/10.1007/s10654-018-00479-x" TargetMode="External"/><Relationship Id="rId64" Type="http://schemas.openxmlformats.org/officeDocument/2006/relationships/hyperlink" Target="https://doi.org/10.1001/jama.2011.1437" TargetMode="External"/><Relationship Id="rId69" Type="http://schemas.openxmlformats.org/officeDocument/2006/relationships/hyperlink" Target="https://doi.org/10.1016/S2213-8587(13)70165-7" TargetMode="External"/><Relationship Id="rId8" Type="http://schemas.openxmlformats.org/officeDocument/2006/relationships/image" Target="media/image3.jpg"/><Relationship Id="rId51" Type="http://schemas.openxmlformats.org/officeDocument/2006/relationships/hyperlink" Target="https://doi.org/10.2165/00002018-200225060-00012" TargetMode="External"/><Relationship Id="rId72" Type="http://schemas.openxmlformats.org/officeDocument/2006/relationships/hyperlink" Target="https://doi.org/10.21873/anticanres.13643" TargetMode="External"/><Relationship Id="rId80" Type="http://schemas.openxmlformats.org/officeDocument/2006/relationships/hyperlink" Target="https://doi.org/10.1056/NEJM198908103210629" TargetMode="External"/><Relationship Id="rId85" Type="http://schemas.openxmlformats.org/officeDocument/2006/relationships/hyperlink" Target="https://orcid.org/0000-0001-9799-5240" TargetMode="External"/><Relationship Id="rId93" Type="http://schemas.openxmlformats.org/officeDocument/2006/relationships/hyperlink" Target="https://creativecommons.org/licenses/by-nc-sa/4.0/deed.pt_BR" TargetMode="External"/><Relationship Id="rId3" Type="http://schemas.openxmlformats.org/officeDocument/2006/relationships/settings" Target="settings.xml"/><Relationship Id="rId12" Type="http://schemas.openxmlformats.org/officeDocument/2006/relationships/image" Target="media/image7.svg"/><Relationship Id="rId17" Type="http://schemas.openxmlformats.org/officeDocument/2006/relationships/image" Target="media/image12.png"/><Relationship Id="rId25" Type="http://schemas.openxmlformats.org/officeDocument/2006/relationships/hyperlink" Target="trh.qmd" TargetMode="External"/><Relationship Id="rId33" Type="http://schemas.openxmlformats.org/officeDocument/2006/relationships/hyperlink" Target="http://www.jstor.org/stable/23333898" TargetMode="External"/><Relationship Id="rId38" Type="http://schemas.openxmlformats.org/officeDocument/2006/relationships/hyperlink" Target="https://doi.org/10.1007/s10654-021-00798-6" TargetMode="External"/><Relationship Id="rId46" Type="http://schemas.openxmlformats.org/officeDocument/2006/relationships/hyperlink" Target="https://doi.org/10.1002/sim.6825" TargetMode="External"/><Relationship Id="rId59" Type="http://schemas.openxmlformats.org/officeDocument/2006/relationships/hyperlink" Target="https://doi.org/10.1056/NEJM199305203282003" TargetMode="External"/><Relationship Id="rId67" Type="http://schemas.openxmlformats.org/officeDocument/2006/relationships/hyperlink" Target="https://doi.org/10.1056/NEJM199605023341801" TargetMode="External"/><Relationship Id="rId20" Type="http://schemas.openxmlformats.org/officeDocument/2006/relationships/hyperlink" Target="casos/vitamina-e.qmd" TargetMode="External"/><Relationship Id="rId41" Type="http://schemas.openxmlformats.org/officeDocument/2006/relationships/hyperlink" Target="https://doi.org/10.1097/EDE.0b013e3181810e29" TargetMode="External"/><Relationship Id="rId54" Type="http://schemas.openxmlformats.org/officeDocument/2006/relationships/hyperlink" Target="https://doi.org/10.1056/NEJM199109123251102" TargetMode="External"/><Relationship Id="rId62" Type="http://schemas.openxmlformats.org/officeDocument/2006/relationships/hyperlink" Target="https://doi.org/10.1056/NEJM200001203420302" TargetMode="External"/><Relationship Id="rId70" Type="http://schemas.openxmlformats.org/officeDocument/2006/relationships/hyperlink" Target="https://doi.org/10.1136/bmj.g2035" TargetMode="External"/><Relationship Id="rId75" Type="http://schemas.openxmlformats.org/officeDocument/2006/relationships/hyperlink" Target="https://doi.org/10.1056/NEJMoa1812792" TargetMode="External"/><Relationship Id="rId83" Type="http://schemas.openxmlformats.org/officeDocument/2006/relationships/hyperlink" Target="https://www.henriquealvarenga.com" TargetMode="External"/><Relationship Id="rId88" Type="http://schemas.openxmlformats.org/officeDocument/2006/relationships/hyperlink" Target="https://github.com/henriquealvarenga/causalidade" TargetMode="External"/><Relationship Id="rId91" Type="http://schemas.openxmlformats.org/officeDocument/2006/relationships/hyperlink" Target="www.henriquealvarenga.com/literature-review"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hyperlink" Target="casos/betacaroteno.qmd" TargetMode="External"/><Relationship Id="rId28" Type="http://schemas.openxmlformats.org/officeDocument/2006/relationships/hyperlink" Target="vitamina-d.qmd" TargetMode="External"/><Relationship Id="rId36" Type="http://schemas.openxmlformats.org/officeDocument/2006/relationships/hyperlink" Target="https://doi.org/10.1177/003591576505800503" TargetMode="External"/><Relationship Id="rId49" Type="http://schemas.openxmlformats.org/officeDocument/2006/relationships/hyperlink" Target="https://doi.org/10.1080/10408444.2018.1518404" TargetMode="External"/><Relationship Id="rId57" Type="http://schemas.openxmlformats.org/officeDocument/2006/relationships/hyperlink" Target="https://doi.org/10.1001/jama.2013.278040" TargetMode="External"/><Relationship Id="rId10" Type="http://schemas.openxmlformats.org/officeDocument/2006/relationships/image" Target="media/image5.png"/><Relationship Id="rId31" Type="http://schemas.openxmlformats.org/officeDocument/2006/relationships/hyperlink" Target="https://doi.org/10.1093/aje/kwt223" TargetMode="External"/><Relationship Id="rId44" Type="http://schemas.openxmlformats.org/officeDocument/2006/relationships/hyperlink" Target="https://doi.org/10.1093/aje/kwae367" TargetMode="External"/><Relationship Id="rId52" Type="http://schemas.openxmlformats.org/officeDocument/2006/relationships/hyperlink" Target="https://doi.org/10.1186/s12874-021-01220-1" TargetMode="External"/><Relationship Id="rId60" Type="http://schemas.openxmlformats.org/officeDocument/2006/relationships/hyperlink" Target="https://doi.org/10.1056/NEJM199305203282004" TargetMode="External"/><Relationship Id="rId65" Type="http://schemas.openxmlformats.org/officeDocument/2006/relationships/hyperlink" Target="https://doi.org/10.1056/NEJM199404143301501" TargetMode="External"/><Relationship Id="rId73" Type="http://schemas.openxmlformats.org/officeDocument/2006/relationships/hyperlink" Target="https://doi.org/10.1056/NEJMoa1804989" TargetMode="External"/><Relationship Id="rId78" Type="http://schemas.openxmlformats.org/officeDocument/2006/relationships/hyperlink" Target="https://doi.org/10.1056/NEJM197710062971404" TargetMode="External"/><Relationship Id="rId81" Type="http://schemas.openxmlformats.org/officeDocument/2006/relationships/hyperlink" Target="https://doi.org/10.1056/NEJM199103213241201" TargetMode="External"/><Relationship Id="rId86" Type="http://schemas.openxmlformats.org/officeDocument/2006/relationships/hyperlink" Target="https://github.com/henriquealvarenga" TargetMode="External"/><Relationship Id="rId94" Type="http://schemas.openxmlformats.org/officeDocument/2006/relationships/hyperlink" Target="mailto:henriquealvarenga@ufsj.edu.br" TargetMode="External"/><Relationship Id="rId4" Type="http://schemas.openxmlformats.org/officeDocument/2006/relationships/webSettings" Target="webSettings.xml"/><Relationship Id="rId9" Type="http://schemas.openxmlformats.org/officeDocument/2006/relationships/image" Target="media/image4.jpg"/><Relationship Id="rId13" Type="http://schemas.openxmlformats.org/officeDocument/2006/relationships/image" Target="media/image8.png"/><Relationship Id="rId18" Type="http://schemas.openxmlformats.org/officeDocument/2006/relationships/image" Target="media/image13.svg"/><Relationship Id="rId39" Type="http://schemas.openxmlformats.org/officeDocument/2006/relationships/hyperlink" Target="https://doi.org/10.1093/ije/15.3.413" TargetMode="External"/><Relationship Id="rId34" Type="http://schemas.openxmlformats.org/officeDocument/2006/relationships/hyperlink" Target="https://doi.org/10.1146/annurev.publhealth.20.1.15" TargetMode="External"/><Relationship Id="rId50" Type="http://schemas.openxmlformats.org/officeDocument/2006/relationships/hyperlink" Target="https://doi.org/10.3389/fpubh.2025.1559868" TargetMode="External"/><Relationship Id="rId55" Type="http://schemas.openxmlformats.org/officeDocument/2006/relationships/hyperlink" Target="https://doi.org/10.1001/jama.280.7.605" TargetMode="External"/><Relationship Id="rId76" Type="http://schemas.openxmlformats.org/officeDocument/2006/relationships/hyperlink" Target="https://doi.org/10.1001/jama.2020.22258" TargetMode="External"/><Relationship Id="rId7" Type="http://schemas.openxmlformats.org/officeDocument/2006/relationships/image" Target="media/image2.jpg"/><Relationship Id="rId71" Type="http://schemas.openxmlformats.org/officeDocument/2006/relationships/hyperlink" Target="https://doi.org/10.1056/NEJMoa1809944" TargetMode="External"/><Relationship Id="rId92" Type="http://schemas.openxmlformats.org/officeDocument/2006/relationships/hyperlink" Target="www.henriquealvarenga.com/manual-r" TargetMode="External"/><Relationship Id="rId2" Type="http://schemas.openxmlformats.org/officeDocument/2006/relationships/styles" Target="styles.xml"/><Relationship Id="rId29" Type="http://schemas.openxmlformats.org/officeDocument/2006/relationships/hyperlink" Target="omega-3.qmd" TargetMode="External"/><Relationship Id="rId24" Type="http://schemas.openxmlformats.org/officeDocument/2006/relationships/hyperlink" Target="../01-antes-epidemiologia.qmd" TargetMode="External"/><Relationship Id="rId40" Type="http://schemas.openxmlformats.org/officeDocument/2006/relationships/hyperlink" Target="https://doi.org/10.7602/jmis.2023.26.3.97" TargetMode="External"/><Relationship Id="rId45" Type="http://schemas.openxmlformats.org/officeDocument/2006/relationships/hyperlink" Target="https://doi.org/10.7326/M16-2607" TargetMode="External"/><Relationship Id="rId66" Type="http://schemas.openxmlformats.org/officeDocument/2006/relationships/hyperlink" Target="https://doi.org/10.1056/NEJM199605023341802" TargetMode="External"/><Relationship Id="rId87" Type="http://schemas.openxmlformats.org/officeDocument/2006/relationships/image" Target="media/image14.png"/><Relationship Id="rId61" Type="http://schemas.openxmlformats.org/officeDocument/2006/relationships/hyperlink" Target="https://www.ncbi.nlm.nih.gov/pubmed/10465168" TargetMode="External"/><Relationship Id="rId82" Type="http://schemas.openxmlformats.org/officeDocument/2006/relationships/hyperlink" Target="https://doi.org/10.1056/NEJM199207233270403" TargetMode="External"/><Relationship Id="rId19" Type="http://schemas.openxmlformats.org/officeDocument/2006/relationships/hyperlink" Target="casos/trh.qmd" TargetMode="External"/><Relationship Id="rId14" Type="http://schemas.openxmlformats.org/officeDocument/2006/relationships/image" Target="media/image9.svg"/><Relationship Id="rId30" Type="http://schemas.openxmlformats.org/officeDocument/2006/relationships/hyperlink" Target="cast.qmd" TargetMode="External"/><Relationship Id="rId35" Type="http://schemas.openxmlformats.org/officeDocument/2006/relationships/hyperlink" Target="https://collections.nlm.nih.gov/ext/document/101584932X202/PDF/101584932X202.pdf" TargetMode="External"/><Relationship Id="rId56" Type="http://schemas.openxmlformats.org/officeDocument/2006/relationships/hyperlink" Target="https://doi.org/10.1001/jama.288.3.321" TargetMode="External"/><Relationship Id="rId77" Type="http://schemas.openxmlformats.org/officeDocument/2006/relationships/hyperlink" Target="https://doi.org/10.1161/CIRCULATIONAHA.121.0556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72</Pages>
  <Words>22813</Words>
  <Characters>132092</Characters>
  <Application>Microsoft Office Word</Application>
  <DocSecurity>0</DocSecurity>
  <Lines>2358</Lines>
  <Paragraphs>770</Paragraphs>
  <ScaleCrop>false</ScaleCrop>
  <Company/>
  <LinksUpToDate>false</LinksUpToDate>
  <CharactersWithSpaces>154135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Sobre este projeto</dc:title>
  <dc:creator>Henrique Alvarenga da Silva</dc:creator>
  <cp:keywords/>
  <cp:lastModifiedBy>Henrique Alvarenga</cp:lastModifiedBy>
  <cp:revision>3</cp:revision>
  <dcterms:created xsi:type="dcterms:W3CDTF">2026-05-09T14:44:00Z</dcterms:created>
  <dcterms:modified xsi:type="dcterms:W3CDTF">2026-05-09T15:36:00Z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rossref">
    <vt:lpwstr/>
  </property>
  <property fmtid="{D5CDD505-2E9C-101B-9397-08002B2CF9AE}" pid="7" name="csl">
    <vt:lpwstr>references/csl-styles/vancouver.csl</vt:lpwstr>
  </property>
  <property fmtid="{D5CDD505-2E9C-101B-9397-08002B2CF9AE}" pid="8" name="date">
    <vt:lpwstr>maio de 2026</vt:lpwstr>
  </property>
  <property fmtid="{D5CDD505-2E9C-101B-9397-08002B2CF9AE}" pid="9" name="date-format">
    <vt:lpwstr>MMMM [de] YYYY</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nocite">
    <vt:lpwstr>@*</vt:lpwstr>
  </property>
  <property fmtid="{D5CDD505-2E9C-101B-9397-08002B2CF9AE}" pid="15" name="subtitle">
    <vt:lpwstr>Informações sobre o autor, metodologia e filosofia por trás do site</vt:lpwstr>
  </property>
  <property fmtid="{D5CDD505-2E9C-101B-9397-08002B2CF9AE}" pid="16" name="toc-title">
    <vt:lpwstr>Sumário</vt:lpwstr>
  </property>
</Properties>
</file>