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53743" w14:textId="77777777" w:rsidR="009F043E" w:rsidRDefault="009F043E">
      <w:pPr>
        <w:spacing w:before="1200"/>
      </w:pPr>
    </w:p>
    <w:p w14:paraId="55D5C7F3" w14:textId="77777777" w:rsidR="009F043E" w:rsidRDefault="00000000">
      <w:pPr>
        <w:spacing w:after="120"/>
        <w:jc w:val="center"/>
      </w:pPr>
      <w:r>
        <w:rPr>
          <w:b/>
          <w:bCs/>
          <w:color w:val="888888"/>
          <w:sz w:val="22"/>
          <w:szCs w:val="22"/>
        </w:rPr>
        <w:t>UNIVERSIDADE FEDERAL DE SÃO JOÃO DEL-REI</w:t>
      </w:r>
    </w:p>
    <w:p w14:paraId="0564A17A" w14:textId="77777777" w:rsidR="009F043E" w:rsidRDefault="00000000">
      <w:pPr>
        <w:spacing w:after="600"/>
        <w:jc w:val="center"/>
      </w:pPr>
      <w:r>
        <w:rPr>
          <w:color w:val="888888"/>
          <w:sz w:val="22"/>
          <w:szCs w:val="22"/>
        </w:rPr>
        <w:t>Epidemiologia e Saúde Coletiva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9F043E" w14:paraId="17B06110" w14:textId="77777777">
        <w:tblPrEx>
          <w:tblCellMar>
            <w:top w:w="0" w:type="dxa"/>
            <w:bottom w:w="0" w:type="dxa"/>
          </w:tblCellMar>
        </w:tblPrEx>
        <w:tc>
          <w:tcPr>
            <w:tcW w:w="9026" w:type="dxa"/>
            <w:tcBorders>
              <w:top w:val="single" w:sz="24" w:space="0" w:color="1D3557"/>
              <w:left w:val="thick" w:sz="48" w:space="0" w:color="C0392B"/>
              <w:bottom w:val="single" w:sz="24" w:space="0" w:color="1D3557"/>
              <w:right w:val="single" w:sz="24" w:space="0" w:color="1D3557"/>
            </w:tcBorders>
            <w:shd w:val="clear" w:color="auto" w:fill="F0F4F8"/>
            <w:tcMar>
              <w:top w:w="400" w:type="dxa"/>
              <w:left w:w="480" w:type="dxa"/>
              <w:bottom w:w="400" w:type="dxa"/>
              <w:right w:w="400" w:type="dxa"/>
            </w:tcMar>
          </w:tcPr>
          <w:p w14:paraId="009383E4" w14:textId="77777777" w:rsidR="009F043E" w:rsidRDefault="00000000">
            <w:pPr>
              <w:spacing w:after="120"/>
            </w:pPr>
            <w:r>
              <w:rPr>
                <w:b/>
                <w:bCs/>
                <w:color w:val="1D3557"/>
                <w:sz w:val="64"/>
                <w:szCs w:val="64"/>
              </w:rPr>
              <w:t>Indicadores de Saúde:</w:t>
            </w:r>
          </w:p>
          <w:p w14:paraId="363768A4" w14:textId="77777777" w:rsidR="009F043E" w:rsidRDefault="00000000">
            <w:pPr>
              <w:spacing w:after="200"/>
            </w:pPr>
            <w:r>
              <w:rPr>
                <w:b/>
                <w:bCs/>
                <w:color w:val="C0392B"/>
                <w:sz w:val="48"/>
                <w:szCs w:val="48"/>
              </w:rPr>
              <w:t>Conceitos, Métodos e Limitações</w:t>
            </w:r>
          </w:p>
          <w:p w14:paraId="06B638DE" w14:textId="77777777" w:rsidR="009F043E" w:rsidRDefault="00000000">
            <w:pPr>
              <w:spacing w:before="80"/>
            </w:pPr>
            <w:r>
              <w:rPr>
                <w:color w:val="555555"/>
              </w:rPr>
              <w:t>Material de apoio para a aula de graduação em medicina e saúde</w:t>
            </w:r>
          </w:p>
        </w:tc>
      </w:tr>
    </w:tbl>
    <w:p w14:paraId="64885011" w14:textId="77777777" w:rsidR="009F043E" w:rsidRDefault="009F043E">
      <w:pPr>
        <w:spacing w:before="40" w:after="40"/>
      </w:pPr>
    </w:p>
    <w:p w14:paraId="5C74914A" w14:textId="77777777" w:rsidR="009F043E" w:rsidRDefault="00000000">
      <w:pPr>
        <w:spacing w:before="80" w:after="60"/>
      </w:pPr>
      <w:r>
        <w:rPr>
          <w:b/>
          <w:bCs/>
          <w:color w:val="1D3557"/>
          <w:sz w:val="26"/>
          <w:szCs w:val="26"/>
        </w:rPr>
        <w:t>Prof. Henrique Alvarenga da Silva</w:t>
      </w:r>
    </w:p>
    <w:p w14:paraId="7EF69A0C" w14:textId="77777777" w:rsidR="009F043E" w:rsidRDefault="00000000">
      <w:r>
        <w:rPr>
          <w:color w:val="888888"/>
          <w:sz w:val="22"/>
          <w:szCs w:val="22"/>
        </w:rPr>
        <w:t xml:space="preserve">Universidade Federal de São João </w:t>
      </w:r>
      <w:proofErr w:type="spellStart"/>
      <w:r>
        <w:rPr>
          <w:color w:val="888888"/>
          <w:sz w:val="22"/>
          <w:szCs w:val="22"/>
        </w:rPr>
        <w:t>del</w:t>
      </w:r>
      <w:proofErr w:type="spellEnd"/>
      <w:r>
        <w:rPr>
          <w:color w:val="888888"/>
          <w:sz w:val="22"/>
          <w:szCs w:val="22"/>
        </w:rPr>
        <w:t>-Rei — UFSJ</w:t>
      </w:r>
    </w:p>
    <w:p w14:paraId="5580BA37" w14:textId="77777777" w:rsidR="009F043E" w:rsidRDefault="00000000">
      <w:r>
        <w:br w:type="page"/>
      </w:r>
    </w:p>
    <w:p w14:paraId="4674B38F" w14:textId="77777777" w:rsidR="009F043E" w:rsidRDefault="00000000">
      <w:pPr>
        <w:pStyle w:val="Ttulo1"/>
        <w:pBdr>
          <w:bottom w:val="single" w:sz="8" w:space="2" w:color="1D3557"/>
        </w:pBdr>
      </w:pPr>
      <w:r>
        <w:lastRenderedPageBreak/>
        <w:t>Sumário</w:t>
      </w:r>
    </w:p>
    <w:p w14:paraId="06195E27" w14:textId="77777777" w:rsidR="009F043E" w:rsidRDefault="00000000">
      <w:pPr>
        <w:tabs>
          <w:tab w:val="right" w:pos="8500"/>
        </w:tabs>
        <w:spacing w:before="80" w:after="80"/>
      </w:pPr>
      <w:r>
        <w:rPr>
          <w:color w:val="1D3557"/>
        </w:rPr>
        <w:t>1.  O que são Indicadores de Saúde?</w:t>
      </w:r>
      <w:r>
        <w:rPr>
          <w:color w:val="888888"/>
        </w:rPr>
        <w:t xml:space="preserve">  3</w:t>
      </w:r>
    </w:p>
    <w:p w14:paraId="163DB28C" w14:textId="77777777" w:rsidR="009F043E" w:rsidRDefault="00000000">
      <w:pPr>
        <w:tabs>
          <w:tab w:val="right" w:pos="8500"/>
        </w:tabs>
        <w:spacing w:before="80" w:after="80"/>
      </w:pPr>
      <w:r>
        <w:rPr>
          <w:color w:val="1D3557"/>
        </w:rPr>
        <w:t xml:space="preserve">2.  Indicadores de Fecundidade e </w:t>
      </w:r>
      <w:proofErr w:type="gramStart"/>
      <w:r>
        <w:rPr>
          <w:color w:val="1D3557"/>
        </w:rPr>
        <w:t>Natalidade</w:t>
      </w:r>
      <w:r>
        <w:rPr>
          <w:color w:val="888888"/>
        </w:rPr>
        <w:t xml:space="preserve">  4</w:t>
      </w:r>
      <w:proofErr w:type="gramEnd"/>
    </w:p>
    <w:p w14:paraId="57F7570F" w14:textId="77777777" w:rsidR="009F043E" w:rsidRDefault="00000000">
      <w:pPr>
        <w:tabs>
          <w:tab w:val="right" w:pos="8500"/>
        </w:tabs>
        <w:spacing w:before="80" w:after="80"/>
      </w:pPr>
      <w:r>
        <w:rPr>
          <w:color w:val="1D3557"/>
        </w:rPr>
        <w:t xml:space="preserve">3.  Indicadores de </w:t>
      </w:r>
      <w:proofErr w:type="gramStart"/>
      <w:r>
        <w:rPr>
          <w:color w:val="1D3557"/>
        </w:rPr>
        <w:t>Mortalidade</w:t>
      </w:r>
      <w:r>
        <w:rPr>
          <w:color w:val="888888"/>
        </w:rPr>
        <w:t xml:space="preserve">  5</w:t>
      </w:r>
      <w:proofErr w:type="gramEnd"/>
    </w:p>
    <w:p w14:paraId="46D3CF1D" w14:textId="77777777" w:rsidR="009F043E" w:rsidRDefault="00000000">
      <w:pPr>
        <w:tabs>
          <w:tab w:val="right" w:pos="8500"/>
        </w:tabs>
        <w:spacing w:before="80" w:after="80"/>
      </w:pPr>
      <w:r>
        <w:rPr>
          <w:color w:val="1D3557"/>
        </w:rPr>
        <w:t xml:space="preserve">4.  Padronização de </w:t>
      </w:r>
      <w:proofErr w:type="gramStart"/>
      <w:r>
        <w:rPr>
          <w:color w:val="1D3557"/>
        </w:rPr>
        <w:t>Indicadores</w:t>
      </w:r>
      <w:r>
        <w:rPr>
          <w:color w:val="888888"/>
        </w:rPr>
        <w:t xml:space="preserve">  9</w:t>
      </w:r>
      <w:proofErr w:type="gramEnd"/>
    </w:p>
    <w:p w14:paraId="46BD5E42" w14:textId="77777777" w:rsidR="009F043E" w:rsidRDefault="00000000">
      <w:pPr>
        <w:tabs>
          <w:tab w:val="right" w:pos="8500"/>
        </w:tabs>
        <w:spacing w:before="80" w:after="80"/>
      </w:pPr>
      <w:r>
        <w:rPr>
          <w:color w:val="1D3557"/>
        </w:rPr>
        <w:t xml:space="preserve">5.  Desigualdades em Saúde por Cor e </w:t>
      </w:r>
      <w:proofErr w:type="gramStart"/>
      <w:r>
        <w:rPr>
          <w:color w:val="1D3557"/>
        </w:rPr>
        <w:t>Raça</w:t>
      </w:r>
      <w:r>
        <w:rPr>
          <w:color w:val="888888"/>
        </w:rPr>
        <w:t xml:space="preserve">  11</w:t>
      </w:r>
      <w:proofErr w:type="gramEnd"/>
    </w:p>
    <w:p w14:paraId="69D5D1D5" w14:textId="77777777" w:rsidR="009F043E" w:rsidRDefault="00000000">
      <w:pPr>
        <w:tabs>
          <w:tab w:val="right" w:pos="8500"/>
        </w:tabs>
        <w:spacing w:before="80" w:after="80"/>
      </w:pPr>
      <w:r>
        <w:rPr>
          <w:color w:val="1D3557"/>
        </w:rPr>
        <w:t xml:space="preserve">6.  Limitações dos Indicadores de </w:t>
      </w:r>
      <w:proofErr w:type="gramStart"/>
      <w:r>
        <w:rPr>
          <w:color w:val="1D3557"/>
        </w:rPr>
        <w:t>Saúde</w:t>
      </w:r>
      <w:r>
        <w:rPr>
          <w:color w:val="888888"/>
        </w:rPr>
        <w:t xml:space="preserve">  14</w:t>
      </w:r>
      <w:proofErr w:type="gramEnd"/>
    </w:p>
    <w:p w14:paraId="4ADFB9A3" w14:textId="77777777" w:rsidR="009F043E" w:rsidRDefault="00000000">
      <w:pPr>
        <w:tabs>
          <w:tab w:val="right" w:pos="8500"/>
        </w:tabs>
        <w:spacing w:before="80" w:after="80"/>
      </w:pPr>
      <w:r>
        <w:rPr>
          <w:color w:val="1D3557"/>
        </w:rPr>
        <w:t xml:space="preserve">7.  Como Usar Indicadores com </w:t>
      </w:r>
      <w:proofErr w:type="gramStart"/>
      <w:r>
        <w:rPr>
          <w:color w:val="1D3557"/>
        </w:rPr>
        <w:t>Responsabilidade</w:t>
      </w:r>
      <w:r>
        <w:rPr>
          <w:color w:val="888888"/>
        </w:rPr>
        <w:t xml:space="preserve">  17</w:t>
      </w:r>
      <w:proofErr w:type="gramEnd"/>
    </w:p>
    <w:p w14:paraId="03E17337" w14:textId="77777777" w:rsidR="009F043E" w:rsidRDefault="00000000">
      <w:pPr>
        <w:tabs>
          <w:tab w:val="right" w:pos="8500"/>
        </w:tabs>
        <w:spacing w:before="80" w:after="80"/>
      </w:pPr>
      <w:r>
        <w:rPr>
          <w:color w:val="1D3557"/>
        </w:rPr>
        <w:t xml:space="preserve">8.  Referências </w:t>
      </w:r>
      <w:proofErr w:type="gramStart"/>
      <w:r>
        <w:rPr>
          <w:color w:val="1D3557"/>
        </w:rPr>
        <w:t>Bibliográficas</w:t>
      </w:r>
      <w:r>
        <w:rPr>
          <w:color w:val="888888"/>
        </w:rPr>
        <w:t xml:space="preserve">  18</w:t>
      </w:r>
      <w:proofErr w:type="gramEnd"/>
    </w:p>
    <w:p w14:paraId="7B0DC604" w14:textId="77777777" w:rsidR="009F043E" w:rsidRDefault="00000000">
      <w:r>
        <w:br w:type="page"/>
      </w:r>
    </w:p>
    <w:p w14:paraId="5A727AC4" w14:textId="77777777" w:rsidR="009F043E" w:rsidRDefault="00000000">
      <w:pPr>
        <w:pStyle w:val="Ttulo1"/>
        <w:pBdr>
          <w:bottom w:val="single" w:sz="8" w:space="2" w:color="1D3557"/>
        </w:pBdr>
      </w:pPr>
      <w:r>
        <w:lastRenderedPageBreak/>
        <w:t>1. O que são Indicadores de Saúde?</w:t>
      </w:r>
    </w:p>
    <w:p w14:paraId="74DCA005" w14:textId="77777777" w:rsidR="009F043E" w:rsidRDefault="00000000">
      <w:pPr>
        <w:spacing w:before="80" w:after="80"/>
        <w:jc w:val="both"/>
      </w:pPr>
      <w:r>
        <w:rPr>
          <w:color w:val="555555"/>
        </w:rPr>
        <w:t>Indicadores de saúde são medidas que sintetizam informações sobre o estado de saúde de uma população ou sobre os determinantes e condicionantes que influenciam esse estado. Segundo a Organização Pan-Americana da Saúde (OPAS), um indicador é uma medida que resume informações relevantes sobre um atributo e uma dimensão do estado de saúde, ou ainda do desempenho do sistema de saúde.</w:t>
      </w:r>
    </w:p>
    <w:p w14:paraId="4EF3D275" w14:textId="77777777" w:rsidR="009F043E" w:rsidRDefault="009F043E">
      <w:pPr>
        <w:spacing w:before="40" w:after="40"/>
      </w:pPr>
    </w:p>
    <w:p w14:paraId="7ADDA8E5" w14:textId="77777777" w:rsidR="009F043E" w:rsidRDefault="00000000">
      <w:pPr>
        <w:spacing w:before="80" w:after="80"/>
        <w:jc w:val="both"/>
      </w:pPr>
      <w:r>
        <w:rPr>
          <w:color w:val="555555"/>
        </w:rPr>
        <w:t>Em outras palavras, um indicador não descreve a realidade em toda a sua complexidade — ele simplifica e quantifica aspectos específicos para permitir comparação, monitoramento e tomada de decisão em saúde pública.</w:t>
      </w:r>
    </w:p>
    <w:p w14:paraId="24A54397" w14:textId="77777777" w:rsidR="009F043E" w:rsidRDefault="009F043E">
      <w:pPr>
        <w:spacing w:before="40" w:after="40"/>
      </w:pPr>
    </w:p>
    <w:p w14:paraId="731ECEFF" w14:textId="77777777" w:rsidR="009F043E" w:rsidRDefault="00000000">
      <w:pPr>
        <w:pStyle w:val="Ttulo2"/>
      </w:pPr>
      <w:r>
        <w:t>1.1 Para que servem?</w:t>
      </w:r>
    </w:p>
    <w:p w14:paraId="7FF7EFFD" w14:textId="77777777" w:rsidR="009F043E" w:rsidRDefault="00000000">
      <w:pPr>
        <w:pStyle w:val="PargrafodaLista"/>
        <w:numPr>
          <w:ilvl w:val="0"/>
          <w:numId w:val="2"/>
        </w:numPr>
        <w:spacing w:before="60" w:after="60"/>
      </w:pPr>
      <w:r>
        <w:rPr>
          <w:color w:val="555555"/>
        </w:rPr>
        <w:t>Mensurar o estado de saúde de uma população em determinado tempo e lugar</w:t>
      </w:r>
    </w:p>
    <w:p w14:paraId="65BEB791" w14:textId="77777777" w:rsidR="009F043E" w:rsidRDefault="00000000">
      <w:pPr>
        <w:pStyle w:val="PargrafodaLista"/>
        <w:numPr>
          <w:ilvl w:val="0"/>
          <w:numId w:val="2"/>
        </w:numPr>
        <w:spacing w:before="60" w:after="60"/>
      </w:pPr>
      <w:r>
        <w:rPr>
          <w:color w:val="555555"/>
        </w:rPr>
        <w:t>Comparar populações distintas ou a mesma população em períodos diferentes</w:t>
      </w:r>
    </w:p>
    <w:p w14:paraId="60951CDA" w14:textId="77777777" w:rsidR="009F043E" w:rsidRDefault="00000000">
      <w:pPr>
        <w:pStyle w:val="PargrafodaLista"/>
        <w:numPr>
          <w:ilvl w:val="0"/>
          <w:numId w:val="2"/>
        </w:numPr>
        <w:spacing w:before="60" w:after="60"/>
      </w:pPr>
      <w:r>
        <w:rPr>
          <w:color w:val="555555"/>
        </w:rPr>
        <w:t>Orientar a formulação, o acompanhamento e a avaliação de políticas de saúde</w:t>
      </w:r>
    </w:p>
    <w:p w14:paraId="5380B59B" w14:textId="77777777" w:rsidR="009F043E" w:rsidRDefault="00000000">
      <w:pPr>
        <w:pStyle w:val="PargrafodaLista"/>
        <w:numPr>
          <w:ilvl w:val="0"/>
          <w:numId w:val="2"/>
        </w:numPr>
        <w:spacing w:before="60" w:after="60"/>
      </w:pPr>
      <w:r>
        <w:rPr>
          <w:color w:val="555555"/>
        </w:rPr>
        <w:t>Identificar grupos vulneráveis e prioridades de intervenção</w:t>
      </w:r>
    </w:p>
    <w:p w14:paraId="0BC3D00E" w14:textId="77777777" w:rsidR="009F043E" w:rsidRDefault="00000000">
      <w:pPr>
        <w:pStyle w:val="PargrafodaLista"/>
        <w:numPr>
          <w:ilvl w:val="0"/>
          <w:numId w:val="2"/>
        </w:numPr>
        <w:spacing w:before="60" w:after="60"/>
      </w:pPr>
      <w:r>
        <w:rPr>
          <w:color w:val="555555"/>
        </w:rPr>
        <w:t>Subsidiar a alocação de recursos no sistema de saúde</w:t>
      </w:r>
    </w:p>
    <w:p w14:paraId="72116D45" w14:textId="77777777" w:rsidR="009F043E" w:rsidRDefault="009F043E">
      <w:pPr>
        <w:spacing w:before="40" w:after="40"/>
      </w:pPr>
    </w:p>
    <w:p w14:paraId="2199D526" w14:textId="77777777" w:rsidR="009F043E" w:rsidRDefault="00000000">
      <w:pPr>
        <w:pStyle w:val="Ttulo2"/>
      </w:pPr>
      <w:r>
        <w:t>1.2 Categorias (RIPSA/OPAS)</w:t>
      </w:r>
    </w:p>
    <w:p w14:paraId="2592C7A2" w14:textId="77777777" w:rsidR="009F043E" w:rsidRDefault="00000000">
      <w:pPr>
        <w:spacing w:before="80" w:after="80"/>
        <w:jc w:val="both"/>
      </w:pPr>
      <w:r>
        <w:rPr>
          <w:color w:val="555555"/>
        </w:rPr>
        <w:t xml:space="preserve">A Rede </w:t>
      </w:r>
      <w:proofErr w:type="spellStart"/>
      <w:r>
        <w:rPr>
          <w:color w:val="555555"/>
        </w:rPr>
        <w:t>Interagencial</w:t>
      </w:r>
      <w:proofErr w:type="spellEnd"/>
      <w:r>
        <w:rPr>
          <w:color w:val="555555"/>
        </w:rPr>
        <w:t xml:space="preserve"> de Informações para a Saúde (RIPSA), com base nas recomendações da OPAS, organiza os indicadores de saúde nas seguintes categorias principais:</w:t>
      </w:r>
    </w:p>
    <w:p w14:paraId="0B014781" w14:textId="77777777" w:rsidR="009F043E" w:rsidRDefault="009F043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9F043E" w14:paraId="7F3E4C1E" w14:textId="77777777">
        <w:tblPrEx>
          <w:tblCellMar>
            <w:top w:w="0" w:type="dxa"/>
            <w:bottom w:w="0" w:type="dxa"/>
          </w:tblCellMar>
        </w:tblPrEx>
        <w:tc>
          <w:tcPr>
            <w:tcW w:w="400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4B20D570" w14:textId="77777777" w:rsidR="009F043E" w:rsidRDefault="00000000">
            <w:pPr>
              <w:jc w:val="center"/>
            </w:pPr>
            <w:r>
              <w:rPr>
                <w:b/>
                <w:bCs/>
                <w:color w:val="FFFFFF"/>
                <w:sz w:val="22"/>
                <w:szCs w:val="22"/>
              </w:rPr>
              <w:t>Categoria</w:t>
            </w:r>
          </w:p>
        </w:tc>
        <w:tc>
          <w:tcPr>
            <w:tcW w:w="5026"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45A8FEA8" w14:textId="77777777" w:rsidR="009F043E" w:rsidRDefault="00000000">
            <w:pPr>
              <w:jc w:val="center"/>
            </w:pPr>
            <w:r>
              <w:rPr>
                <w:b/>
                <w:bCs/>
                <w:color w:val="FFFFFF"/>
                <w:sz w:val="22"/>
                <w:szCs w:val="22"/>
              </w:rPr>
              <w:t>Exemplos</w:t>
            </w:r>
          </w:p>
        </w:tc>
      </w:tr>
      <w:tr w:rsidR="009F043E" w14:paraId="2D44D1EE" w14:textId="77777777">
        <w:tblPrEx>
          <w:tblCellMar>
            <w:top w:w="0" w:type="dxa"/>
            <w:bottom w:w="0" w:type="dxa"/>
          </w:tblCellMar>
        </w:tblPrEx>
        <w:tc>
          <w:tcPr>
            <w:tcW w:w="4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13FB19FB" w14:textId="77777777" w:rsidR="009F043E" w:rsidRDefault="00000000">
            <w:r>
              <w:rPr>
                <w:color w:val="555555"/>
                <w:sz w:val="20"/>
                <w:szCs w:val="20"/>
              </w:rPr>
              <w:t>A — Demográficos</w:t>
            </w:r>
          </w:p>
        </w:tc>
        <w:tc>
          <w:tcPr>
            <w:tcW w:w="502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2320680F" w14:textId="77777777" w:rsidR="009F043E" w:rsidRDefault="00000000">
            <w:r>
              <w:rPr>
                <w:color w:val="555555"/>
                <w:sz w:val="20"/>
                <w:szCs w:val="20"/>
              </w:rPr>
              <w:t>Taxa de crescimento populacional, razão de dependência, índice de envelhecimento</w:t>
            </w:r>
          </w:p>
        </w:tc>
      </w:tr>
      <w:tr w:rsidR="009F043E" w14:paraId="0C69387B" w14:textId="77777777">
        <w:tblPrEx>
          <w:tblCellMar>
            <w:top w:w="0" w:type="dxa"/>
            <w:bottom w:w="0" w:type="dxa"/>
          </w:tblCellMar>
        </w:tblPrEx>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4366011" w14:textId="77777777" w:rsidR="009F043E" w:rsidRDefault="00000000">
            <w:r>
              <w:rPr>
                <w:color w:val="555555"/>
                <w:sz w:val="20"/>
                <w:szCs w:val="20"/>
              </w:rPr>
              <w:t>B — Socioeconômicos</w:t>
            </w:r>
          </w:p>
        </w:tc>
        <w:tc>
          <w:tcPr>
            <w:tcW w:w="5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5104663" w14:textId="77777777" w:rsidR="009F043E" w:rsidRDefault="00000000">
            <w:r>
              <w:rPr>
                <w:color w:val="555555"/>
                <w:sz w:val="20"/>
                <w:szCs w:val="20"/>
              </w:rPr>
              <w:t>Índice de Gini, renda per capita, cobertura da Atenção Básica</w:t>
            </w:r>
          </w:p>
        </w:tc>
      </w:tr>
      <w:tr w:rsidR="009F043E" w14:paraId="70B3B2B2" w14:textId="77777777">
        <w:tblPrEx>
          <w:tblCellMar>
            <w:top w:w="0" w:type="dxa"/>
            <w:bottom w:w="0" w:type="dxa"/>
          </w:tblCellMar>
        </w:tblPrEx>
        <w:tc>
          <w:tcPr>
            <w:tcW w:w="4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3BA88B8B" w14:textId="77777777" w:rsidR="009F043E" w:rsidRDefault="00000000">
            <w:r>
              <w:rPr>
                <w:color w:val="555555"/>
                <w:sz w:val="20"/>
                <w:szCs w:val="20"/>
              </w:rPr>
              <w:t>C — Mortalidade</w:t>
            </w:r>
          </w:p>
        </w:tc>
        <w:tc>
          <w:tcPr>
            <w:tcW w:w="502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4BFE2A90" w14:textId="77777777" w:rsidR="009F043E" w:rsidRDefault="00000000">
            <w:r>
              <w:rPr>
                <w:color w:val="555555"/>
                <w:sz w:val="20"/>
                <w:szCs w:val="20"/>
              </w:rPr>
              <w:t>Taxa Bruta de Mortalidade, mortalidade infantil, mortalidade materna</w:t>
            </w:r>
          </w:p>
        </w:tc>
      </w:tr>
      <w:tr w:rsidR="009F043E" w14:paraId="5F95CB41" w14:textId="77777777">
        <w:tblPrEx>
          <w:tblCellMar>
            <w:top w:w="0" w:type="dxa"/>
            <w:bottom w:w="0" w:type="dxa"/>
          </w:tblCellMar>
        </w:tblPrEx>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8DB5572" w14:textId="77777777" w:rsidR="009F043E" w:rsidRDefault="00000000">
            <w:r>
              <w:rPr>
                <w:color w:val="555555"/>
                <w:sz w:val="20"/>
                <w:szCs w:val="20"/>
              </w:rPr>
              <w:t>D — Morbidade e fatores de risco</w:t>
            </w:r>
          </w:p>
        </w:tc>
        <w:tc>
          <w:tcPr>
            <w:tcW w:w="5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169B6C7" w14:textId="77777777" w:rsidR="009F043E" w:rsidRDefault="00000000">
            <w:r>
              <w:rPr>
                <w:color w:val="555555"/>
                <w:sz w:val="20"/>
                <w:szCs w:val="20"/>
              </w:rPr>
              <w:t>Incidência e prevalência de doenças, cobertura vacinal</w:t>
            </w:r>
          </w:p>
        </w:tc>
      </w:tr>
      <w:tr w:rsidR="009F043E" w14:paraId="1D83714F" w14:textId="77777777">
        <w:tblPrEx>
          <w:tblCellMar>
            <w:top w:w="0" w:type="dxa"/>
            <w:bottom w:w="0" w:type="dxa"/>
          </w:tblCellMar>
        </w:tblPrEx>
        <w:tc>
          <w:tcPr>
            <w:tcW w:w="4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10A36A16" w14:textId="77777777" w:rsidR="009F043E" w:rsidRDefault="00000000">
            <w:r>
              <w:rPr>
                <w:color w:val="555555"/>
                <w:sz w:val="20"/>
                <w:szCs w:val="20"/>
              </w:rPr>
              <w:t>E — Recursos e cobertura</w:t>
            </w:r>
          </w:p>
        </w:tc>
        <w:tc>
          <w:tcPr>
            <w:tcW w:w="502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68298FED" w14:textId="77777777" w:rsidR="009F043E" w:rsidRDefault="00000000">
            <w:r>
              <w:rPr>
                <w:color w:val="555555"/>
                <w:sz w:val="20"/>
                <w:szCs w:val="20"/>
              </w:rPr>
              <w:t>Leitos hospitalares por habitante, médicos por habitante</w:t>
            </w:r>
          </w:p>
        </w:tc>
      </w:tr>
      <w:tr w:rsidR="009F043E" w14:paraId="0790A7E3" w14:textId="77777777">
        <w:tblPrEx>
          <w:tblCellMar>
            <w:top w:w="0" w:type="dxa"/>
            <w:bottom w:w="0" w:type="dxa"/>
          </w:tblCellMar>
        </w:tblPrEx>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69EA0FD" w14:textId="77777777" w:rsidR="009F043E" w:rsidRDefault="00000000">
            <w:r>
              <w:rPr>
                <w:color w:val="555555"/>
                <w:sz w:val="20"/>
                <w:szCs w:val="20"/>
              </w:rPr>
              <w:t>F — Cobertura assistencial</w:t>
            </w:r>
          </w:p>
        </w:tc>
        <w:tc>
          <w:tcPr>
            <w:tcW w:w="5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E92FA15" w14:textId="77777777" w:rsidR="009F043E" w:rsidRDefault="00000000">
            <w:r>
              <w:rPr>
                <w:color w:val="555555"/>
                <w:sz w:val="20"/>
                <w:szCs w:val="20"/>
              </w:rPr>
              <w:t>Proporção de partos hospitalares, cobertura de pré-natal</w:t>
            </w:r>
          </w:p>
        </w:tc>
      </w:tr>
    </w:tbl>
    <w:p w14:paraId="5385620A" w14:textId="77777777" w:rsidR="009F043E" w:rsidRDefault="009F043E">
      <w:pPr>
        <w:spacing w:before="40" w:after="40"/>
      </w:pPr>
    </w:p>
    <w:p w14:paraId="3F0F0AC6" w14:textId="77777777" w:rsidR="009F043E" w:rsidRDefault="00000000">
      <w:pPr>
        <w:pStyle w:val="Ttulo2"/>
      </w:pPr>
      <w:r>
        <w:t>1.3 Tipos de medida em epidemiologia</w:t>
      </w:r>
    </w:p>
    <w:p w14:paraId="3F1D3269" w14:textId="77777777" w:rsidR="009F043E" w:rsidRDefault="00000000">
      <w:pPr>
        <w:pStyle w:val="PargrafodaLista"/>
        <w:numPr>
          <w:ilvl w:val="0"/>
          <w:numId w:val="2"/>
        </w:numPr>
        <w:spacing w:before="60" w:after="60"/>
      </w:pPr>
      <w:r>
        <w:rPr>
          <w:color w:val="555555"/>
        </w:rPr>
        <w:lastRenderedPageBreak/>
        <w:t>Proporções: numerador contido no denominador (ex.: prevalência, mortalidade proporcional)</w:t>
      </w:r>
    </w:p>
    <w:p w14:paraId="5E23AFDF" w14:textId="77777777" w:rsidR="009F043E" w:rsidRDefault="00000000">
      <w:pPr>
        <w:pStyle w:val="PargrafodaLista"/>
        <w:numPr>
          <w:ilvl w:val="0"/>
          <w:numId w:val="2"/>
        </w:numPr>
        <w:spacing w:before="60" w:after="60"/>
      </w:pPr>
      <w:r>
        <w:rPr>
          <w:color w:val="555555"/>
        </w:rPr>
        <w:t>Taxas: medidas que incorporam o tempo em risco (ex.: taxa de incidência)</w:t>
      </w:r>
    </w:p>
    <w:p w14:paraId="1A1EF407" w14:textId="77777777" w:rsidR="009F043E" w:rsidRDefault="00000000">
      <w:pPr>
        <w:pStyle w:val="PargrafodaLista"/>
        <w:numPr>
          <w:ilvl w:val="0"/>
          <w:numId w:val="2"/>
        </w:numPr>
        <w:spacing w:before="60" w:after="60"/>
      </w:pPr>
      <w:r>
        <w:rPr>
          <w:color w:val="555555"/>
        </w:rPr>
        <w:t>Razões: numerador e denominador independentes (ex.: razão de mortalidade materna)</w:t>
      </w:r>
    </w:p>
    <w:p w14:paraId="3084673E" w14:textId="77777777" w:rsidR="009F043E" w:rsidRDefault="00000000">
      <w:pPr>
        <w:pStyle w:val="PargrafodaLista"/>
        <w:numPr>
          <w:ilvl w:val="0"/>
          <w:numId w:val="2"/>
        </w:numPr>
        <w:spacing w:before="60" w:after="60"/>
      </w:pPr>
      <w:r>
        <w:rPr>
          <w:color w:val="555555"/>
        </w:rPr>
        <w:t>Índices: medidas compostas que agregam múltiplas variáveis (ex.: Índice de Desenvolvimento Humano)</w:t>
      </w:r>
    </w:p>
    <w:p w14:paraId="62797FED" w14:textId="77777777" w:rsidR="009F043E" w:rsidRDefault="009F04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70D7906A" w14:textId="77777777">
        <w:tblPrEx>
          <w:tblCellMar>
            <w:top w:w="0" w:type="dxa"/>
            <w:bottom w:w="0" w:type="dxa"/>
          </w:tblCellMar>
        </w:tblPrEx>
        <w:tc>
          <w:tcPr>
            <w:tcW w:w="9360" w:type="dxa"/>
            <w:tcBorders>
              <w:top w:val="single" w:sz="6" w:space="0" w:color="1A6BAD"/>
              <w:left w:val="thick" w:sz="18" w:space="0" w:color="1A6BAD"/>
              <w:bottom w:val="single" w:sz="6" w:space="0" w:color="1A6BAD"/>
              <w:right w:val="single" w:sz="6" w:space="0" w:color="1A6BAD"/>
            </w:tcBorders>
            <w:shd w:val="clear" w:color="auto" w:fill="EFF6FF"/>
            <w:tcMar>
              <w:top w:w="120" w:type="dxa"/>
              <w:left w:w="200" w:type="dxa"/>
              <w:bottom w:w="120" w:type="dxa"/>
              <w:right w:w="120" w:type="dxa"/>
            </w:tcMar>
          </w:tcPr>
          <w:p w14:paraId="6A2D8F19" w14:textId="77777777" w:rsidR="009F043E" w:rsidRDefault="00000000">
            <w:pPr>
              <w:spacing w:before="60" w:after="60"/>
            </w:pPr>
            <w:r>
              <w:rPr>
                <w:b/>
                <w:bCs/>
                <w:color w:val="1A6BAD"/>
                <w:sz w:val="22"/>
                <w:szCs w:val="22"/>
              </w:rPr>
              <w:t xml:space="preserve">Atenção: </w:t>
            </w:r>
            <w:r>
              <w:rPr>
                <w:color w:val="555555"/>
                <w:sz w:val="22"/>
                <w:szCs w:val="22"/>
              </w:rPr>
              <w:t>Indicadores são ferramentas de síntese — toda simplificação implica perda de informação. A interpretação criteriosa é parte indispensável do trabalho epidemiológico.</w:t>
            </w:r>
          </w:p>
        </w:tc>
      </w:tr>
    </w:tbl>
    <w:p w14:paraId="18CC26A6" w14:textId="77777777" w:rsidR="009F043E" w:rsidRDefault="00000000">
      <w:r>
        <w:br w:type="page"/>
      </w:r>
    </w:p>
    <w:p w14:paraId="6AF3769C" w14:textId="77777777" w:rsidR="009F043E" w:rsidRDefault="00000000">
      <w:pPr>
        <w:pStyle w:val="Ttulo1"/>
        <w:pBdr>
          <w:bottom w:val="single" w:sz="8" w:space="2" w:color="1D3557"/>
        </w:pBdr>
      </w:pPr>
      <w:r>
        <w:lastRenderedPageBreak/>
        <w:t>2. Indicadores de Fecundidade e Natalidade</w:t>
      </w:r>
    </w:p>
    <w:p w14:paraId="191A2361" w14:textId="77777777" w:rsidR="009F043E" w:rsidRDefault="00000000">
      <w:pPr>
        <w:pStyle w:val="Ttulo2"/>
      </w:pPr>
      <w:r>
        <w:t>2.1 Taxa de Fecundidade Total (TFT)</w:t>
      </w:r>
    </w:p>
    <w:p w14:paraId="1ACBF883" w14:textId="77777777" w:rsidR="009F043E" w:rsidRDefault="00000000">
      <w:pPr>
        <w:spacing w:before="80" w:after="80"/>
        <w:jc w:val="both"/>
      </w:pPr>
      <w:r>
        <w:rPr>
          <w:color w:val="555555"/>
        </w:rPr>
        <w:t>A Taxa de Fecundidade Total representa o número médio de filhos que uma mulher teria ao final do seu período reprodutivo (convencionalmente, dos 15 aos 49 anos), caso seguisse as taxas de fecundidade específicas por idade observadas em uma determinada população e período.</w:t>
      </w:r>
    </w:p>
    <w:p w14:paraId="1E097CE1" w14:textId="77777777" w:rsidR="009F043E" w:rsidRDefault="009F04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79790326" w14:textId="77777777">
        <w:tblPrEx>
          <w:tblCellMar>
            <w:top w:w="0" w:type="dxa"/>
            <w:bottom w:w="0" w:type="dxa"/>
          </w:tblCellMar>
        </w:tblPrEx>
        <w:tc>
          <w:tcPr>
            <w:tcW w:w="9360" w:type="dxa"/>
            <w:tcBorders>
              <w:top w:val="single" w:sz="6" w:space="0" w:color="1D3557"/>
              <w:left w:val="single" w:sz="6" w:space="0" w:color="1D3557"/>
              <w:bottom w:val="single" w:sz="6" w:space="0" w:color="1D3557"/>
              <w:right w:val="single" w:sz="6" w:space="0" w:color="1D3557"/>
            </w:tcBorders>
            <w:shd w:val="clear" w:color="auto" w:fill="1D3557"/>
            <w:tcMar>
              <w:top w:w="140" w:type="dxa"/>
              <w:left w:w="240" w:type="dxa"/>
              <w:bottom w:w="140" w:type="dxa"/>
              <w:right w:w="240" w:type="dxa"/>
            </w:tcMar>
          </w:tcPr>
          <w:p w14:paraId="6D087B8F" w14:textId="77777777" w:rsidR="009F043E" w:rsidRDefault="00000000">
            <w:pPr>
              <w:jc w:val="center"/>
            </w:pPr>
            <w:r>
              <w:rPr>
                <w:rFonts w:ascii="Courier New" w:eastAsia="Courier New" w:hAnsi="Courier New" w:cs="Courier New"/>
                <w:b/>
                <w:bCs/>
                <w:color w:val="FFFFFF"/>
              </w:rPr>
              <w:t>TFT = Σ (Taxa de fecundidade específica por idade) × 5</w:t>
            </w:r>
          </w:p>
        </w:tc>
      </w:tr>
    </w:tbl>
    <w:p w14:paraId="327ABFB8" w14:textId="77777777" w:rsidR="009F043E" w:rsidRDefault="009F043E">
      <w:pPr>
        <w:spacing w:before="40" w:after="40"/>
      </w:pPr>
    </w:p>
    <w:p w14:paraId="2A19B383" w14:textId="77777777" w:rsidR="009F043E" w:rsidRDefault="00000000">
      <w:pPr>
        <w:pStyle w:val="Ttulo3"/>
      </w:pPr>
      <w:r>
        <w:t>Interpretação e valores de referência</w:t>
      </w:r>
    </w:p>
    <w:p w14:paraId="37086EE0" w14:textId="77777777" w:rsidR="009F043E" w:rsidRDefault="00000000">
      <w:pPr>
        <w:pStyle w:val="PargrafodaLista"/>
        <w:numPr>
          <w:ilvl w:val="0"/>
          <w:numId w:val="2"/>
        </w:numPr>
        <w:spacing w:before="60" w:after="60"/>
      </w:pPr>
      <w:r>
        <w:rPr>
          <w:color w:val="555555"/>
        </w:rPr>
        <w:t>Nível de reposição populacional: TFT ≥ 2,1 filhos por mulher</w:t>
      </w:r>
    </w:p>
    <w:p w14:paraId="59924963" w14:textId="77777777" w:rsidR="009F043E" w:rsidRDefault="00000000">
      <w:pPr>
        <w:pStyle w:val="PargrafodaLista"/>
        <w:numPr>
          <w:ilvl w:val="0"/>
          <w:numId w:val="2"/>
        </w:numPr>
        <w:spacing w:before="60" w:after="60"/>
      </w:pPr>
      <w:r>
        <w:rPr>
          <w:color w:val="555555"/>
        </w:rPr>
        <w:t>Brasil (2022): TFT ≈ 1,62 — abaixo do nível de reposição</w:t>
      </w:r>
    </w:p>
    <w:p w14:paraId="5C1635C7" w14:textId="77777777" w:rsidR="009F043E" w:rsidRDefault="00000000">
      <w:pPr>
        <w:pStyle w:val="PargrafodaLista"/>
        <w:numPr>
          <w:ilvl w:val="0"/>
          <w:numId w:val="2"/>
        </w:numPr>
        <w:spacing w:before="60" w:after="60"/>
      </w:pPr>
      <w:r>
        <w:rPr>
          <w:color w:val="555555"/>
        </w:rPr>
        <w:t>Canadá (referência): TFT ≈ 1,48 — tendência global de queda nos países desenvolvidos</w:t>
      </w:r>
    </w:p>
    <w:p w14:paraId="5B19F2D3" w14:textId="77777777" w:rsidR="009F043E" w:rsidRDefault="00000000">
      <w:pPr>
        <w:pStyle w:val="PargrafodaLista"/>
        <w:numPr>
          <w:ilvl w:val="0"/>
          <w:numId w:val="2"/>
        </w:numPr>
        <w:spacing w:before="60" w:after="60"/>
      </w:pPr>
      <w:r>
        <w:rPr>
          <w:color w:val="555555"/>
        </w:rPr>
        <w:t>Países com TFT &lt; 1,5 enfrentam risco de 'armadilha de baixa fecundidade'</w:t>
      </w:r>
    </w:p>
    <w:p w14:paraId="0D857933" w14:textId="77777777" w:rsidR="009F043E" w:rsidRDefault="009F043E">
      <w:pPr>
        <w:spacing w:before="40" w:after="40"/>
      </w:pPr>
    </w:p>
    <w:p w14:paraId="54874642" w14:textId="77777777" w:rsidR="009F043E" w:rsidRDefault="00000000">
      <w:pPr>
        <w:pStyle w:val="Ttulo2"/>
      </w:pPr>
      <w:r>
        <w:t>2.2 Taxa Bruta de Natalidade (TBN)</w:t>
      </w:r>
    </w:p>
    <w:p w14:paraId="649F3CAC" w14:textId="77777777" w:rsidR="009F043E" w:rsidRDefault="00000000">
      <w:pPr>
        <w:spacing w:before="80" w:after="80"/>
        <w:jc w:val="both"/>
      </w:pPr>
      <w:r>
        <w:rPr>
          <w:color w:val="555555"/>
        </w:rPr>
        <w:t>Mede o número de nascimentos ocorridos em uma população por unidade de tempo, em relação ao total de pessoas expostas ao risco de nascer — ou seja, toda a população.</w:t>
      </w:r>
    </w:p>
    <w:p w14:paraId="4BE78580" w14:textId="77777777" w:rsidR="009F043E" w:rsidRDefault="009F04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76D9DC4D" w14:textId="77777777">
        <w:tblPrEx>
          <w:tblCellMar>
            <w:top w:w="0" w:type="dxa"/>
            <w:bottom w:w="0" w:type="dxa"/>
          </w:tblCellMar>
        </w:tblPrEx>
        <w:tc>
          <w:tcPr>
            <w:tcW w:w="9360" w:type="dxa"/>
            <w:tcBorders>
              <w:top w:val="single" w:sz="6" w:space="0" w:color="1D3557"/>
              <w:left w:val="single" w:sz="6" w:space="0" w:color="1D3557"/>
              <w:bottom w:val="single" w:sz="6" w:space="0" w:color="1D3557"/>
              <w:right w:val="single" w:sz="6" w:space="0" w:color="1D3557"/>
            </w:tcBorders>
            <w:shd w:val="clear" w:color="auto" w:fill="1D3557"/>
            <w:tcMar>
              <w:top w:w="140" w:type="dxa"/>
              <w:left w:w="240" w:type="dxa"/>
              <w:bottom w:w="140" w:type="dxa"/>
              <w:right w:w="240" w:type="dxa"/>
            </w:tcMar>
          </w:tcPr>
          <w:p w14:paraId="0BF95260" w14:textId="77777777" w:rsidR="009F043E" w:rsidRDefault="00000000">
            <w:pPr>
              <w:jc w:val="center"/>
            </w:pPr>
            <w:r>
              <w:rPr>
                <w:rFonts w:ascii="Courier New" w:eastAsia="Courier New" w:hAnsi="Courier New" w:cs="Courier New"/>
                <w:b/>
                <w:bCs/>
                <w:color w:val="FFFFFF"/>
              </w:rPr>
              <w:t>TBN = (Número de nascidos vivos no ano / População total no meio do ano) × 1.000</w:t>
            </w:r>
          </w:p>
        </w:tc>
      </w:tr>
    </w:tbl>
    <w:p w14:paraId="1EE5755A" w14:textId="77777777" w:rsidR="009F043E" w:rsidRDefault="009F04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13CB4040" w14:textId="77777777">
        <w:tblPrEx>
          <w:tblCellMar>
            <w:top w:w="0" w:type="dxa"/>
            <w:bottom w:w="0" w:type="dxa"/>
          </w:tblCellMar>
        </w:tblPrEx>
        <w:tc>
          <w:tcPr>
            <w:tcW w:w="9360" w:type="dxa"/>
            <w:tcBorders>
              <w:top w:val="single" w:sz="6" w:space="0" w:color="1D3557"/>
              <w:left w:val="thick" w:sz="18" w:space="0" w:color="1D3557"/>
              <w:bottom w:val="single" w:sz="6" w:space="0" w:color="1D3557"/>
              <w:right w:val="single" w:sz="6" w:space="0" w:color="1D3557"/>
            </w:tcBorders>
            <w:shd w:val="clear" w:color="auto" w:fill="EFF6FF"/>
            <w:tcMar>
              <w:top w:w="120" w:type="dxa"/>
              <w:left w:w="200" w:type="dxa"/>
              <w:bottom w:w="120" w:type="dxa"/>
              <w:right w:w="120" w:type="dxa"/>
            </w:tcMar>
          </w:tcPr>
          <w:p w14:paraId="63D3CF71" w14:textId="77777777" w:rsidR="009F043E" w:rsidRDefault="00000000">
            <w:pPr>
              <w:spacing w:before="60" w:after="40"/>
            </w:pPr>
            <w:r>
              <w:rPr>
                <w:b/>
                <w:bCs/>
                <w:color w:val="1D3557"/>
                <w:sz w:val="22"/>
                <w:szCs w:val="22"/>
              </w:rPr>
              <w:t xml:space="preserve">Diferença fundamental: </w:t>
            </w:r>
          </w:p>
          <w:p w14:paraId="4FCA0268" w14:textId="77777777" w:rsidR="009F043E" w:rsidRDefault="00000000">
            <w:pPr>
              <w:spacing w:after="40"/>
            </w:pPr>
            <w:r>
              <w:rPr>
                <w:b/>
                <w:bCs/>
                <w:color w:val="555555"/>
                <w:sz w:val="22"/>
                <w:szCs w:val="22"/>
              </w:rPr>
              <w:t xml:space="preserve">Natalidade </w:t>
            </w:r>
            <w:r>
              <w:rPr>
                <w:color w:val="555555"/>
                <w:sz w:val="22"/>
                <w:szCs w:val="22"/>
              </w:rPr>
              <w:t xml:space="preserve">refere-se ao número de nascimentos em relação à população total. </w:t>
            </w:r>
            <w:r>
              <w:rPr>
                <w:b/>
                <w:bCs/>
                <w:color w:val="555555"/>
                <w:sz w:val="22"/>
                <w:szCs w:val="22"/>
              </w:rPr>
              <w:t xml:space="preserve">Fecundidade </w:t>
            </w:r>
            <w:r>
              <w:rPr>
                <w:color w:val="555555"/>
                <w:sz w:val="22"/>
                <w:szCs w:val="22"/>
              </w:rPr>
              <w:t>refere-se à capacidade reprodutiva das mulheres em idade fértil. Uma população envelhecida pode ter baixa natalidade mesmo com fecundidade relativamente mantida.</w:t>
            </w:r>
          </w:p>
        </w:tc>
      </w:tr>
    </w:tbl>
    <w:p w14:paraId="776CA360" w14:textId="77777777" w:rsidR="009F043E" w:rsidRDefault="00000000">
      <w:r>
        <w:br w:type="page"/>
      </w:r>
    </w:p>
    <w:p w14:paraId="1DC488B2" w14:textId="77777777" w:rsidR="009F043E" w:rsidRDefault="00000000">
      <w:pPr>
        <w:pStyle w:val="Ttulo1"/>
        <w:pBdr>
          <w:bottom w:val="single" w:sz="8" w:space="2" w:color="1D3557"/>
        </w:pBdr>
      </w:pPr>
      <w:r>
        <w:lastRenderedPageBreak/>
        <w:t>3. Indicadores de Mortalidade</w:t>
      </w:r>
    </w:p>
    <w:p w14:paraId="17BCE105" w14:textId="77777777" w:rsidR="009F043E" w:rsidRDefault="00000000">
      <w:pPr>
        <w:pStyle w:val="Ttulo2"/>
      </w:pPr>
      <w:r>
        <w:t>3.1 Por que não basta contar mortes? O problema da mortalidade absoluta</w:t>
      </w:r>
    </w:p>
    <w:p w14:paraId="441133D0" w14:textId="77777777" w:rsidR="009F043E" w:rsidRDefault="00000000">
      <w:pPr>
        <w:spacing w:before="80" w:after="80"/>
        <w:jc w:val="both"/>
      </w:pPr>
      <w:r>
        <w:rPr>
          <w:color w:val="555555"/>
        </w:rPr>
        <w:t>Um erro frequente na interpretação de dados epidemiológicos é confundir o número absoluto de óbitos com o risco de morte. Os números absolutos são influenciados diretamente pelo tamanho da população — populações maiores terão mais mortes, mesmo que o risco individual seja idêntico.</w:t>
      </w:r>
    </w:p>
    <w:p w14:paraId="62FD98D6" w14:textId="77777777" w:rsidR="009F043E" w:rsidRDefault="009F04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0B327346" w14:textId="77777777">
        <w:tblPrEx>
          <w:tblCellMar>
            <w:top w:w="0" w:type="dxa"/>
            <w:bottom w:w="0" w:type="dxa"/>
          </w:tblCellMar>
        </w:tblPrEx>
        <w:tc>
          <w:tcPr>
            <w:tcW w:w="9360" w:type="dxa"/>
            <w:tcBorders>
              <w:top w:val="single" w:sz="6" w:space="0" w:color="C0392B"/>
              <w:left w:val="thick" w:sz="18" w:space="0" w:color="C0392B"/>
              <w:bottom w:val="single" w:sz="6" w:space="0" w:color="C0392B"/>
              <w:right w:val="single" w:sz="6" w:space="0" w:color="C0392B"/>
            </w:tcBorders>
            <w:shd w:val="clear" w:color="auto" w:fill="FFF0F0"/>
            <w:tcMar>
              <w:top w:w="120" w:type="dxa"/>
              <w:left w:w="200" w:type="dxa"/>
              <w:bottom w:w="120" w:type="dxa"/>
              <w:right w:w="120" w:type="dxa"/>
            </w:tcMar>
          </w:tcPr>
          <w:p w14:paraId="35DD479F" w14:textId="77777777" w:rsidR="009F043E" w:rsidRDefault="00000000">
            <w:pPr>
              <w:spacing w:before="60" w:after="40"/>
            </w:pPr>
            <w:r>
              <w:rPr>
                <w:b/>
                <w:bCs/>
                <w:color w:val="1D3557"/>
                <w:sz w:val="22"/>
                <w:szCs w:val="22"/>
              </w:rPr>
              <w:t>Exemplo clássico: mortes por câncer nos EUA</w:t>
            </w:r>
          </w:p>
          <w:p w14:paraId="05117E99" w14:textId="77777777" w:rsidR="009F043E" w:rsidRDefault="00000000">
            <w:pPr>
              <w:spacing w:after="60"/>
            </w:pPr>
            <w:r>
              <w:rPr>
                <w:color w:val="555555"/>
                <w:sz w:val="22"/>
                <w:szCs w:val="22"/>
              </w:rPr>
              <w:t>Em 1920, morreram aproximadamente 100.000 pessoas por câncer nos EUA. Em 2011, esse número subiu para cerca de 580.000 — um aumento de 5×. No entanto, a população americana cresceu de ~106 milhões para ~311 milhões no mesmo período. Ao calcularmos as taxas, o aumento do risco individual é muito menor do que o número absoluto sugere. Saber apenas o número de mortes é insuficiente para estimar risco.</w:t>
            </w:r>
          </w:p>
        </w:tc>
      </w:tr>
    </w:tbl>
    <w:p w14:paraId="297D070B" w14:textId="77777777" w:rsidR="009F043E" w:rsidRDefault="009F043E">
      <w:pPr>
        <w:spacing w:before="40" w:after="40"/>
      </w:pPr>
    </w:p>
    <w:p w14:paraId="3C83F6D4" w14:textId="77777777" w:rsidR="009F043E" w:rsidRDefault="00000000">
      <w:pPr>
        <w:spacing w:before="80" w:after="80"/>
        <w:jc w:val="both"/>
      </w:pPr>
      <w:r>
        <w:rPr>
          <w:color w:val="555555"/>
        </w:rPr>
        <w:t>Conclusão: precisamos sempre trabalhar com taxas (mortes por unidade de população exposta), e não apenas com contagens absolutas.</w:t>
      </w:r>
    </w:p>
    <w:p w14:paraId="2DA107F2" w14:textId="77777777" w:rsidR="009F043E" w:rsidRDefault="009F043E">
      <w:pPr>
        <w:spacing w:before="40" w:after="40"/>
      </w:pPr>
    </w:p>
    <w:p w14:paraId="15BA9C18" w14:textId="77777777" w:rsidR="009F043E" w:rsidRDefault="00000000">
      <w:pPr>
        <w:pStyle w:val="Ttulo2"/>
      </w:pPr>
      <w:r>
        <w:t>3.2 Taxa Bruta de Mortalidade (TBM)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147CA1E4" w14:textId="77777777">
        <w:tblPrEx>
          <w:tblCellMar>
            <w:top w:w="0" w:type="dxa"/>
            <w:bottom w:w="0" w:type="dxa"/>
          </w:tblCellMar>
        </w:tblPrEx>
        <w:tc>
          <w:tcPr>
            <w:tcW w:w="9360" w:type="dxa"/>
            <w:tcBorders>
              <w:top w:val="single" w:sz="6" w:space="0" w:color="1D3557"/>
              <w:left w:val="single" w:sz="6" w:space="0" w:color="1D3557"/>
              <w:bottom w:val="single" w:sz="6" w:space="0" w:color="1D3557"/>
              <w:right w:val="single" w:sz="6" w:space="0" w:color="1D3557"/>
            </w:tcBorders>
            <w:shd w:val="clear" w:color="auto" w:fill="1D3557"/>
            <w:tcMar>
              <w:top w:w="140" w:type="dxa"/>
              <w:left w:w="240" w:type="dxa"/>
              <w:bottom w:w="140" w:type="dxa"/>
              <w:right w:w="240" w:type="dxa"/>
            </w:tcMar>
          </w:tcPr>
          <w:p w14:paraId="3302FBA4" w14:textId="77777777" w:rsidR="009F043E" w:rsidRDefault="00000000">
            <w:pPr>
              <w:jc w:val="center"/>
            </w:pPr>
            <w:r>
              <w:rPr>
                <w:rFonts w:ascii="Courier New" w:eastAsia="Courier New" w:hAnsi="Courier New" w:cs="Courier New"/>
                <w:b/>
                <w:bCs/>
                <w:color w:val="FFFFFF"/>
              </w:rPr>
              <w:t>TBM = (Total de óbitos no ano / População no meio do ano) × 1.000</w:t>
            </w:r>
          </w:p>
        </w:tc>
      </w:tr>
    </w:tbl>
    <w:p w14:paraId="0C5B5D1B" w14:textId="77777777" w:rsidR="009F043E" w:rsidRDefault="009F043E">
      <w:pPr>
        <w:spacing w:before="40" w:after="40"/>
      </w:pPr>
    </w:p>
    <w:p w14:paraId="280F8DE8" w14:textId="77777777" w:rsidR="009F043E" w:rsidRDefault="00000000">
      <w:pPr>
        <w:pStyle w:val="Ttulo3"/>
      </w:pPr>
      <w:r>
        <w:t>Interpretação</w:t>
      </w:r>
    </w:p>
    <w:p w14:paraId="77C3C07D" w14:textId="77777777" w:rsidR="009F043E" w:rsidRDefault="00000000">
      <w:pPr>
        <w:pStyle w:val="PargrafodaLista"/>
        <w:numPr>
          <w:ilvl w:val="0"/>
          <w:numId w:val="2"/>
        </w:numPr>
        <w:spacing w:before="60" w:after="60"/>
      </w:pPr>
      <w:r>
        <w:rPr>
          <w:color w:val="555555"/>
        </w:rPr>
        <w:t>Caracteriza o risco médio de morte por qualquer causa para um indivíduo na população estudada</w:t>
      </w:r>
    </w:p>
    <w:p w14:paraId="2BBC78FE" w14:textId="77777777" w:rsidR="009F043E" w:rsidRDefault="00000000">
      <w:pPr>
        <w:pStyle w:val="PargrafodaLista"/>
        <w:numPr>
          <w:ilvl w:val="0"/>
          <w:numId w:val="2"/>
        </w:numPr>
        <w:spacing w:before="60" w:after="60"/>
      </w:pPr>
      <w:r>
        <w:rPr>
          <w:color w:val="555555"/>
        </w:rPr>
        <w:t>Brasil 2000: TBM ≈ 6,7 por mil hab.; 2015: TBM ≈ 6,1 por mil hab. (melhora consistente)</w:t>
      </w:r>
    </w:p>
    <w:p w14:paraId="787A6C3B" w14:textId="77777777" w:rsidR="009F043E" w:rsidRDefault="009F043E">
      <w:pPr>
        <w:spacing w:before="40" w:after="40"/>
      </w:pPr>
    </w:p>
    <w:p w14:paraId="0B9709F9" w14:textId="77777777" w:rsidR="009F043E" w:rsidRDefault="00000000">
      <w:pPr>
        <w:pStyle w:val="Ttulo3"/>
      </w:pPr>
      <w:r>
        <w:t>Limitação crítica</w:t>
      </w:r>
    </w:p>
    <w:p w14:paraId="3C665692" w14:textId="77777777" w:rsidR="009F043E" w:rsidRDefault="00000000">
      <w:pPr>
        <w:spacing w:before="80" w:after="80"/>
        <w:jc w:val="both"/>
      </w:pPr>
      <w:r>
        <w:rPr>
          <w:color w:val="555555"/>
        </w:rPr>
        <w:t>A TBM não controla a estrutura etária da população. Populações mais envelhecidas tendem a apresentar taxas brutas mais elevadas, mesmo que o risco em cada faixa etária seja idêntico ao de uma população jovem. Isso exige a padronização dos indicadores antes de qualquer comparação (ver Seção 4).</w:t>
      </w:r>
    </w:p>
    <w:p w14:paraId="3D13F2F6" w14:textId="77777777" w:rsidR="009F043E" w:rsidRDefault="009F043E">
      <w:pPr>
        <w:spacing w:before="40" w:after="40"/>
      </w:pPr>
    </w:p>
    <w:p w14:paraId="415C8BA1" w14:textId="77777777" w:rsidR="009F043E" w:rsidRDefault="00000000">
      <w:pPr>
        <w:pStyle w:val="Ttulo2"/>
      </w:pPr>
      <w:r>
        <w:t>3.3 Taxas de Mortalidade Específicas</w:t>
      </w:r>
    </w:p>
    <w:p w14:paraId="1665652D" w14:textId="77777777" w:rsidR="009F043E" w:rsidRDefault="00000000">
      <w:pPr>
        <w:spacing w:before="80" w:after="80"/>
        <w:jc w:val="both"/>
      </w:pPr>
      <w:r>
        <w:rPr>
          <w:color w:val="555555"/>
        </w:rPr>
        <w:t>Calculadas para subgrupos específicos da população, as taxas específicas permitem análise mais detalhada dos padrões de mortalidade:</w:t>
      </w:r>
    </w:p>
    <w:p w14:paraId="4AE71FFA" w14:textId="77777777" w:rsidR="009F043E" w:rsidRDefault="009F043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800"/>
        <w:gridCol w:w="2226"/>
      </w:tblGrid>
      <w:tr w:rsidR="009F043E" w14:paraId="560AA9F0" w14:textId="77777777">
        <w:tblPrEx>
          <w:tblCellMar>
            <w:top w:w="0" w:type="dxa"/>
            <w:bottom w:w="0" w:type="dxa"/>
          </w:tblCellMar>
        </w:tblPrEx>
        <w:tc>
          <w:tcPr>
            <w:tcW w:w="300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1FC28F3E" w14:textId="77777777" w:rsidR="009F043E" w:rsidRDefault="00000000">
            <w:pPr>
              <w:jc w:val="center"/>
            </w:pPr>
            <w:r>
              <w:rPr>
                <w:b/>
                <w:bCs/>
                <w:color w:val="FFFFFF"/>
                <w:sz w:val="22"/>
                <w:szCs w:val="22"/>
              </w:rPr>
              <w:lastRenderedPageBreak/>
              <w:t>Indicador</w:t>
            </w:r>
          </w:p>
        </w:tc>
        <w:tc>
          <w:tcPr>
            <w:tcW w:w="380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05FDF3B3" w14:textId="77777777" w:rsidR="009F043E" w:rsidRDefault="00000000">
            <w:pPr>
              <w:jc w:val="center"/>
            </w:pPr>
            <w:r>
              <w:rPr>
                <w:b/>
                <w:bCs/>
                <w:color w:val="FFFFFF"/>
                <w:sz w:val="22"/>
                <w:szCs w:val="22"/>
              </w:rPr>
              <w:t>Fórmula simplificada</w:t>
            </w:r>
          </w:p>
        </w:tc>
        <w:tc>
          <w:tcPr>
            <w:tcW w:w="2226"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7A7ADA03" w14:textId="77777777" w:rsidR="009F043E" w:rsidRDefault="00000000">
            <w:pPr>
              <w:jc w:val="center"/>
            </w:pPr>
            <w:r>
              <w:rPr>
                <w:b/>
                <w:bCs/>
                <w:color w:val="FFFFFF"/>
                <w:sz w:val="22"/>
                <w:szCs w:val="22"/>
              </w:rPr>
              <w:t>Referência/Meta</w:t>
            </w:r>
          </w:p>
        </w:tc>
      </w:tr>
      <w:tr w:rsidR="009F043E" w14:paraId="1CA6E703"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722637F9" w14:textId="77777777" w:rsidR="009F043E" w:rsidRDefault="00000000">
            <w:r>
              <w:rPr>
                <w:color w:val="555555"/>
                <w:sz w:val="20"/>
                <w:szCs w:val="20"/>
              </w:rPr>
              <w:t>Mortalidade Infantil</w:t>
            </w:r>
          </w:p>
        </w:tc>
        <w:tc>
          <w:tcPr>
            <w:tcW w:w="38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3F3E38DA" w14:textId="77777777" w:rsidR="009F043E" w:rsidRDefault="00000000">
            <w:r>
              <w:rPr>
                <w:color w:val="555555"/>
                <w:sz w:val="20"/>
                <w:szCs w:val="20"/>
              </w:rPr>
              <w:t>Óbitos &lt; 1 ano / Nascidos vivos × 1.000</w:t>
            </w:r>
          </w:p>
        </w:tc>
        <w:tc>
          <w:tcPr>
            <w:tcW w:w="222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5117E487" w14:textId="77777777" w:rsidR="009F043E" w:rsidRDefault="00000000">
            <w:r>
              <w:rPr>
                <w:color w:val="555555"/>
                <w:sz w:val="20"/>
                <w:szCs w:val="20"/>
              </w:rPr>
              <w:t>Brasil 2015: ~14 por 1.000 NV</w:t>
            </w:r>
          </w:p>
        </w:tc>
      </w:tr>
      <w:tr w:rsidR="009F043E" w14:paraId="43D6550E"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9F91B02" w14:textId="77777777" w:rsidR="009F043E" w:rsidRDefault="00000000">
            <w:r>
              <w:rPr>
                <w:color w:val="555555"/>
                <w:sz w:val="20"/>
                <w:szCs w:val="20"/>
              </w:rPr>
              <w:t>Mortalidade Materna</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48DE90D" w14:textId="77777777" w:rsidR="009F043E" w:rsidRDefault="00000000">
            <w:r>
              <w:rPr>
                <w:color w:val="555555"/>
                <w:sz w:val="20"/>
                <w:szCs w:val="20"/>
              </w:rPr>
              <w:t>Óbitos maternos / Nascidos vivos × 100.000</w:t>
            </w:r>
          </w:p>
        </w:tc>
        <w:tc>
          <w:tcPr>
            <w:tcW w:w="2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33282F3" w14:textId="77777777" w:rsidR="009F043E" w:rsidRDefault="00000000">
            <w:r>
              <w:rPr>
                <w:color w:val="555555"/>
                <w:sz w:val="20"/>
                <w:szCs w:val="20"/>
              </w:rPr>
              <w:t>ODS: &lt; 70 por 100.000 NV</w:t>
            </w:r>
          </w:p>
        </w:tc>
      </w:tr>
      <w:tr w:rsidR="009F043E" w14:paraId="00134D6B"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1089DD72" w14:textId="77777777" w:rsidR="009F043E" w:rsidRDefault="00000000">
            <w:r>
              <w:rPr>
                <w:color w:val="555555"/>
                <w:sz w:val="20"/>
                <w:szCs w:val="20"/>
              </w:rPr>
              <w:t>Mortalidade Neonatal</w:t>
            </w:r>
          </w:p>
        </w:tc>
        <w:tc>
          <w:tcPr>
            <w:tcW w:w="38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1401235A" w14:textId="77777777" w:rsidR="009F043E" w:rsidRDefault="00000000">
            <w:r>
              <w:rPr>
                <w:color w:val="555555"/>
                <w:sz w:val="20"/>
                <w:szCs w:val="20"/>
              </w:rPr>
              <w:t>Óbitos 0-27 dias / Nascidos vivos × 1.000</w:t>
            </w:r>
          </w:p>
        </w:tc>
        <w:tc>
          <w:tcPr>
            <w:tcW w:w="222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0AB5EB5F" w14:textId="77777777" w:rsidR="009F043E" w:rsidRDefault="00000000">
            <w:r>
              <w:rPr>
                <w:color w:val="555555"/>
                <w:sz w:val="20"/>
                <w:szCs w:val="20"/>
              </w:rPr>
              <w:t xml:space="preserve">Precoce (&lt;7d) </w:t>
            </w:r>
            <w:proofErr w:type="gramStart"/>
            <w:r>
              <w:rPr>
                <w:color w:val="555555"/>
                <w:sz w:val="20"/>
                <w:szCs w:val="20"/>
              </w:rPr>
              <w:t>e Tardia</w:t>
            </w:r>
            <w:proofErr w:type="gramEnd"/>
            <w:r>
              <w:rPr>
                <w:color w:val="555555"/>
                <w:sz w:val="20"/>
                <w:szCs w:val="20"/>
              </w:rPr>
              <w:t xml:space="preserve"> (7-27d)</w:t>
            </w:r>
          </w:p>
        </w:tc>
      </w:tr>
      <w:tr w:rsidR="009F043E" w14:paraId="01D9140B"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F8DB44B" w14:textId="77777777" w:rsidR="009F043E" w:rsidRDefault="00000000">
            <w:r>
              <w:rPr>
                <w:color w:val="555555"/>
                <w:sz w:val="20"/>
                <w:szCs w:val="20"/>
              </w:rPr>
              <w:t>Mortalidade Perinatal</w:t>
            </w:r>
          </w:p>
        </w:tc>
        <w:tc>
          <w:tcPr>
            <w:tcW w:w="38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A4AAAD0" w14:textId="77777777" w:rsidR="009F043E" w:rsidRDefault="00000000">
            <w:r>
              <w:rPr>
                <w:color w:val="555555"/>
                <w:sz w:val="20"/>
                <w:szCs w:val="20"/>
              </w:rPr>
              <w:t>Óbitos fetais + neonatais precoces / Nascimentos</w:t>
            </w:r>
          </w:p>
        </w:tc>
        <w:tc>
          <w:tcPr>
            <w:tcW w:w="22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D87E7EC" w14:textId="77777777" w:rsidR="009F043E" w:rsidRDefault="00000000">
            <w:r>
              <w:rPr>
                <w:color w:val="555555"/>
                <w:sz w:val="20"/>
                <w:szCs w:val="20"/>
              </w:rPr>
              <w:t>Indicador de qualidade obstétrica</w:t>
            </w:r>
          </w:p>
        </w:tc>
      </w:tr>
      <w:tr w:rsidR="009F043E" w14:paraId="60F1F06B"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7FE28C29" w14:textId="77777777" w:rsidR="009F043E" w:rsidRDefault="00000000">
            <w:r>
              <w:rPr>
                <w:color w:val="555555"/>
                <w:sz w:val="20"/>
                <w:szCs w:val="20"/>
              </w:rPr>
              <w:t>Por causa específica</w:t>
            </w:r>
          </w:p>
        </w:tc>
        <w:tc>
          <w:tcPr>
            <w:tcW w:w="38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3127FA82" w14:textId="77777777" w:rsidR="009F043E" w:rsidRDefault="00000000">
            <w:r>
              <w:rPr>
                <w:color w:val="555555"/>
                <w:sz w:val="20"/>
                <w:szCs w:val="20"/>
              </w:rPr>
              <w:t>Óbitos por causa X / Pop × 100.000</w:t>
            </w:r>
          </w:p>
        </w:tc>
        <w:tc>
          <w:tcPr>
            <w:tcW w:w="222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65C21023" w14:textId="77777777" w:rsidR="009F043E" w:rsidRDefault="00000000">
            <w:r>
              <w:rPr>
                <w:color w:val="555555"/>
                <w:sz w:val="20"/>
                <w:szCs w:val="20"/>
              </w:rPr>
              <w:t>Avalia eficácia de programas</w:t>
            </w:r>
          </w:p>
        </w:tc>
      </w:tr>
    </w:tbl>
    <w:p w14:paraId="3CA133AE" w14:textId="77777777" w:rsidR="009F043E" w:rsidRDefault="009F043E">
      <w:pPr>
        <w:spacing w:before="40" w:after="40"/>
      </w:pPr>
    </w:p>
    <w:p w14:paraId="0F4868E4" w14:textId="77777777" w:rsidR="009F043E" w:rsidRDefault="00000000">
      <w:pPr>
        <w:pStyle w:val="Ttulo2"/>
      </w:pPr>
      <w:r>
        <w:t>3.4 Mortalidade Infantil — Componentes</w:t>
      </w:r>
    </w:p>
    <w:p w14:paraId="67EC9BA9" w14:textId="77777777" w:rsidR="009F043E" w:rsidRDefault="00000000">
      <w:pPr>
        <w:spacing w:before="80" w:after="80"/>
        <w:jc w:val="both"/>
      </w:pPr>
      <w:r>
        <w:rPr>
          <w:color w:val="555555"/>
        </w:rPr>
        <w:t>A mortalidade infantil (MI) — óbitos de crianças com menos de 1 ano de vida por mil nascidos vivos — é considerada o indicador mais sensível do nível de desenvolvimento de uma sociedade. Em 2015, aproximadamente 5,9 milhões de crianças morreram antes dos 5 anos (WHO, 2015), o que corresponde a cerca de 16.000 crianças por dia.</w:t>
      </w:r>
    </w:p>
    <w:p w14:paraId="7B1CA25E" w14:textId="77777777" w:rsidR="009F043E" w:rsidRDefault="009F043E">
      <w:pPr>
        <w:spacing w:before="40" w:after="40"/>
      </w:pPr>
    </w:p>
    <w:p w14:paraId="148DF9A5" w14:textId="77777777" w:rsidR="009F043E" w:rsidRDefault="00000000">
      <w:pPr>
        <w:spacing w:before="80" w:after="80"/>
        <w:jc w:val="both"/>
      </w:pPr>
      <w:r>
        <w:rPr>
          <w:color w:val="555555"/>
        </w:rPr>
        <w:t>A MI é decomposta em três componentes, cada um com determinantes distintos:</w:t>
      </w:r>
    </w:p>
    <w:p w14:paraId="25AEEE68" w14:textId="77777777" w:rsidR="009F043E" w:rsidRDefault="009F043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9F043E" w14:paraId="709AD017" w14:textId="77777777">
        <w:tblPrEx>
          <w:tblCellMar>
            <w:top w:w="0" w:type="dxa"/>
            <w:bottom w:w="0" w:type="dxa"/>
          </w:tblCellMar>
        </w:tblPrEx>
        <w:tc>
          <w:tcPr>
            <w:tcW w:w="250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42FCDFDA" w14:textId="77777777" w:rsidR="009F043E" w:rsidRDefault="00000000">
            <w:pPr>
              <w:jc w:val="center"/>
            </w:pPr>
            <w:r>
              <w:rPr>
                <w:b/>
                <w:bCs/>
                <w:color w:val="FFFFFF"/>
                <w:sz w:val="22"/>
                <w:szCs w:val="22"/>
              </w:rPr>
              <w:t>Componente</w:t>
            </w:r>
          </w:p>
        </w:tc>
        <w:tc>
          <w:tcPr>
            <w:tcW w:w="250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7A248063" w14:textId="77777777" w:rsidR="009F043E" w:rsidRDefault="00000000">
            <w:pPr>
              <w:jc w:val="center"/>
            </w:pPr>
            <w:r>
              <w:rPr>
                <w:b/>
                <w:bCs/>
                <w:color w:val="FFFFFF"/>
                <w:sz w:val="22"/>
                <w:szCs w:val="22"/>
              </w:rPr>
              <w:t>Período</w:t>
            </w:r>
          </w:p>
        </w:tc>
        <w:tc>
          <w:tcPr>
            <w:tcW w:w="4026"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655E6021" w14:textId="77777777" w:rsidR="009F043E" w:rsidRDefault="00000000">
            <w:pPr>
              <w:jc w:val="center"/>
            </w:pPr>
            <w:r>
              <w:rPr>
                <w:b/>
                <w:bCs/>
                <w:color w:val="FFFFFF"/>
                <w:sz w:val="22"/>
                <w:szCs w:val="22"/>
              </w:rPr>
              <w:t>Principais causas</w:t>
            </w:r>
          </w:p>
        </w:tc>
      </w:tr>
      <w:tr w:rsidR="009F043E" w14:paraId="1656F13E" w14:textId="77777777">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7E2DF717" w14:textId="77777777" w:rsidR="009F043E" w:rsidRDefault="00000000">
            <w:r>
              <w:rPr>
                <w:color w:val="555555"/>
                <w:sz w:val="20"/>
                <w:szCs w:val="20"/>
              </w:rPr>
              <w:t>Neonatal Precoce</w:t>
            </w:r>
          </w:p>
        </w:tc>
        <w:tc>
          <w:tcPr>
            <w:tcW w:w="25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446D2D68" w14:textId="77777777" w:rsidR="009F043E" w:rsidRDefault="00000000">
            <w:r>
              <w:rPr>
                <w:color w:val="555555"/>
                <w:sz w:val="20"/>
                <w:szCs w:val="20"/>
              </w:rPr>
              <w:t>0 a 6 dias de vida</w:t>
            </w:r>
          </w:p>
        </w:tc>
        <w:tc>
          <w:tcPr>
            <w:tcW w:w="402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2B73D8F5" w14:textId="77777777" w:rsidR="009F043E" w:rsidRDefault="00000000">
            <w:r>
              <w:rPr>
                <w:color w:val="555555"/>
                <w:sz w:val="20"/>
                <w:szCs w:val="20"/>
              </w:rPr>
              <w:t>Asfixia perinatal, prematuridade, infecções, malformações</w:t>
            </w:r>
          </w:p>
        </w:tc>
      </w:tr>
      <w:tr w:rsidR="009F043E" w14:paraId="01086DD0" w14:textId="77777777">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071A0E1" w14:textId="77777777" w:rsidR="009F043E" w:rsidRDefault="00000000">
            <w:r>
              <w:rPr>
                <w:color w:val="555555"/>
                <w:sz w:val="20"/>
                <w:szCs w:val="20"/>
              </w:rPr>
              <w:t>Neonatal Tardio</w:t>
            </w:r>
          </w:p>
        </w:tc>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235AAE9" w14:textId="77777777" w:rsidR="009F043E" w:rsidRDefault="00000000">
            <w:r>
              <w:rPr>
                <w:color w:val="555555"/>
                <w:sz w:val="20"/>
                <w:szCs w:val="20"/>
              </w:rPr>
              <w:t>7 a 27 dias</w:t>
            </w:r>
          </w:p>
        </w:tc>
        <w:tc>
          <w:tcPr>
            <w:tcW w:w="4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FEA77F3" w14:textId="77777777" w:rsidR="009F043E" w:rsidRDefault="00000000">
            <w:r>
              <w:rPr>
                <w:color w:val="555555"/>
                <w:sz w:val="20"/>
                <w:szCs w:val="20"/>
              </w:rPr>
              <w:t>Infecções, condições congênitas, prematuridade tardia</w:t>
            </w:r>
          </w:p>
        </w:tc>
      </w:tr>
      <w:tr w:rsidR="009F043E" w14:paraId="2CBE9E2B" w14:textId="77777777">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3B697172" w14:textId="77777777" w:rsidR="009F043E" w:rsidRDefault="00000000">
            <w:r>
              <w:rPr>
                <w:color w:val="555555"/>
                <w:sz w:val="20"/>
                <w:szCs w:val="20"/>
              </w:rPr>
              <w:t>Pós-Neonatal</w:t>
            </w:r>
          </w:p>
        </w:tc>
        <w:tc>
          <w:tcPr>
            <w:tcW w:w="25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5731F4AF" w14:textId="77777777" w:rsidR="009F043E" w:rsidRDefault="00000000">
            <w:r>
              <w:rPr>
                <w:color w:val="555555"/>
                <w:sz w:val="20"/>
                <w:szCs w:val="20"/>
              </w:rPr>
              <w:t>28 dias a &lt; 1 ano</w:t>
            </w:r>
          </w:p>
        </w:tc>
        <w:tc>
          <w:tcPr>
            <w:tcW w:w="402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3284D3D0" w14:textId="77777777" w:rsidR="009F043E" w:rsidRDefault="00000000">
            <w:r>
              <w:rPr>
                <w:color w:val="555555"/>
                <w:sz w:val="20"/>
                <w:szCs w:val="20"/>
              </w:rPr>
              <w:t>Diarreia, pneumonia, desnutrição, causas externas</w:t>
            </w:r>
          </w:p>
        </w:tc>
      </w:tr>
    </w:tbl>
    <w:p w14:paraId="27C695AA" w14:textId="77777777" w:rsidR="009F043E" w:rsidRDefault="009F043E">
      <w:pPr>
        <w:spacing w:before="40" w:after="40"/>
      </w:pPr>
    </w:p>
    <w:p w14:paraId="08685D86" w14:textId="77777777" w:rsidR="009F043E" w:rsidRDefault="00000000">
      <w:pPr>
        <w:pStyle w:val="Ttulo2"/>
      </w:pPr>
      <w:r>
        <w:t>3.5 Mortalidade Proporcional</w:t>
      </w:r>
    </w:p>
    <w:p w14:paraId="26D88B17" w14:textId="77777777" w:rsidR="009F043E" w:rsidRDefault="00000000">
      <w:pPr>
        <w:spacing w:before="80" w:after="80"/>
        <w:jc w:val="both"/>
      </w:pPr>
      <w:r>
        <w:rPr>
          <w:color w:val="555555"/>
        </w:rPr>
        <w:t>A mortalidade proporcional indica a participação percentual de uma causa (ou grupo de causas) no total de óbitos. É útil para analisar o perfil epidemiológico e a transição epidemiológica.</w:t>
      </w:r>
    </w:p>
    <w:p w14:paraId="5C5CA7AD" w14:textId="77777777" w:rsidR="009F043E" w:rsidRDefault="009F04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42A1F0F5" w14:textId="77777777">
        <w:tblPrEx>
          <w:tblCellMar>
            <w:top w:w="0" w:type="dxa"/>
            <w:bottom w:w="0" w:type="dxa"/>
          </w:tblCellMar>
        </w:tblPrEx>
        <w:tc>
          <w:tcPr>
            <w:tcW w:w="9360" w:type="dxa"/>
            <w:tcBorders>
              <w:top w:val="single" w:sz="6" w:space="0" w:color="1D3557"/>
              <w:left w:val="single" w:sz="6" w:space="0" w:color="1D3557"/>
              <w:bottom w:val="single" w:sz="6" w:space="0" w:color="1D3557"/>
              <w:right w:val="single" w:sz="6" w:space="0" w:color="1D3557"/>
            </w:tcBorders>
            <w:shd w:val="clear" w:color="auto" w:fill="1D3557"/>
            <w:tcMar>
              <w:top w:w="140" w:type="dxa"/>
              <w:left w:w="240" w:type="dxa"/>
              <w:bottom w:w="140" w:type="dxa"/>
              <w:right w:w="240" w:type="dxa"/>
            </w:tcMar>
          </w:tcPr>
          <w:p w14:paraId="69998C22" w14:textId="77777777" w:rsidR="009F043E" w:rsidRDefault="00000000">
            <w:pPr>
              <w:jc w:val="center"/>
            </w:pPr>
            <w:r>
              <w:rPr>
                <w:rFonts w:ascii="Courier New" w:eastAsia="Courier New" w:hAnsi="Courier New" w:cs="Courier New"/>
                <w:b/>
                <w:bCs/>
                <w:color w:val="FFFFFF"/>
              </w:rPr>
              <w:t>MP (%) = (Óbitos por causa X / Total de óbitos) × 100</w:t>
            </w:r>
          </w:p>
        </w:tc>
      </w:tr>
    </w:tbl>
    <w:p w14:paraId="59A5C377" w14:textId="77777777" w:rsidR="009F043E" w:rsidRDefault="009F04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4520E8A4" w14:textId="77777777">
        <w:tblPrEx>
          <w:tblCellMar>
            <w:top w:w="0" w:type="dxa"/>
            <w:bottom w:w="0" w:type="dxa"/>
          </w:tblCellMar>
        </w:tblPrEx>
        <w:tc>
          <w:tcPr>
            <w:tcW w:w="9360" w:type="dxa"/>
            <w:tcBorders>
              <w:top w:val="single" w:sz="6" w:space="0" w:color="C0392B"/>
              <w:left w:val="thick" w:sz="18" w:space="0" w:color="C0392B"/>
              <w:bottom w:val="single" w:sz="6" w:space="0" w:color="C0392B"/>
              <w:right w:val="single" w:sz="6" w:space="0" w:color="C0392B"/>
            </w:tcBorders>
            <w:shd w:val="clear" w:color="auto" w:fill="FFF0F0"/>
            <w:tcMar>
              <w:top w:w="120" w:type="dxa"/>
              <w:left w:w="200" w:type="dxa"/>
              <w:bottom w:w="120" w:type="dxa"/>
              <w:right w:w="120" w:type="dxa"/>
            </w:tcMar>
          </w:tcPr>
          <w:p w14:paraId="47488B9D" w14:textId="77777777" w:rsidR="009F043E" w:rsidRDefault="00000000">
            <w:pPr>
              <w:spacing w:before="60" w:after="60"/>
            </w:pPr>
            <w:r>
              <w:rPr>
                <w:b/>
                <w:bCs/>
                <w:color w:val="C0392B"/>
                <w:sz w:val="22"/>
                <w:szCs w:val="22"/>
              </w:rPr>
              <w:t xml:space="preserve">Atenção à armadilha interpretativa: </w:t>
            </w:r>
            <w:r>
              <w:rPr>
                <w:color w:val="555555"/>
                <w:sz w:val="22"/>
                <w:szCs w:val="22"/>
              </w:rPr>
              <w:t>Uma queda na proporção de óbitos por doença infecciosa pode indicar tanto melhora do controle da infecção quanto aumento da mortalidade por doenças crônicas — sem alterar o risco absoluto de morrer por infecção. A mortalidade proporcional deve sempre ser interpretada junto às taxas específicas.</w:t>
            </w:r>
          </w:p>
        </w:tc>
      </w:tr>
    </w:tbl>
    <w:p w14:paraId="1A89B6EB" w14:textId="77777777" w:rsidR="009F043E" w:rsidRDefault="009F043E">
      <w:pPr>
        <w:spacing w:before="40" w:after="40"/>
      </w:pPr>
    </w:p>
    <w:p w14:paraId="303B18F5" w14:textId="77777777" w:rsidR="009F043E" w:rsidRDefault="00000000">
      <w:pPr>
        <w:pStyle w:val="Ttulo2"/>
      </w:pPr>
      <w:r>
        <w:t>3.6 Declaração de Óbito e Qualidade dos Dados</w:t>
      </w:r>
    </w:p>
    <w:p w14:paraId="663942B2" w14:textId="77777777" w:rsidR="009F043E" w:rsidRDefault="00000000">
      <w:pPr>
        <w:spacing w:before="80" w:after="80"/>
        <w:jc w:val="both"/>
      </w:pPr>
      <w:r>
        <w:rPr>
          <w:color w:val="555555"/>
        </w:rPr>
        <w:t>A Declaração de Óbito (DO) é o documento legal e epidemiológico que registra cada morte no Brasil. Sua qualidade é fundamental para a confiabilidade de qualquer indicador de mortalidade. Os principais problemas são:</w:t>
      </w:r>
    </w:p>
    <w:p w14:paraId="3DC0A2BF" w14:textId="77777777" w:rsidR="009F043E" w:rsidRDefault="009F043E">
      <w:pPr>
        <w:spacing w:before="40" w:after="40"/>
      </w:pPr>
    </w:p>
    <w:p w14:paraId="22304B6F" w14:textId="77777777" w:rsidR="009F043E" w:rsidRDefault="00000000">
      <w:pPr>
        <w:pStyle w:val="PargrafodaLista"/>
        <w:numPr>
          <w:ilvl w:val="0"/>
          <w:numId w:val="2"/>
        </w:numPr>
        <w:spacing w:before="60" w:after="60"/>
      </w:pPr>
      <w:r>
        <w:rPr>
          <w:color w:val="555555"/>
        </w:rPr>
        <w:t>Causas mal definidas: o preenchimento de 'parada cardiorrespiratória' como causa básica mascara a real causa da morte</w:t>
      </w:r>
    </w:p>
    <w:p w14:paraId="31CAB731" w14:textId="77777777" w:rsidR="009F043E" w:rsidRDefault="00000000">
      <w:pPr>
        <w:pStyle w:val="PargrafodaLista"/>
        <w:numPr>
          <w:ilvl w:val="0"/>
          <w:numId w:val="2"/>
        </w:numPr>
        <w:spacing w:before="60" w:after="60"/>
      </w:pPr>
      <w:proofErr w:type="spellStart"/>
      <w:r>
        <w:rPr>
          <w:color w:val="555555"/>
        </w:rPr>
        <w:t>Subregistro</w:t>
      </w:r>
      <w:proofErr w:type="spellEnd"/>
      <w:r>
        <w:rPr>
          <w:color w:val="555555"/>
        </w:rPr>
        <w:t>: estimativas indicam que até 20-30% dos óbitos em regiões mais pobres do Brasil não são registrados formalmente</w:t>
      </w:r>
    </w:p>
    <w:p w14:paraId="48E2B2C9" w14:textId="77777777" w:rsidR="009F043E" w:rsidRDefault="00000000">
      <w:pPr>
        <w:pStyle w:val="PargrafodaLista"/>
        <w:numPr>
          <w:ilvl w:val="0"/>
          <w:numId w:val="2"/>
        </w:numPr>
        <w:spacing w:before="60" w:after="60"/>
      </w:pPr>
      <w:r>
        <w:rPr>
          <w:color w:val="555555"/>
        </w:rPr>
        <w:t>Erros de preenchimento: campos como raça/cor, escolaridade e ocupação frequentemente ficam em branco ou incorretos</w:t>
      </w:r>
    </w:p>
    <w:p w14:paraId="3BF196A5" w14:textId="77777777" w:rsidR="009F043E" w:rsidRDefault="00000000">
      <w:pPr>
        <w:pStyle w:val="PargrafodaLista"/>
        <w:numPr>
          <w:ilvl w:val="0"/>
          <w:numId w:val="2"/>
        </w:numPr>
        <w:spacing w:before="60" w:after="60"/>
      </w:pPr>
      <w:r>
        <w:rPr>
          <w:color w:val="555555"/>
        </w:rPr>
        <w:t>A DO possui um campo específico para raça/cor — seu preenchimento correto é obrigação ética e epidemiológica do médico</w:t>
      </w:r>
    </w:p>
    <w:p w14:paraId="3E2D18AD" w14:textId="77777777" w:rsidR="009F043E" w:rsidRDefault="009F043E">
      <w:pPr>
        <w:spacing w:before="40" w:after="40"/>
      </w:pPr>
    </w:p>
    <w:p w14:paraId="63186B6E" w14:textId="77777777" w:rsidR="009F043E" w:rsidRDefault="00000000">
      <w:pPr>
        <w:pStyle w:val="Ttulo2"/>
      </w:pPr>
      <w:r>
        <w:t>3.7 Letalidade: IFR e CFR</w:t>
      </w:r>
    </w:p>
    <w:p w14:paraId="3ADE38D9" w14:textId="77777777" w:rsidR="009F043E" w:rsidRDefault="00000000">
      <w:pPr>
        <w:spacing w:before="80" w:after="80"/>
        <w:jc w:val="both"/>
      </w:pPr>
      <w:r>
        <w:rPr>
          <w:color w:val="555555"/>
        </w:rPr>
        <w:t>A letalidade mede a proporção de mortes entre os casos de uma doença — é diferente da taxa de mortalidade, pois o denominador são os casos, não a população geral.</w:t>
      </w:r>
    </w:p>
    <w:p w14:paraId="7A37A728" w14:textId="77777777" w:rsidR="009F043E" w:rsidRDefault="009F043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9"/>
        <w:gridCol w:w="3961"/>
        <w:gridCol w:w="2586"/>
      </w:tblGrid>
      <w:tr w:rsidR="009F043E" w14:paraId="3007E9A1" w14:textId="77777777">
        <w:tblPrEx>
          <w:tblCellMar>
            <w:top w:w="0" w:type="dxa"/>
            <w:bottom w:w="0" w:type="dxa"/>
          </w:tblCellMar>
        </w:tblPrEx>
        <w:tc>
          <w:tcPr>
            <w:tcW w:w="250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4414B0ED" w14:textId="77777777" w:rsidR="009F043E" w:rsidRDefault="00000000">
            <w:pPr>
              <w:jc w:val="center"/>
            </w:pPr>
            <w:r>
              <w:rPr>
                <w:b/>
                <w:bCs/>
                <w:color w:val="FFFFFF"/>
                <w:sz w:val="22"/>
                <w:szCs w:val="22"/>
              </w:rPr>
              <w:t>Medida</w:t>
            </w:r>
          </w:p>
        </w:tc>
        <w:tc>
          <w:tcPr>
            <w:tcW w:w="400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68D456A0" w14:textId="77777777" w:rsidR="009F043E" w:rsidRDefault="00000000">
            <w:pPr>
              <w:jc w:val="center"/>
            </w:pPr>
            <w:r>
              <w:rPr>
                <w:b/>
                <w:bCs/>
                <w:color w:val="FFFFFF"/>
                <w:sz w:val="22"/>
                <w:szCs w:val="22"/>
              </w:rPr>
              <w:t>Fórmula</w:t>
            </w:r>
          </w:p>
        </w:tc>
        <w:tc>
          <w:tcPr>
            <w:tcW w:w="2526"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350C32DC" w14:textId="77777777" w:rsidR="009F043E" w:rsidRDefault="00000000">
            <w:pPr>
              <w:jc w:val="center"/>
            </w:pPr>
            <w:r>
              <w:rPr>
                <w:b/>
                <w:bCs/>
                <w:color w:val="FFFFFF"/>
                <w:sz w:val="22"/>
                <w:szCs w:val="22"/>
              </w:rPr>
              <w:t>O que representa</w:t>
            </w:r>
          </w:p>
        </w:tc>
      </w:tr>
      <w:tr w:rsidR="009F043E" w14:paraId="6AF8B699" w14:textId="77777777">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3A9A98CF" w14:textId="77777777" w:rsidR="009F043E" w:rsidRDefault="00000000">
            <w:r>
              <w:rPr>
                <w:color w:val="555555"/>
                <w:sz w:val="20"/>
                <w:szCs w:val="20"/>
              </w:rPr>
              <w:t>CFR (Case Fatality Rate)</w:t>
            </w:r>
          </w:p>
        </w:tc>
        <w:tc>
          <w:tcPr>
            <w:tcW w:w="4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57E51670" w14:textId="77777777" w:rsidR="009F043E" w:rsidRDefault="00000000">
            <w:r>
              <w:rPr>
                <w:color w:val="555555"/>
                <w:sz w:val="20"/>
                <w:szCs w:val="20"/>
              </w:rPr>
              <w:t>(Óbitos por doença X / Casos confirmados de X) × 100</w:t>
            </w:r>
          </w:p>
        </w:tc>
        <w:tc>
          <w:tcPr>
            <w:tcW w:w="252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0A9AAD58" w14:textId="77777777" w:rsidR="009F043E" w:rsidRDefault="00000000">
            <w:r>
              <w:rPr>
                <w:color w:val="555555"/>
                <w:sz w:val="20"/>
                <w:szCs w:val="20"/>
              </w:rPr>
              <w:t>Risco de morte entre os casos diagnosticados/notificados</w:t>
            </w:r>
          </w:p>
        </w:tc>
      </w:tr>
      <w:tr w:rsidR="009F043E" w14:paraId="7B7666FC" w14:textId="77777777">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281FD2C" w14:textId="77777777" w:rsidR="009F043E" w:rsidRDefault="00000000">
            <w:r>
              <w:rPr>
                <w:color w:val="555555"/>
                <w:sz w:val="20"/>
                <w:szCs w:val="20"/>
              </w:rPr>
              <w:t>IFR (</w:t>
            </w:r>
            <w:proofErr w:type="spellStart"/>
            <w:r>
              <w:rPr>
                <w:color w:val="555555"/>
                <w:sz w:val="20"/>
                <w:szCs w:val="20"/>
              </w:rPr>
              <w:t>Infection</w:t>
            </w:r>
            <w:proofErr w:type="spellEnd"/>
            <w:r>
              <w:rPr>
                <w:color w:val="555555"/>
                <w:sz w:val="20"/>
                <w:szCs w:val="20"/>
              </w:rPr>
              <w:t xml:space="preserve"> Fatality Rate)</w:t>
            </w:r>
          </w:p>
        </w:tc>
        <w:tc>
          <w:tcPr>
            <w:tcW w:w="4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FDA68E9" w14:textId="77777777" w:rsidR="009F043E" w:rsidRDefault="00000000">
            <w:r>
              <w:rPr>
                <w:color w:val="555555"/>
                <w:sz w:val="20"/>
                <w:szCs w:val="20"/>
              </w:rPr>
              <w:t>(Óbitos por doença X / Casos estimados*) × 100</w:t>
            </w:r>
          </w:p>
        </w:tc>
        <w:tc>
          <w:tcPr>
            <w:tcW w:w="2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8F78A02" w14:textId="77777777" w:rsidR="009F043E" w:rsidRDefault="00000000">
            <w:r>
              <w:rPr>
                <w:color w:val="555555"/>
                <w:sz w:val="20"/>
                <w:szCs w:val="20"/>
              </w:rPr>
              <w:t>Risco real de morte — inclui casos não diagnosticados</w:t>
            </w:r>
          </w:p>
        </w:tc>
      </w:tr>
    </w:tbl>
    <w:p w14:paraId="0859BFD8" w14:textId="77777777" w:rsidR="009F043E" w:rsidRDefault="00000000">
      <w:pPr>
        <w:spacing w:before="60" w:after="80"/>
      </w:pPr>
      <w:r>
        <w:rPr>
          <w:color w:val="888888"/>
          <w:sz w:val="20"/>
          <w:szCs w:val="20"/>
        </w:rPr>
        <w:t>* Estimado via estudos de soroprevalência.</w:t>
      </w:r>
    </w:p>
    <w:p w14:paraId="76218354" w14:textId="77777777" w:rsidR="009F043E" w:rsidRDefault="009F043E">
      <w:pPr>
        <w:spacing w:before="40" w:after="40"/>
      </w:pPr>
    </w:p>
    <w:p w14:paraId="7EB820C0" w14:textId="77777777" w:rsidR="009F043E" w:rsidRDefault="00000000">
      <w:pPr>
        <w:spacing w:before="80" w:after="80"/>
        <w:jc w:val="both"/>
      </w:pPr>
      <w:r>
        <w:rPr>
          <w:color w:val="555555"/>
        </w:rPr>
        <w:t>Exemplo: durante a pandemia de COVID-19 no Maranhão, a CFR chegou a 0,14% em estudos baseados em soroprevalência — muito menor que as estimativas iniciais baseadas apenas em casos confirmados, demonstrando a importância de distinguir CFR e IFR.</w:t>
      </w:r>
    </w:p>
    <w:p w14:paraId="78CD73E3" w14:textId="77777777" w:rsidR="009F043E" w:rsidRDefault="009F043E">
      <w:pPr>
        <w:spacing w:before="40" w:after="40"/>
      </w:pPr>
    </w:p>
    <w:p w14:paraId="7CE3BB54" w14:textId="77777777" w:rsidR="009F043E" w:rsidRDefault="00000000">
      <w:pPr>
        <w:pStyle w:val="Ttulo2"/>
      </w:pPr>
      <w:r>
        <w:t xml:space="preserve">3.8 DALY — </w:t>
      </w:r>
      <w:proofErr w:type="spellStart"/>
      <w:r>
        <w:t>Disability-Adjusted</w:t>
      </w:r>
      <w:proofErr w:type="spellEnd"/>
      <w:r>
        <w:t xml:space="preserve"> Life Year</w:t>
      </w:r>
    </w:p>
    <w:p w14:paraId="47968D10" w14:textId="77777777" w:rsidR="009F043E" w:rsidRDefault="00000000">
      <w:pPr>
        <w:spacing w:before="80" w:after="80"/>
        <w:jc w:val="both"/>
      </w:pPr>
      <w:r>
        <w:rPr>
          <w:color w:val="555555"/>
        </w:rPr>
        <w:t>O DALY (Ano de Vida Ajustado por Incapacidade) é uma medida de carga de doença que captura tanto a mortalidade prematura quanto a morbidade (incapacidade). É amplamente utilizado pela OMS para comparar o impacto de diferentes doenças.</w:t>
      </w:r>
    </w:p>
    <w:p w14:paraId="75AE68EA" w14:textId="77777777" w:rsidR="009F043E" w:rsidRDefault="009F04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5CBAB5F4" w14:textId="77777777">
        <w:tblPrEx>
          <w:tblCellMar>
            <w:top w:w="0" w:type="dxa"/>
            <w:bottom w:w="0" w:type="dxa"/>
          </w:tblCellMar>
        </w:tblPrEx>
        <w:tc>
          <w:tcPr>
            <w:tcW w:w="9360" w:type="dxa"/>
            <w:tcBorders>
              <w:top w:val="single" w:sz="6" w:space="0" w:color="1D3557"/>
              <w:left w:val="single" w:sz="6" w:space="0" w:color="1D3557"/>
              <w:bottom w:val="single" w:sz="6" w:space="0" w:color="1D3557"/>
              <w:right w:val="single" w:sz="6" w:space="0" w:color="1D3557"/>
            </w:tcBorders>
            <w:shd w:val="clear" w:color="auto" w:fill="1D3557"/>
            <w:tcMar>
              <w:top w:w="140" w:type="dxa"/>
              <w:left w:w="240" w:type="dxa"/>
              <w:bottom w:w="140" w:type="dxa"/>
              <w:right w:w="240" w:type="dxa"/>
            </w:tcMar>
          </w:tcPr>
          <w:p w14:paraId="3EFBCB80" w14:textId="77777777" w:rsidR="009F043E" w:rsidRDefault="00000000">
            <w:pPr>
              <w:jc w:val="center"/>
            </w:pPr>
            <w:r>
              <w:rPr>
                <w:rFonts w:ascii="Courier New" w:eastAsia="Courier New" w:hAnsi="Courier New" w:cs="Courier New"/>
                <w:b/>
                <w:bCs/>
                <w:color w:val="FFFFFF"/>
              </w:rPr>
              <w:t>DALY = YLL + YLD</w:t>
            </w:r>
          </w:p>
        </w:tc>
      </w:tr>
    </w:tbl>
    <w:p w14:paraId="01E34449" w14:textId="77777777" w:rsidR="009F043E" w:rsidRDefault="00000000">
      <w:pPr>
        <w:spacing w:before="60" w:after="120"/>
      </w:pPr>
      <w:r>
        <w:rPr>
          <w:b/>
          <w:bCs/>
          <w:color w:val="1D3557"/>
          <w:sz w:val="22"/>
          <w:szCs w:val="22"/>
        </w:rPr>
        <w:lastRenderedPageBreak/>
        <w:t xml:space="preserve">YLL (Years </w:t>
      </w:r>
      <w:proofErr w:type="spellStart"/>
      <w:r>
        <w:rPr>
          <w:b/>
          <w:bCs/>
          <w:color w:val="1D3557"/>
          <w:sz w:val="22"/>
          <w:szCs w:val="22"/>
        </w:rPr>
        <w:t>of</w:t>
      </w:r>
      <w:proofErr w:type="spellEnd"/>
      <w:r>
        <w:rPr>
          <w:b/>
          <w:bCs/>
          <w:color w:val="1D3557"/>
          <w:sz w:val="22"/>
          <w:szCs w:val="22"/>
        </w:rPr>
        <w:t xml:space="preserve"> Life </w:t>
      </w:r>
      <w:proofErr w:type="spellStart"/>
      <w:r>
        <w:rPr>
          <w:b/>
          <w:bCs/>
          <w:color w:val="1D3557"/>
          <w:sz w:val="22"/>
          <w:szCs w:val="22"/>
        </w:rPr>
        <w:t>Lost</w:t>
      </w:r>
      <w:proofErr w:type="spellEnd"/>
      <w:r>
        <w:rPr>
          <w:b/>
          <w:bCs/>
          <w:color w:val="1D3557"/>
          <w:sz w:val="22"/>
          <w:szCs w:val="22"/>
        </w:rPr>
        <w:t xml:space="preserve">): </w:t>
      </w:r>
      <w:r>
        <w:rPr>
          <w:color w:val="555555"/>
          <w:sz w:val="22"/>
          <w:szCs w:val="22"/>
        </w:rPr>
        <w:t xml:space="preserve">anos de vida perdidos por morte prematura | </w:t>
      </w:r>
      <w:r>
        <w:rPr>
          <w:b/>
          <w:bCs/>
          <w:color w:val="1D3557"/>
          <w:sz w:val="22"/>
          <w:szCs w:val="22"/>
        </w:rPr>
        <w:t xml:space="preserve">YLD (Years </w:t>
      </w:r>
      <w:proofErr w:type="spellStart"/>
      <w:r>
        <w:rPr>
          <w:b/>
          <w:bCs/>
          <w:color w:val="1D3557"/>
          <w:sz w:val="22"/>
          <w:szCs w:val="22"/>
        </w:rPr>
        <w:t>Lived</w:t>
      </w:r>
      <w:proofErr w:type="spellEnd"/>
      <w:r>
        <w:rPr>
          <w:b/>
          <w:bCs/>
          <w:color w:val="1D3557"/>
          <w:sz w:val="22"/>
          <w:szCs w:val="22"/>
        </w:rPr>
        <w:t xml:space="preserve"> </w:t>
      </w:r>
      <w:proofErr w:type="spellStart"/>
      <w:r>
        <w:rPr>
          <w:b/>
          <w:bCs/>
          <w:color w:val="1D3557"/>
          <w:sz w:val="22"/>
          <w:szCs w:val="22"/>
        </w:rPr>
        <w:t>with</w:t>
      </w:r>
      <w:proofErr w:type="spellEnd"/>
      <w:r>
        <w:rPr>
          <w:b/>
          <w:bCs/>
          <w:color w:val="1D3557"/>
          <w:sz w:val="22"/>
          <w:szCs w:val="22"/>
        </w:rPr>
        <w:t xml:space="preserve"> </w:t>
      </w:r>
      <w:proofErr w:type="spellStart"/>
      <w:r>
        <w:rPr>
          <w:b/>
          <w:bCs/>
          <w:color w:val="1D3557"/>
          <w:sz w:val="22"/>
          <w:szCs w:val="22"/>
        </w:rPr>
        <w:t>Disability</w:t>
      </w:r>
      <w:proofErr w:type="spellEnd"/>
      <w:r>
        <w:rPr>
          <w:b/>
          <w:bCs/>
          <w:color w:val="1D3557"/>
          <w:sz w:val="22"/>
          <w:szCs w:val="22"/>
        </w:rPr>
        <w:t xml:space="preserve">): </w:t>
      </w:r>
      <w:r>
        <w:rPr>
          <w:color w:val="555555"/>
          <w:sz w:val="22"/>
          <w:szCs w:val="22"/>
        </w:rPr>
        <w:t>anos vividos com incapacidade</w:t>
      </w:r>
    </w:p>
    <w:p w14:paraId="06BF548D" w14:textId="77777777" w:rsidR="009F043E" w:rsidRDefault="009F043E">
      <w:pPr>
        <w:spacing w:before="40" w:after="40"/>
      </w:pPr>
    </w:p>
    <w:p w14:paraId="751B6942" w14:textId="77777777" w:rsidR="009F043E" w:rsidRDefault="00000000">
      <w:pPr>
        <w:spacing w:before="80" w:after="80"/>
        <w:jc w:val="both"/>
      </w:pPr>
      <w:r>
        <w:rPr>
          <w:color w:val="555555"/>
        </w:rPr>
        <w:t xml:space="preserve">O DALY permite revelar que doenças que raramente matam podem ter alto impacto em saúde pública — por exemplo, depressão unipolar e lombalgia geram mais </w:t>
      </w:r>
      <w:proofErr w:type="spellStart"/>
      <w:r>
        <w:rPr>
          <w:color w:val="555555"/>
        </w:rPr>
        <w:t>DALYs</w:t>
      </w:r>
      <w:proofErr w:type="spellEnd"/>
      <w:r>
        <w:rPr>
          <w:color w:val="555555"/>
        </w:rPr>
        <w:t xml:space="preserve"> do que muitas doenças letais, mas frequentemente são subestimadas em políticas de saúde.</w:t>
      </w:r>
    </w:p>
    <w:p w14:paraId="37A1F71D" w14:textId="77777777" w:rsidR="009F043E" w:rsidRDefault="00000000">
      <w:r>
        <w:br w:type="page"/>
      </w:r>
    </w:p>
    <w:p w14:paraId="5B91DE89" w14:textId="77777777" w:rsidR="009F043E" w:rsidRDefault="00000000">
      <w:pPr>
        <w:pStyle w:val="Ttulo1"/>
        <w:pBdr>
          <w:bottom w:val="single" w:sz="8" w:space="2" w:color="1D3557"/>
        </w:pBdr>
      </w:pPr>
      <w:r>
        <w:lastRenderedPageBreak/>
        <w:t>4. Padronização de Indicadores</w:t>
      </w:r>
    </w:p>
    <w:p w14:paraId="06132728" w14:textId="77777777" w:rsidR="009F043E" w:rsidRDefault="00000000">
      <w:pPr>
        <w:spacing w:before="80" w:after="80"/>
        <w:jc w:val="both"/>
      </w:pPr>
      <w:r>
        <w:rPr>
          <w:color w:val="555555"/>
        </w:rPr>
        <w:t>A padronização é a técnica epidemiológica utilizada para eliminar o efeito de variáveis de confusão — especialmente a estrutura etária — ao comparar taxas entre populações diferentes. Sem padronização, comparações diretas de taxas brutas podem ser completamente enganosas.</w:t>
      </w:r>
    </w:p>
    <w:p w14:paraId="27D1E6E6" w14:textId="77777777" w:rsidR="009F043E" w:rsidRDefault="009F043E">
      <w:pPr>
        <w:spacing w:before="40" w:after="40"/>
      </w:pPr>
    </w:p>
    <w:p w14:paraId="3A93D654" w14:textId="77777777" w:rsidR="009F043E" w:rsidRDefault="00000000">
      <w:pPr>
        <w:pStyle w:val="Ttulo2"/>
      </w:pPr>
      <w:r>
        <w:t>4.1 O problema da estrutura etária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4EC4980A" w14:textId="77777777">
        <w:tblPrEx>
          <w:tblCellMar>
            <w:top w:w="0" w:type="dxa"/>
            <w:bottom w:w="0" w:type="dxa"/>
          </w:tblCellMar>
        </w:tblPrEx>
        <w:tc>
          <w:tcPr>
            <w:tcW w:w="9360" w:type="dxa"/>
            <w:tcBorders>
              <w:top w:val="single" w:sz="6" w:space="0" w:color="1D3557"/>
              <w:left w:val="thick" w:sz="18" w:space="0" w:color="1D3557"/>
              <w:bottom w:val="single" w:sz="6" w:space="0" w:color="1D3557"/>
              <w:right w:val="single" w:sz="6" w:space="0" w:color="1D3557"/>
            </w:tcBorders>
            <w:shd w:val="clear" w:color="auto" w:fill="EFF6FF"/>
            <w:tcMar>
              <w:top w:w="120" w:type="dxa"/>
              <w:left w:w="200" w:type="dxa"/>
              <w:bottom w:w="120" w:type="dxa"/>
              <w:right w:w="120" w:type="dxa"/>
            </w:tcMar>
          </w:tcPr>
          <w:p w14:paraId="54922703" w14:textId="77777777" w:rsidR="009F043E" w:rsidRDefault="00000000">
            <w:pPr>
              <w:spacing w:before="60" w:after="40"/>
            </w:pPr>
            <w:r>
              <w:rPr>
                <w:b/>
                <w:bCs/>
                <w:color w:val="1D3557"/>
                <w:sz w:val="22"/>
                <w:szCs w:val="22"/>
              </w:rPr>
              <w:t xml:space="preserve">Exemplo ilustrativo: </w:t>
            </w:r>
          </w:p>
          <w:p w14:paraId="05EF7769" w14:textId="77777777" w:rsidR="009F043E" w:rsidRDefault="00000000">
            <w:pPr>
              <w:spacing w:after="60"/>
            </w:pPr>
            <w:r>
              <w:rPr>
                <w:color w:val="555555"/>
                <w:sz w:val="22"/>
                <w:szCs w:val="22"/>
              </w:rPr>
              <w:t>Cidade A tem TBM = 4 por mil hab. Cidade B tem TBM = 12 por mil hab. Conclusão apressada: Cidade B tem pior saúde. Conclusão correta após análise: Cidade A é jovem (população predominantemente &lt; 30 anos); Cidade B é envelhecida (população predominantemente &gt; 65 anos). Após padronização pela mesma população-padrão, as taxas padronizadas se equiparam — o que indica que o risco de morrer em cada faixa etária é similar nas duas cidades. A diferença observada era artefato da composição etária.</w:t>
            </w:r>
          </w:p>
        </w:tc>
      </w:tr>
    </w:tbl>
    <w:p w14:paraId="67098781" w14:textId="77777777" w:rsidR="009F043E" w:rsidRDefault="009F043E">
      <w:pPr>
        <w:spacing w:before="40" w:after="40"/>
      </w:pPr>
    </w:p>
    <w:p w14:paraId="73A051D4" w14:textId="77777777" w:rsidR="009F043E" w:rsidRDefault="00000000">
      <w:pPr>
        <w:pStyle w:val="Ttulo2"/>
      </w:pPr>
      <w:r>
        <w:t>4.2 Padronização Direta</w:t>
      </w:r>
    </w:p>
    <w:p w14:paraId="6870166B" w14:textId="77777777" w:rsidR="009F043E" w:rsidRDefault="00000000">
      <w:pPr>
        <w:spacing w:before="80" w:after="80"/>
        <w:jc w:val="both"/>
      </w:pPr>
      <w:r>
        <w:rPr>
          <w:color w:val="555555"/>
        </w:rPr>
        <w:t>Aplica as taxas específicas por faixa etária da população estudada a uma população-padrão (referência), eliminando assim o efeito da composição etária.</w:t>
      </w:r>
    </w:p>
    <w:p w14:paraId="2F18EFFF" w14:textId="77777777" w:rsidR="009F043E" w:rsidRDefault="009F043E">
      <w:pPr>
        <w:spacing w:before="40" w:after="40"/>
      </w:pPr>
    </w:p>
    <w:p w14:paraId="6ABBDD67" w14:textId="77777777" w:rsidR="009F043E" w:rsidRDefault="00000000">
      <w:pPr>
        <w:pStyle w:val="Ttulo3"/>
      </w:pPr>
      <w:r>
        <w:t>Passo a passo:</w:t>
      </w:r>
    </w:p>
    <w:p w14:paraId="4429BB78" w14:textId="77777777" w:rsidR="009F043E" w:rsidRDefault="00000000">
      <w:pPr>
        <w:pStyle w:val="PargrafodaLista"/>
        <w:numPr>
          <w:ilvl w:val="0"/>
          <w:numId w:val="3"/>
        </w:numPr>
        <w:spacing w:before="60" w:after="60"/>
      </w:pPr>
      <w:r>
        <w:rPr>
          <w:color w:val="555555"/>
        </w:rPr>
        <w:t>Calcular as taxas de mortalidade (ou outro desfecho) por faixa etária em cada população a comparar</w:t>
      </w:r>
    </w:p>
    <w:p w14:paraId="1009B886" w14:textId="77777777" w:rsidR="009F043E" w:rsidRDefault="00000000">
      <w:pPr>
        <w:pStyle w:val="PargrafodaLista"/>
        <w:numPr>
          <w:ilvl w:val="0"/>
          <w:numId w:val="3"/>
        </w:numPr>
        <w:spacing w:before="60" w:after="60"/>
      </w:pPr>
      <w:r>
        <w:rPr>
          <w:color w:val="555555"/>
        </w:rPr>
        <w:t>Escolher uma população-padrão (ex.: população brasileira total, população mundial OMS)</w:t>
      </w:r>
    </w:p>
    <w:p w14:paraId="5FF89C8F" w14:textId="77777777" w:rsidR="009F043E" w:rsidRDefault="00000000">
      <w:pPr>
        <w:pStyle w:val="PargrafodaLista"/>
        <w:numPr>
          <w:ilvl w:val="0"/>
          <w:numId w:val="3"/>
        </w:numPr>
        <w:spacing w:before="60" w:after="60"/>
      </w:pPr>
      <w:r>
        <w:rPr>
          <w:color w:val="555555"/>
        </w:rPr>
        <w:t>Multiplicar as taxas específicas de cada grupo pela quantidade de pessoas na faixa etária correspondente da população-padrão</w:t>
      </w:r>
    </w:p>
    <w:p w14:paraId="5F9AF669" w14:textId="77777777" w:rsidR="009F043E" w:rsidRDefault="00000000">
      <w:pPr>
        <w:pStyle w:val="PargrafodaLista"/>
        <w:numPr>
          <w:ilvl w:val="0"/>
          <w:numId w:val="3"/>
        </w:numPr>
        <w:spacing w:before="60" w:after="60"/>
      </w:pPr>
      <w:r>
        <w:rPr>
          <w:color w:val="555555"/>
        </w:rPr>
        <w:t>Somar os óbitos esperados e dividir pela população-padrão total → taxa padronizada</w:t>
      </w:r>
    </w:p>
    <w:p w14:paraId="56EBF987" w14:textId="77777777" w:rsidR="009F043E" w:rsidRDefault="009F04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1D96C5A5" w14:textId="77777777">
        <w:tblPrEx>
          <w:tblCellMar>
            <w:top w:w="0" w:type="dxa"/>
            <w:bottom w:w="0" w:type="dxa"/>
          </w:tblCellMar>
        </w:tblPrEx>
        <w:tc>
          <w:tcPr>
            <w:tcW w:w="9360" w:type="dxa"/>
            <w:tcBorders>
              <w:top w:val="single" w:sz="6" w:space="0" w:color="1D3557"/>
              <w:left w:val="single" w:sz="6" w:space="0" w:color="1D3557"/>
              <w:bottom w:val="single" w:sz="6" w:space="0" w:color="1D3557"/>
              <w:right w:val="single" w:sz="6" w:space="0" w:color="1D3557"/>
            </w:tcBorders>
            <w:shd w:val="clear" w:color="auto" w:fill="1D3557"/>
            <w:tcMar>
              <w:top w:w="140" w:type="dxa"/>
              <w:left w:w="240" w:type="dxa"/>
              <w:bottom w:w="140" w:type="dxa"/>
              <w:right w:w="240" w:type="dxa"/>
            </w:tcMar>
          </w:tcPr>
          <w:p w14:paraId="35D092A6" w14:textId="77777777" w:rsidR="009F043E" w:rsidRDefault="00000000">
            <w:pPr>
              <w:jc w:val="center"/>
            </w:pPr>
            <w:r>
              <w:rPr>
                <w:rFonts w:ascii="Courier New" w:eastAsia="Courier New" w:hAnsi="Courier New" w:cs="Courier New"/>
                <w:b/>
                <w:bCs/>
                <w:color w:val="FFFFFF"/>
              </w:rPr>
              <w:t xml:space="preserve">Taxa Padronizada = Σ (Taxa </w:t>
            </w:r>
            <w:proofErr w:type="spellStart"/>
            <w:r>
              <w:rPr>
                <w:rFonts w:ascii="Courier New" w:eastAsia="Courier New" w:hAnsi="Courier New" w:cs="Courier New"/>
                <w:b/>
                <w:bCs/>
                <w:color w:val="FFFFFF"/>
              </w:rPr>
              <w:t>específica_i</w:t>
            </w:r>
            <w:proofErr w:type="spellEnd"/>
            <w:r>
              <w:rPr>
                <w:rFonts w:ascii="Courier New" w:eastAsia="Courier New" w:hAnsi="Courier New" w:cs="Courier New"/>
                <w:b/>
                <w:bCs/>
                <w:color w:val="FFFFFF"/>
              </w:rPr>
              <w:t xml:space="preserve"> × Pop-</w:t>
            </w:r>
            <w:proofErr w:type="spellStart"/>
            <w:r>
              <w:rPr>
                <w:rFonts w:ascii="Courier New" w:eastAsia="Courier New" w:hAnsi="Courier New" w:cs="Courier New"/>
                <w:b/>
                <w:bCs/>
                <w:color w:val="FFFFFF"/>
              </w:rPr>
              <w:t>padrão_i</w:t>
            </w:r>
            <w:proofErr w:type="spellEnd"/>
            <w:r>
              <w:rPr>
                <w:rFonts w:ascii="Courier New" w:eastAsia="Courier New" w:hAnsi="Courier New" w:cs="Courier New"/>
                <w:b/>
                <w:bCs/>
                <w:color w:val="FFFFFF"/>
              </w:rPr>
              <w:t>) / Pop-padrão total</w:t>
            </w:r>
          </w:p>
        </w:tc>
      </w:tr>
    </w:tbl>
    <w:p w14:paraId="3C290E87" w14:textId="77777777" w:rsidR="009F043E" w:rsidRDefault="009F043E">
      <w:pPr>
        <w:spacing w:before="40" w:after="40"/>
      </w:pPr>
    </w:p>
    <w:p w14:paraId="0E1F24BE" w14:textId="77777777" w:rsidR="009F043E" w:rsidRDefault="00000000">
      <w:pPr>
        <w:spacing w:before="80" w:after="80"/>
        <w:jc w:val="both"/>
      </w:pPr>
      <w:r>
        <w:rPr>
          <w:color w:val="555555"/>
        </w:rPr>
        <w:t>Exemplo de aplicação — Brasil 2004, natalidade bruta vs. padronizada por região:</w:t>
      </w:r>
    </w:p>
    <w:p w14:paraId="5BD13C60" w14:textId="77777777" w:rsidR="009F043E" w:rsidRDefault="009F043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9F043E" w14:paraId="2A8F31E8" w14:textId="77777777">
        <w:tblPrEx>
          <w:tblCellMar>
            <w:top w:w="0" w:type="dxa"/>
            <w:bottom w:w="0" w:type="dxa"/>
          </w:tblCellMar>
        </w:tblPrEx>
        <w:tc>
          <w:tcPr>
            <w:tcW w:w="300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0506274A" w14:textId="77777777" w:rsidR="009F043E" w:rsidRDefault="00000000">
            <w:pPr>
              <w:jc w:val="center"/>
            </w:pPr>
            <w:r>
              <w:rPr>
                <w:b/>
                <w:bCs/>
                <w:color w:val="FFFFFF"/>
                <w:sz w:val="22"/>
                <w:szCs w:val="22"/>
              </w:rPr>
              <w:t>Região</w:t>
            </w:r>
          </w:p>
        </w:tc>
        <w:tc>
          <w:tcPr>
            <w:tcW w:w="300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581DF163" w14:textId="77777777" w:rsidR="009F043E" w:rsidRDefault="00000000">
            <w:pPr>
              <w:jc w:val="center"/>
            </w:pPr>
            <w:r>
              <w:rPr>
                <w:b/>
                <w:bCs/>
                <w:color w:val="FFFFFF"/>
                <w:sz w:val="22"/>
                <w:szCs w:val="22"/>
              </w:rPr>
              <w:t>Taxa Bruta de Natalidade</w:t>
            </w:r>
          </w:p>
        </w:tc>
        <w:tc>
          <w:tcPr>
            <w:tcW w:w="3026"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0FC242F4" w14:textId="77777777" w:rsidR="009F043E" w:rsidRDefault="00000000">
            <w:pPr>
              <w:jc w:val="center"/>
            </w:pPr>
            <w:r>
              <w:rPr>
                <w:b/>
                <w:bCs/>
                <w:color w:val="FFFFFF"/>
                <w:sz w:val="22"/>
                <w:szCs w:val="22"/>
              </w:rPr>
              <w:t>Taxa Padronizada (aprox.)</w:t>
            </w:r>
          </w:p>
        </w:tc>
      </w:tr>
      <w:tr w:rsidR="009F043E" w14:paraId="6B9AF60B"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527A4BA6" w14:textId="77777777" w:rsidR="009F043E" w:rsidRDefault="00000000">
            <w:r>
              <w:rPr>
                <w:color w:val="555555"/>
                <w:sz w:val="20"/>
                <w:szCs w:val="20"/>
              </w:rPr>
              <w:t>Norte</w:t>
            </w:r>
          </w:p>
        </w:tc>
        <w:tc>
          <w:tcPr>
            <w:tcW w:w="3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38B50C40" w14:textId="77777777" w:rsidR="009F043E" w:rsidRDefault="00000000">
            <w:r>
              <w:rPr>
                <w:color w:val="555555"/>
                <w:sz w:val="20"/>
                <w:szCs w:val="20"/>
              </w:rPr>
              <w:t>25,5 por 1.000</w:t>
            </w:r>
          </w:p>
        </w:tc>
        <w:tc>
          <w:tcPr>
            <w:tcW w:w="302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14A3D123" w14:textId="77777777" w:rsidR="009F043E" w:rsidRDefault="00000000">
            <w:r>
              <w:rPr>
                <w:color w:val="555555"/>
                <w:sz w:val="20"/>
                <w:szCs w:val="20"/>
              </w:rPr>
              <w:t>22,1 por 1.000</w:t>
            </w:r>
          </w:p>
        </w:tc>
      </w:tr>
      <w:tr w:rsidR="009F043E" w14:paraId="34183E23"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2DDE508" w14:textId="77777777" w:rsidR="009F043E" w:rsidRDefault="00000000">
            <w:r>
              <w:rPr>
                <w:color w:val="555555"/>
                <w:sz w:val="20"/>
                <w:szCs w:val="20"/>
              </w:rPr>
              <w:t>Nordeste</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5A82014" w14:textId="77777777" w:rsidR="009F043E" w:rsidRDefault="00000000">
            <w:r>
              <w:rPr>
                <w:color w:val="555555"/>
                <w:sz w:val="20"/>
                <w:szCs w:val="20"/>
              </w:rPr>
              <w:t>22,8 por 1.000</w:t>
            </w:r>
          </w:p>
        </w:tc>
        <w:tc>
          <w:tcPr>
            <w:tcW w:w="3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DE34D46" w14:textId="77777777" w:rsidR="009F043E" w:rsidRDefault="00000000">
            <w:r>
              <w:rPr>
                <w:color w:val="555555"/>
                <w:sz w:val="20"/>
                <w:szCs w:val="20"/>
              </w:rPr>
              <w:t>21,4 por 1.000</w:t>
            </w:r>
          </w:p>
        </w:tc>
      </w:tr>
      <w:tr w:rsidR="009F043E" w14:paraId="4F8E02BB"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2114980A" w14:textId="77777777" w:rsidR="009F043E" w:rsidRDefault="00000000">
            <w:r>
              <w:rPr>
                <w:color w:val="555555"/>
                <w:sz w:val="20"/>
                <w:szCs w:val="20"/>
              </w:rPr>
              <w:t>Sudeste</w:t>
            </w:r>
          </w:p>
        </w:tc>
        <w:tc>
          <w:tcPr>
            <w:tcW w:w="3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2E196A83" w14:textId="77777777" w:rsidR="009F043E" w:rsidRDefault="00000000">
            <w:r>
              <w:rPr>
                <w:color w:val="555555"/>
                <w:sz w:val="20"/>
                <w:szCs w:val="20"/>
              </w:rPr>
              <w:t>16,2 por 1.000</w:t>
            </w:r>
          </w:p>
        </w:tc>
        <w:tc>
          <w:tcPr>
            <w:tcW w:w="302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2017E3E1" w14:textId="77777777" w:rsidR="009F043E" w:rsidRDefault="00000000">
            <w:r>
              <w:rPr>
                <w:color w:val="555555"/>
                <w:sz w:val="20"/>
                <w:szCs w:val="20"/>
              </w:rPr>
              <w:t>18,3 por 1.000</w:t>
            </w:r>
          </w:p>
        </w:tc>
      </w:tr>
      <w:tr w:rsidR="009F043E" w14:paraId="703B3CBE"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60BB187" w14:textId="77777777" w:rsidR="009F043E" w:rsidRDefault="00000000">
            <w:r>
              <w:rPr>
                <w:color w:val="555555"/>
                <w:sz w:val="20"/>
                <w:szCs w:val="20"/>
              </w:rPr>
              <w:lastRenderedPageBreak/>
              <w:t>Sul</w:t>
            </w:r>
          </w:p>
        </w:tc>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9A6499B" w14:textId="77777777" w:rsidR="009F043E" w:rsidRDefault="00000000">
            <w:r>
              <w:rPr>
                <w:color w:val="555555"/>
                <w:sz w:val="20"/>
                <w:szCs w:val="20"/>
              </w:rPr>
              <w:t>15,4 por 1.000</w:t>
            </w:r>
          </w:p>
        </w:tc>
        <w:tc>
          <w:tcPr>
            <w:tcW w:w="30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B6296AC" w14:textId="77777777" w:rsidR="009F043E" w:rsidRDefault="00000000">
            <w:r>
              <w:rPr>
                <w:color w:val="555555"/>
                <w:sz w:val="20"/>
                <w:szCs w:val="20"/>
              </w:rPr>
              <w:t>17,8 por 1.000</w:t>
            </w:r>
          </w:p>
        </w:tc>
      </w:tr>
      <w:tr w:rsidR="009F043E" w14:paraId="48C10546"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2B963352" w14:textId="77777777" w:rsidR="009F043E" w:rsidRDefault="00000000">
            <w:r>
              <w:rPr>
                <w:color w:val="555555"/>
                <w:sz w:val="20"/>
                <w:szCs w:val="20"/>
              </w:rPr>
              <w:t>Centro-Oeste</w:t>
            </w:r>
          </w:p>
        </w:tc>
        <w:tc>
          <w:tcPr>
            <w:tcW w:w="3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3C3B92A7" w14:textId="77777777" w:rsidR="009F043E" w:rsidRDefault="00000000">
            <w:r>
              <w:rPr>
                <w:color w:val="555555"/>
                <w:sz w:val="20"/>
                <w:szCs w:val="20"/>
              </w:rPr>
              <w:t>19,8 por 1.000</w:t>
            </w:r>
          </w:p>
        </w:tc>
        <w:tc>
          <w:tcPr>
            <w:tcW w:w="302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5475DD8B" w14:textId="77777777" w:rsidR="009F043E" w:rsidRDefault="00000000">
            <w:r>
              <w:rPr>
                <w:color w:val="555555"/>
                <w:sz w:val="20"/>
                <w:szCs w:val="20"/>
              </w:rPr>
              <w:t>19,2 por 1.000</w:t>
            </w:r>
          </w:p>
        </w:tc>
      </w:tr>
    </w:tbl>
    <w:p w14:paraId="2FF417DC" w14:textId="77777777" w:rsidR="009F043E" w:rsidRDefault="00000000">
      <w:pPr>
        <w:spacing w:before="60" w:after="120"/>
      </w:pPr>
      <w:r>
        <w:rPr>
          <w:color w:val="888888"/>
          <w:sz w:val="20"/>
          <w:szCs w:val="20"/>
        </w:rPr>
        <w:t>Fonte: IBGE/DATASUS; OPAS, 2008 (valores aproximados para fins didáticos).</w:t>
      </w:r>
    </w:p>
    <w:p w14:paraId="42442D10" w14:textId="77777777" w:rsidR="009F043E" w:rsidRDefault="009F043E">
      <w:pPr>
        <w:spacing w:before="40" w:after="40"/>
      </w:pPr>
    </w:p>
    <w:p w14:paraId="4C8185FE" w14:textId="77777777" w:rsidR="009F043E" w:rsidRDefault="00000000">
      <w:pPr>
        <w:pStyle w:val="Ttulo2"/>
      </w:pPr>
      <w:r>
        <w:t>4.3 Padronização Indireta — SMR</w:t>
      </w:r>
    </w:p>
    <w:p w14:paraId="1FFE508B" w14:textId="77777777" w:rsidR="009F043E" w:rsidRDefault="00000000">
      <w:pPr>
        <w:spacing w:before="80" w:after="80"/>
        <w:jc w:val="both"/>
      </w:pPr>
      <w:r>
        <w:rPr>
          <w:color w:val="555555"/>
        </w:rPr>
        <w:t>Usada quando não se conhecem as taxas específicas da população estudada, mas se conhece apenas o total de óbitos observados. Compara os óbitos observados com os esperados caso a população tivesse o mesmo perfil de mortalidade da população de referência.</w:t>
      </w:r>
    </w:p>
    <w:p w14:paraId="7A64B437" w14:textId="77777777" w:rsidR="009F043E" w:rsidRDefault="009F04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587BA53B" w14:textId="77777777">
        <w:tblPrEx>
          <w:tblCellMar>
            <w:top w:w="0" w:type="dxa"/>
            <w:bottom w:w="0" w:type="dxa"/>
          </w:tblCellMar>
        </w:tblPrEx>
        <w:tc>
          <w:tcPr>
            <w:tcW w:w="9360" w:type="dxa"/>
            <w:tcBorders>
              <w:top w:val="single" w:sz="6" w:space="0" w:color="1D3557"/>
              <w:left w:val="single" w:sz="6" w:space="0" w:color="1D3557"/>
              <w:bottom w:val="single" w:sz="6" w:space="0" w:color="1D3557"/>
              <w:right w:val="single" w:sz="6" w:space="0" w:color="1D3557"/>
            </w:tcBorders>
            <w:shd w:val="clear" w:color="auto" w:fill="1D3557"/>
            <w:tcMar>
              <w:top w:w="140" w:type="dxa"/>
              <w:left w:w="240" w:type="dxa"/>
              <w:bottom w:w="140" w:type="dxa"/>
              <w:right w:w="240" w:type="dxa"/>
            </w:tcMar>
          </w:tcPr>
          <w:p w14:paraId="0462AC61" w14:textId="77777777" w:rsidR="009F043E" w:rsidRDefault="00000000">
            <w:pPr>
              <w:jc w:val="center"/>
            </w:pPr>
            <w:r>
              <w:rPr>
                <w:rFonts w:ascii="Courier New" w:eastAsia="Courier New" w:hAnsi="Courier New" w:cs="Courier New"/>
                <w:b/>
                <w:bCs/>
                <w:color w:val="FFFFFF"/>
              </w:rPr>
              <w:t>SMR = (Óbitos Observados / Óbitos Esperados) × 100</w:t>
            </w:r>
          </w:p>
        </w:tc>
      </w:tr>
    </w:tbl>
    <w:p w14:paraId="1A7EB7C8" w14:textId="77777777" w:rsidR="009F043E" w:rsidRDefault="009F043E">
      <w:pPr>
        <w:spacing w:before="40" w:after="40"/>
      </w:pPr>
    </w:p>
    <w:p w14:paraId="0A5D23FD" w14:textId="77777777" w:rsidR="009F043E" w:rsidRDefault="00000000">
      <w:pPr>
        <w:spacing w:before="80" w:after="80"/>
        <w:jc w:val="both"/>
      </w:pPr>
      <w:r>
        <w:rPr>
          <w:color w:val="555555"/>
        </w:rPr>
        <w:t>Interpretação do SMR (</w:t>
      </w:r>
      <w:proofErr w:type="spellStart"/>
      <w:r>
        <w:rPr>
          <w:color w:val="555555"/>
        </w:rPr>
        <w:t>Standardized</w:t>
      </w:r>
      <w:proofErr w:type="spellEnd"/>
      <w:r>
        <w:rPr>
          <w:color w:val="555555"/>
        </w:rPr>
        <w:t xml:space="preserve"> </w:t>
      </w:r>
      <w:proofErr w:type="spellStart"/>
      <w:r>
        <w:rPr>
          <w:color w:val="555555"/>
        </w:rPr>
        <w:t>Mortality</w:t>
      </w:r>
      <w:proofErr w:type="spellEnd"/>
      <w:r>
        <w:rPr>
          <w:color w:val="555555"/>
        </w:rPr>
        <w:t xml:space="preserve"> </w:t>
      </w:r>
      <w:proofErr w:type="spellStart"/>
      <w:r>
        <w:rPr>
          <w:color w:val="555555"/>
        </w:rPr>
        <w:t>Ratio</w:t>
      </w:r>
      <w:proofErr w:type="spellEnd"/>
      <w:r>
        <w:rPr>
          <w:color w:val="555555"/>
        </w:rPr>
        <w:t>):</w:t>
      </w:r>
    </w:p>
    <w:p w14:paraId="323A5A75" w14:textId="77777777" w:rsidR="009F043E" w:rsidRDefault="00000000">
      <w:pPr>
        <w:pStyle w:val="PargrafodaLista"/>
        <w:numPr>
          <w:ilvl w:val="0"/>
          <w:numId w:val="2"/>
        </w:numPr>
        <w:spacing w:before="60" w:after="60"/>
      </w:pPr>
      <w:r>
        <w:rPr>
          <w:color w:val="555555"/>
        </w:rPr>
        <w:t>SMR &lt; 100: mortalidade observada menor que a esperada — fator protetivo ou melhor condição de saúde</w:t>
      </w:r>
    </w:p>
    <w:p w14:paraId="03AD012A" w14:textId="77777777" w:rsidR="009F043E" w:rsidRDefault="00000000">
      <w:pPr>
        <w:pStyle w:val="PargrafodaLista"/>
        <w:numPr>
          <w:ilvl w:val="0"/>
          <w:numId w:val="2"/>
        </w:numPr>
        <w:spacing w:before="60" w:after="60"/>
      </w:pPr>
      <w:r>
        <w:rPr>
          <w:color w:val="555555"/>
        </w:rPr>
        <w:t>SMR = 100: mortalidade observada igual à esperada — sem diferença</w:t>
      </w:r>
    </w:p>
    <w:p w14:paraId="1F1266C0" w14:textId="77777777" w:rsidR="009F043E" w:rsidRDefault="00000000">
      <w:pPr>
        <w:pStyle w:val="PargrafodaLista"/>
        <w:numPr>
          <w:ilvl w:val="0"/>
          <w:numId w:val="2"/>
        </w:numPr>
        <w:spacing w:before="60" w:after="60"/>
      </w:pPr>
      <w:r>
        <w:rPr>
          <w:color w:val="555555"/>
        </w:rPr>
        <w:t>SMR &gt; 100: mortalidade observada maior que a esperada — excesso de mortalidade</w:t>
      </w:r>
    </w:p>
    <w:p w14:paraId="1FFC99F6" w14:textId="77777777" w:rsidR="009F043E" w:rsidRDefault="009F043E">
      <w:pPr>
        <w:spacing w:before="40" w:after="40"/>
      </w:pPr>
    </w:p>
    <w:p w14:paraId="38AB2D69" w14:textId="77777777" w:rsidR="009F043E" w:rsidRDefault="00000000">
      <w:pPr>
        <w:spacing w:before="80" w:after="80"/>
        <w:jc w:val="both"/>
      </w:pPr>
      <w:r>
        <w:rPr>
          <w:color w:val="555555"/>
        </w:rPr>
        <w:t>Exemplo: trabalhadores rurais expostos a agrotóxicos com SMR = 145 para câncer de pulmão indicam mortalidade por câncer 45% superior à da população geral, sugerindo risco ocupacional.</w:t>
      </w:r>
    </w:p>
    <w:p w14:paraId="19F9F415" w14:textId="77777777" w:rsidR="009F043E" w:rsidRDefault="00000000">
      <w:r>
        <w:br w:type="page"/>
      </w:r>
    </w:p>
    <w:p w14:paraId="2515826D" w14:textId="77777777" w:rsidR="009F043E" w:rsidRDefault="00000000">
      <w:pPr>
        <w:pStyle w:val="Ttulo1"/>
        <w:pBdr>
          <w:bottom w:val="single" w:sz="8" w:space="2" w:color="1D3557"/>
        </w:pBdr>
      </w:pPr>
      <w:r>
        <w:lastRenderedPageBreak/>
        <w:t>5. Desigualdades em Saúde por Cor e Raça</w:t>
      </w:r>
    </w:p>
    <w:p w14:paraId="45395D4C" w14:textId="77777777" w:rsidR="009F043E" w:rsidRDefault="00000000">
      <w:pPr>
        <w:spacing w:before="80" w:after="80"/>
        <w:jc w:val="both"/>
      </w:pPr>
      <w:r>
        <w:rPr>
          <w:color w:val="555555"/>
        </w:rPr>
        <w:t>O Brasil é o segundo país com maior população negra do mundo. Segundo o IBGE/PNAD 2019, negros (pretos + pardos) representam 55% da população brasileira. As desigualdades em saúde segundo raça/cor são sistemáticas, persistentes e têm raízes no racismo estrutural — conceito que designa a forma como as estruturas sociais, econômicas e institucionais produzem e perpetuam desvantagens para grupos racialmente subalternizados.</w:t>
      </w:r>
    </w:p>
    <w:p w14:paraId="44BD144F" w14:textId="77777777" w:rsidR="009F043E" w:rsidRDefault="009F04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1BB109F1" w14:textId="77777777">
        <w:tblPrEx>
          <w:tblCellMar>
            <w:top w:w="0" w:type="dxa"/>
            <w:bottom w:w="0" w:type="dxa"/>
          </w:tblCellMar>
        </w:tblPrEx>
        <w:tc>
          <w:tcPr>
            <w:tcW w:w="9360" w:type="dxa"/>
            <w:tcBorders>
              <w:top w:val="single" w:sz="6" w:space="0" w:color="1D3557"/>
              <w:left w:val="thick" w:sz="18" w:space="0" w:color="1D3557"/>
              <w:bottom w:val="single" w:sz="6" w:space="0" w:color="1D3557"/>
              <w:right w:val="single" w:sz="6" w:space="0" w:color="1D3557"/>
            </w:tcBorders>
            <w:shd w:val="clear" w:color="auto" w:fill="EFF6FF"/>
            <w:tcMar>
              <w:top w:w="120" w:type="dxa"/>
              <w:left w:w="200" w:type="dxa"/>
              <w:bottom w:w="120" w:type="dxa"/>
              <w:right w:w="120" w:type="dxa"/>
            </w:tcMar>
          </w:tcPr>
          <w:p w14:paraId="24C10387" w14:textId="77777777" w:rsidR="009F043E" w:rsidRDefault="00000000">
            <w:pPr>
              <w:spacing w:before="60" w:after="60"/>
            </w:pPr>
            <w:r>
              <w:rPr>
                <w:b/>
                <w:bCs/>
                <w:color w:val="1D3557"/>
                <w:sz w:val="22"/>
                <w:szCs w:val="22"/>
              </w:rPr>
              <w:t xml:space="preserve">Raça/cor como variável epidemiológica: </w:t>
            </w:r>
            <w:r>
              <w:rPr>
                <w:color w:val="555555"/>
                <w:sz w:val="22"/>
                <w:szCs w:val="22"/>
              </w:rPr>
              <w:t>No Brasil, a classificação de raça/cor é autodeclarada segundo os critérios do IBGE (branca, preta, parda, amarela, indígena). A Declaração de Óbito possui campo específico para raça/cor — seu preenchimento adequado é condição necessária para a produção de indicadores desagregados e para a equidade em saúde.</w:t>
            </w:r>
          </w:p>
        </w:tc>
      </w:tr>
    </w:tbl>
    <w:p w14:paraId="71D7295B" w14:textId="77777777" w:rsidR="009F043E" w:rsidRDefault="009F043E">
      <w:pPr>
        <w:spacing w:before="40" w:after="40"/>
      </w:pPr>
    </w:p>
    <w:p w14:paraId="665A7AD9" w14:textId="77777777" w:rsidR="009F043E" w:rsidRDefault="00000000">
      <w:pPr>
        <w:pStyle w:val="Ttulo2"/>
      </w:pPr>
      <w:r>
        <w:t>5.1 Mortalidade Materna por Raça/Cor</w:t>
      </w:r>
    </w:p>
    <w:p w14:paraId="3827BB29" w14:textId="77777777" w:rsidR="009F043E" w:rsidRDefault="00000000">
      <w:pPr>
        <w:spacing w:before="80" w:after="80"/>
        <w:jc w:val="both"/>
      </w:pPr>
      <w:r>
        <w:rPr>
          <w:color w:val="555555"/>
        </w:rPr>
        <w:t>A mortalidade materna é um dos indicadores que melhor revelam as desigualdades raciais em saúde. A Razão de Mortalidade Materna (RMM) mede os óbitos maternos por 100.000 nascidos vivos. Os dados do DATASUS/SIM apontam sistematicamente para disparidades profundas:</w:t>
      </w:r>
    </w:p>
    <w:p w14:paraId="6743F60C" w14:textId="77777777" w:rsidR="009F043E" w:rsidRDefault="009F043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2666"/>
      </w:tblGrid>
      <w:tr w:rsidR="009F043E" w14:paraId="58AD6B37" w14:textId="77777777">
        <w:tblPrEx>
          <w:tblCellMar>
            <w:top w:w="0" w:type="dxa"/>
            <w:bottom w:w="0" w:type="dxa"/>
          </w:tblCellMar>
        </w:tblPrEx>
        <w:tc>
          <w:tcPr>
            <w:tcW w:w="300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3543289D" w14:textId="77777777" w:rsidR="009F043E" w:rsidRDefault="00000000">
            <w:pPr>
              <w:jc w:val="center"/>
            </w:pPr>
            <w:r>
              <w:rPr>
                <w:b/>
                <w:bCs/>
                <w:color w:val="FFFFFF"/>
                <w:sz w:val="22"/>
                <w:szCs w:val="22"/>
              </w:rPr>
              <w:t>Raça/Cor</w:t>
            </w:r>
          </w:p>
        </w:tc>
        <w:tc>
          <w:tcPr>
            <w:tcW w:w="336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6C79EB58" w14:textId="77777777" w:rsidR="009F043E" w:rsidRDefault="00000000">
            <w:pPr>
              <w:jc w:val="center"/>
            </w:pPr>
            <w:r>
              <w:rPr>
                <w:b/>
                <w:bCs/>
                <w:color w:val="FFFFFF"/>
                <w:sz w:val="22"/>
                <w:szCs w:val="22"/>
              </w:rPr>
              <w:t>RMM (por 100.000 NV, aprox.)</w:t>
            </w:r>
          </w:p>
        </w:tc>
        <w:tc>
          <w:tcPr>
            <w:tcW w:w="2666"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1C4686C8" w14:textId="77777777" w:rsidR="009F043E" w:rsidRDefault="00000000">
            <w:pPr>
              <w:jc w:val="center"/>
            </w:pPr>
            <w:r>
              <w:rPr>
                <w:b/>
                <w:bCs/>
                <w:color w:val="FFFFFF"/>
                <w:sz w:val="22"/>
                <w:szCs w:val="22"/>
              </w:rPr>
              <w:t>Razão em relação à mulher branca</w:t>
            </w:r>
          </w:p>
        </w:tc>
      </w:tr>
      <w:tr w:rsidR="009F043E" w14:paraId="319E6296"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0FF6FE8A" w14:textId="77777777" w:rsidR="009F043E" w:rsidRDefault="00000000">
            <w:r>
              <w:rPr>
                <w:color w:val="555555"/>
                <w:sz w:val="20"/>
                <w:szCs w:val="20"/>
              </w:rPr>
              <w:t>Branca</w:t>
            </w:r>
          </w:p>
        </w:tc>
        <w:tc>
          <w:tcPr>
            <w:tcW w:w="336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118FBAA5" w14:textId="77777777" w:rsidR="009F043E" w:rsidRDefault="00000000">
            <w:r>
              <w:rPr>
                <w:color w:val="555555"/>
                <w:sz w:val="20"/>
                <w:szCs w:val="20"/>
              </w:rPr>
              <w:t>~51</w:t>
            </w:r>
          </w:p>
        </w:tc>
        <w:tc>
          <w:tcPr>
            <w:tcW w:w="266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51F7FC7F" w14:textId="77777777" w:rsidR="009F043E" w:rsidRDefault="00000000">
            <w:r>
              <w:rPr>
                <w:color w:val="555555"/>
                <w:sz w:val="20"/>
                <w:szCs w:val="20"/>
              </w:rPr>
              <w:t>Referência</w:t>
            </w:r>
          </w:p>
        </w:tc>
      </w:tr>
      <w:tr w:rsidR="009F043E" w14:paraId="1DABCDB7"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438F527" w14:textId="77777777" w:rsidR="009F043E" w:rsidRDefault="00000000">
            <w:r>
              <w:rPr>
                <w:color w:val="555555"/>
                <w:sz w:val="20"/>
                <w:szCs w:val="20"/>
              </w:rPr>
              <w:t>Parda</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82198C8" w14:textId="77777777" w:rsidR="009F043E" w:rsidRDefault="00000000">
            <w:r>
              <w:rPr>
                <w:color w:val="555555"/>
                <w:sz w:val="20"/>
                <w:szCs w:val="20"/>
              </w:rPr>
              <w:t>~89</w:t>
            </w:r>
          </w:p>
        </w:tc>
        <w:tc>
          <w:tcPr>
            <w:tcW w:w="266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BEF12A9" w14:textId="77777777" w:rsidR="009F043E" w:rsidRDefault="00000000">
            <w:r>
              <w:rPr>
                <w:color w:val="555555"/>
                <w:sz w:val="20"/>
                <w:szCs w:val="20"/>
              </w:rPr>
              <w:t>~1,7×</w:t>
            </w:r>
          </w:p>
        </w:tc>
      </w:tr>
      <w:tr w:rsidR="009F043E" w14:paraId="5D86BD95"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62FFA3BE" w14:textId="77777777" w:rsidR="009F043E" w:rsidRDefault="00000000">
            <w:r>
              <w:rPr>
                <w:color w:val="555555"/>
                <w:sz w:val="20"/>
                <w:szCs w:val="20"/>
              </w:rPr>
              <w:t>Preta</w:t>
            </w:r>
          </w:p>
        </w:tc>
        <w:tc>
          <w:tcPr>
            <w:tcW w:w="336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0439AE0F" w14:textId="77777777" w:rsidR="009F043E" w:rsidRDefault="00000000">
            <w:r>
              <w:rPr>
                <w:color w:val="555555"/>
                <w:sz w:val="20"/>
                <w:szCs w:val="20"/>
              </w:rPr>
              <w:t>~134</w:t>
            </w:r>
          </w:p>
        </w:tc>
        <w:tc>
          <w:tcPr>
            <w:tcW w:w="266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33D7167E" w14:textId="77777777" w:rsidR="009F043E" w:rsidRDefault="00000000">
            <w:r>
              <w:rPr>
                <w:color w:val="555555"/>
                <w:sz w:val="20"/>
                <w:szCs w:val="20"/>
              </w:rPr>
              <w:t>~2,6×</w:t>
            </w:r>
          </w:p>
        </w:tc>
      </w:tr>
      <w:tr w:rsidR="009F043E" w14:paraId="496C996E"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523E6DB" w14:textId="77777777" w:rsidR="009F043E" w:rsidRDefault="00000000">
            <w:r>
              <w:rPr>
                <w:color w:val="555555"/>
                <w:sz w:val="20"/>
                <w:szCs w:val="20"/>
              </w:rPr>
              <w:t>Indígena</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D5C1E5A" w14:textId="77777777" w:rsidR="009F043E" w:rsidRDefault="00000000">
            <w:r>
              <w:rPr>
                <w:color w:val="555555"/>
                <w:sz w:val="20"/>
                <w:szCs w:val="20"/>
              </w:rPr>
              <w:t>~185</w:t>
            </w:r>
          </w:p>
        </w:tc>
        <w:tc>
          <w:tcPr>
            <w:tcW w:w="266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2051E69" w14:textId="77777777" w:rsidR="009F043E" w:rsidRDefault="00000000">
            <w:r>
              <w:rPr>
                <w:color w:val="555555"/>
                <w:sz w:val="20"/>
                <w:szCs w:val="20"/>
              </w:rPr>
              <w:t>~3,6×</w:t>
            </w:r>
          </w:p>
        </w:tc>
      </w:tr>
    </w:tbl>
    <w:p w14:paraId="6646F164" w14:textId="77777777" w:rsidR="009F043E" w:rsidRDefault="00000000">
      <w:pPr>
        <w:spacing w:before="60" w:after="120"/>
      </w:pPr>
      <w:r>
        <w:rPr>
          <w:color w:val="888888"/>
          <w:sz w:val="20"/>
          <w:szCs w:val="20"/>
        </w:rPr>
        <w:t>Fonte: SVS/MS — DATASUS, SIM. Valores aproximados para fins didáticos. Variam por período e metodologia.</w:t>
      </w:r>
    </w:p>
    <w:p w14:paraId="4AA780C3" w14:textId="77777777" w:rsidR="009F043E" w:rsidRDefault="009F043E">
      <w:pPr>
        <w:spacing w:before="40" w:after="40"/>
      </w:pPr>
    </w:p>
    <w:p w14:paraId="1703A736" w14:textId="77777777" w:rsidR="009F043E" w:rsidRDefault="00000000">
      <w:pPr>
        <w:spacing w:before="80" w:after="80"/>
        <w:jc w:val="both"/>
      </w:pPr>
      <w:r>
        <w:rPr>
          <w:color w:val="555555"/>
        </w:rPr>
        <w:t>As causas dessa desigualdade são multifatoriais e incluem: menor acesso e menor qualidade do pré-natal, discriminação institucional nos serviços de saúde, maior exposição a determinantes sociais adversos, e racismo estrutural que atravessa todas as dimensões da vida social.</w:t>
      </w:r>
    </w:p>
    <w:p w14:paraId="02328B74" w14:textId="77777777" w:rsidR="009F043E" w:rsidRDefault="009F043E">
      <w:pPr>
        <w:spacing w:before="40" w:after="40"/>
      </w:pPr>
    </w:p>
    <w:p w14:paraId="681C8388" w14:textId="77777777" w:rsidR="009F043E" w:rsidRDefault="00000000">
      <w:pPr>
        <w:pStyle w:val="Ttulo2"/>
      </w:pPr>
      <w:r>
        <w:t>5.2 Mortalidade Infantil por Raça/Cor</w:t>
      </w:r>
    </w:p>
    <w:p w14:paraId="28EEE090" w14:textId="77777777" w:rsidR="009F043E" w:rsidRDefault="00000000">
      <w:pPr>
        <w:spacing w:before="80" w:after="80"/>
        <w:jc w:val="both"/>
      </w:pPr>
      <w:r>
        <w:rPr>
          <w:color w:val="555555"/>
        </w:rPr>
        <w:t>A raça/cor é um determinante social robusto da mortalidade infantil no Brasil. Estudos mostram que, mesmo após controle de variáveis socioeconômicas, persiste um efeito independente da raça/cor, indicando que o racismo age além da mediação econômica.</w:t>
      </w:r>
    </w:p>
    <w:p w14:paraId="6F29AADC" w14:textId="77777777" w:rsidR="009F043E" w:rsidRDefault="009F043E">
      <w:pPr>
        <w:spacing w:before="40" w:after="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60"/>
        <w:gridCol w:w="2666"/>
      </w:tblGrid>
      <w:tr w:rsidR="009F043E" w14:paraId="702178A1" w14:textId="77777777">
        <w:tblPrEx>
          <w:tblCellMar>
            <w:top w:w="0" w:type="dxa"/>
            <w:bottom w:w="0" w:type="dxa"/>
          </w:tblCellMar>
        </w:tblPrEx>
        <w:tc>
          <w:tcPr>
            <w:tcW w:w="300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2C8C9CC1" w14:textId="77777777" w:rsidR="009F043E" w:rsidRDefault="00000000">
            <w:pPr>
              <w:jc w:val="center"/>
            </w:pPr>
            <w:r>
              <w:rPr>
                <w:b/>
                <w:bCs/>
                <w:color w:val="FFFFFF"/>
                <w:sz w:val="22"/>
                <w:szCs w:val="22"/>
              </w:rPr>
              <w:lastRenderedPageBreak/>
              <w:t>Raça/Cor</w:t>
            </w:r>
          </w:p>
        </w:tc>
        <w:tc>
          <w:tcPr>
            <w:tcW w:w="336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29666212" w14:textId="77777777" w:rsidR="009F043E" w:rsidRDefault="00000000">
            <w:pPr>
              <w:jc w:val="center"/>
            </w:pPr>
            <w:r>
              <w:rPr>
                <w:b/>
                <w:bCs/>
                <w:color w:val="FFFFFF"/>
                <w:sz w:val="22"/>
                <w:szCs w:val="22"/>
              </w:rPr>
              <w:t>MI (por 1.000 NV, aprox.)</w:t>
            </w:r>
          </w:p>
        </w:tc>
        <w:tc>
          <w:tcPr>
            <w:tcW w:w="2666"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57CD0ABA" w14:textId="77777777" w:rsidR="009F043E" w:rsidRDefault="00000000">
            <w:pPr>
              <w:jc w:val="center"/>
            </w:pPr>
            <w:r>
              <w:rPr>
                <w:b/>
                <w:bCs/>
                <w:color w:val="FFFFFF"/>
                <w:sz w:val="22"/>
                <w:szCs w:val="22"/>
              </w:rPr>
              <w:t>Razão em relação à criança branca</w:t>
            </w:r>
          </w:p>
        </w:tc>
      </w:tr>
      <w:tr w:rsidR="009F043E" w14:paraId="29FF4855"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4F1DAA61" w14:textId="77777777" w:rsidR="009F043E" w:rsidRDefault="00000000">
            <w:r>
              <w:rPr>
                <w:color w:val="555555"/>
                <w:sz w:val="20"/>
                <w:szCs w:val="20"/>
              </w:rPr>
              <w:t>Branca</w:t>
            </w:r>
          </w:p>
        </w:tc>
        <w:tc>
          <w:tcPr>
            <w:tcW w:w="336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401E28AD" w14:textId="77777777" w:rsidR="009F043E" w:rsidRDefault="00000000">
            <w:r>
              <w:rPr>
                <w:color w:val="555555"/>
                <w:sz w:val="20"/>
                <w:szCs w:val="20"/>
              </w:rPr>
              <w:t>~9,0</w:t>
            </w:r>
          </w:p>
        </w:tc>
        <w:tc>
          <w:tcPr>
            <w:tcW w:w="266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600B3BBA" w14:textId="77777777" w:rsidR="009F043E" w:rsidRDefault="00000000">
            <w:r>
              <w:rPr>
                <w:color w:val="555555"/>
                <w:sz w:val="20"/>
                <w:szCs w:val="20"/>
              </w:rPr>
              <w:t>Referência</w:t>
            </w:r>
          </w:p>
        </w:tc>
      </w:tr>
      <w:tr w:rsidR="009F043E" w14:paraId="342CEE9D"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1869EB9" w14:textId="77777777" w:rsidR="009F043E" w:rsidRDefault="00000000">
            <w:r>
              <w:rPr>
                <w:color w:val="555555"/>
                <w:sz w:val="20"/>
                <w:szCs w:val="20"/>
              </w:rPr>
              <w:t>Parda</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48401BC" w14:textId="77777777" w:rsidR="009F043E" w:rsidRDefault="00000000">
            <w:r>
              <w:rPr>
                <w:color w:val="555555"/>
                <w:sz w:val="20"/>
                <w:szCs w:val="20"/>
              </w:rPr>
              <w:t>~14,2</w:t>
            </w:r>
          </w:p>
        </w:tc>
        <w:tc>
          <w:tcPr>
            <w:tcW w:w="266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37438408" w14:textId="77777777" w:rsidR="009F043E" w:rsidRDefault="00000000">
            <w:r>
              <w:rPr>
                <w:color w:val="555555"/>
                <w:sz w:val="20"/>
                <w:szCs w:val="20"/>
              </w:rPr>
              <w:t>~1,6×</w:t>
            </w:r>
          </w:p>
        </w:tc>
      </w:tr>
      <w:tr w:rsidR="009F043E" w14:paraId="6FB32C55"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3ACAD05B" w14:textId="77777777" w:rsidR="009F043E" w:rsidRDefault="00000000">
            <w:r>
              <w:rPr>
                <w:color w:val="555555"/>
                <w:sz w:val="20"/>
                <w:szCs w:val="20"/>
              </w:rPr>
              <w:t>Preta</w:t>
            </w:r>
          </w:p>
        </w:tc>
        <w:tc>
          <w:tcPr>
            <w:tcW w:w="336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11A80C4D" w14:textId="77777777" w:rsidR="009F043E" w:rsidRDefault="00000000">
            <w:r>
              <w:rPr>
                <w:color w:val="555555"/>
                <w:sz w:val="20"/>
                <w:szCs w:val="20"/>
              </w:rPr>
              <w:t>~17,0</w:t>
            </w:r>
          </w:p>
        </w:tc>
        <w:tc>
          <w:tcPr>
            <w:tcW w:w="266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76ECA642" w14:textId="77777777" w:rsidR="009F043E" w:rsidRDefault="00000000">
            <w:r>
              <w:rPr>
                <w:color w:val="555555"/>
                <w:sz w:val="20"/>
                <w:szCs w:val="20"/>
              </w:rPr>
              <w:t>~1,9×</w:t>
            </w:r>
          </w:p>
        </w:tc>
      </w:tr>
      <w:tr w:rsidR="009F043E" w14:paraId="0421E391" w14:textId="77777777">
        <w:tblPrEx>
          <w:tblCellMar>
            <w:top w:w="0" w:type="dxa"/>
            <w:bottom w:w="0" w:type="dxa"/>
          </w:tblCellMar>
        </w:tblPrEx>
        <w:tc>
          <w:tcPr>
            <w:tcW w:w="3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47B8AA8C" w14:textId="77777777" w:rsidR="009F043E" w:rsidRDefault="00000000">
            <w:r>
              <w:rPr>
                <w:color w:val="555555"/>
                <w:sz w:val="20"/>
                <w:szCs w:val="20"/>
              </w:rPr>
              <w:t>Indígena</w:t>
            </w:r>
          </w:p>
        </w:tc>
        <w:tc>
          <w:tcPr>
            <w:tcW w:w="336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2738578" w14:textId="77777777" w:rsidR="009F043E" w:rsidRDefault="00000000">
            <w:r>
              <w:rPr>
                <w:color w:val="555555"/>
                <w:sz w:val="20"/>
                <w:szCs w:val="20"/>
              </w:rPr>
              <w:t>~28,5</w:t>
            </w:r>
          </w:p>
        </w:tc>
        <w:tc>
          <w:tcPr>
            <w:tcW w:w="266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4D40071" w14:textId="77777777" w:rsidR="009F043E" w:rsidRDefault="00000000">
            <w:r>
              <w:rPr>
                <w:color w:val="555555"/>
                <w:sz w:val="20"/>
                <w:szCs w:val="20"/>
              </w:rPr>
              <w:t>~3,2×</w:t>
            </w:r>
          </w:p>
        </w:tc>
      </w:tr>
    </w:tbl>
    <w:p w14:paraId="2323F689" w14:textId="77777777" w:rsidR="009F043E" w:rsidRDefault="00000000">
      <w:pPr>
        <w:spacing w:before="60" w:after="120"/>
      </w:pPr>
      <w:r>
        <w:rPr>
          <w:color w:val="888888"/>
          <w:sz w:val="20"/>
          <w:szCs w:val="20"/>
        </w:rPr>
        <w:t>Fonte: SVS/MS — DATASUS, SIM/SINASC. Valores aproximados para fins didáticos.</w:t>
      </w:r>
    </w:p>
    <w:p w14:paraId="35B5BCD6" w14:textId="77777777" w:rsidR="009F043E" w:rsidRDefault="009F043E">
      <w:pPr>
        <w:spacing w:before="40" w:after="40"/>
      </w:pPr>
    </w:p>
    <w:p w14:paraId="181A3A22" w14:textId="77777777" w:rsidR="009F043E" w:rsidRDefault="00000000">
      <w:pPr>
        <w:pStyle w:val="Ttulo2"/>
      </w:pPr>
      <w:r>
        <w:t>5.3 Homicídios — A Cor da Violência</w:t>
      </w:r>
    </w:p>
    <w:p w14:paraId="4134DC67" w14:textId="77777777" w:rsidR="009F043E" w:rsidRDefault="00000000">
      <w:pPr>
        <w:spacing w:before="80" w:after="80"/>
        <w:jc w:val="both"/>
      </w:pPr>
      <w:r>
        <w:rPr>
          <w:color w:val="555555"/>
        </w:rPr>
        <w:t>As causas externas — em especial os homicídios — revelam a face mais dramática das desigualdades raciais em saúde no Brasil. Segundo o Atlas da Violência 2023 (IPEA):</w:t>
      </w:r>
    </w:p>
    <w:p w14:paraId="23F84226" w14:textId="77777777" w:rsidR="009F043E" w:rsidRDefault="009F043E">
      <w:pPr>
        <w:spacing w:before="40" w:after="40"/>
      </w:pPr>
    </w:p>
    <w:p w14:paraId="060E6069" w14:textId="77777777" w:rsidR="009F043E" w:rsidRDefault="00000000">
      <w:pPr>
        <w:pStyle w:val="PargrafodaLista"/>
        <w:numPr>
          <w:ilvl w:val="0"/>
          <w:numId w:val="2"/>
        </w:numPr>
        <w:spacing w:before="60" w:after="60"/>
      </w:pPr>
      <w:r>
        <w:rPr>
          <w:color w:val="555555"/>
        </w:rPr>
        <w:t>Taxa de homicídios brancos: ~15,4 por 100.000 hab.</w:t>
      </w:r>
    </w:p>
    <w:p w14:paraId="70953CE3" w14:textId="77777777" w:rsidR="009F043E" w:rsidRDefault="00000000">
      <w:pPr>
        <w:pStyle w:val="PargrafodaLista"/>
        <w:numPr>
          <w:ilvl w:val="0"/>
          <w:numId w:val="2"/>
        </w:numPr>
        <w:spacing w:before="60" w:after="60"/>
      </w:pPr>
      <w:r>
        <w:rPr>
          <w:color w:val="555555"/>
        </w:rPr>
        <w:t>Taxa de homicídios negros (pretos + pardos): ~48,9 por 100.000 hab.</w:t>
      </w:r>
    </w:p>
    <w:p w14:paraId="284DB8C4" w14:textId="77777777" w:rsidR="009F043E" w:rsidRDefault="00000000">
      <w:pPr>
        <w:pStyle w:val="PargrafodaLista"/>
        <w:numPr>
          <w:ilvl w:val="0"/>
          <w:numId w:val="2"/>
        </w:numPr>
        <w:spacing w:before="60" w:after="60"/>
      </w:pPr>
      <w:r>
        <w:rPr>
          <w:color w:val="555555"/>
        </w:rPr>
        <w:t>Negros morrem por homicídio aproximadamente 3× mais que brancos</w:t>
      </w:r>
    </w:p>
    <w:p w14:paraId="48B60B0C" w14:textId="77777777" w:rsidR="009F043E" w:rsidRDefault="00000000">
      <w:pPr>
        <w:pStyle w:val="PargrafodaLista"/>
        <w:numPr>
          <w:ilvl w:val="0"/>
          <w:numId w:val="2"/>
        </w:numPr>
        <w:spacing w:before="60" w:after="60"/>
      </w:pPr>
      <w:r>
        <w:rPr>
          <w:color w:val="555555"/>
        </w:rPr>
        <w:t>74% das vítimas de homicídio no Brasil são negras</w:t>
      </w:r>
    </w:p>
    <w:p w14:paraId="0AD2AF04" w14:textId="77777777" w:rsidR="009F043E" w:rsidRDefault="00000000">
      <w:pPr>
        <w:pStyle w:val="PargrafodaLista"/>
        <w:numPr>
          <w:ilvl w:val="0"/>
          <w:numId w:val="2"/>
        </w:numPr>
        <w:spacing w:before="60" w:after="60"/>
      </w:pPr>
      <w:r>
        <w:rPr>
          <w:color w:val="555555"/>
        </w:rPr>
        <w:t>Jovens negros (15-29 anos) constituem o grupo mais vulnerável</w:t>
      </w:r>
    </w:p>
    <w:p w14:paraId="4F90F642" w14:textId="77777777" w:rsidR="009F043E" w:rsidRDefault="00000000">
      <w:pPr>
        <w:pStyle w:val="PargrafodaLista"/>
        <w:numPr>
          <w:ilvl w:val="0"/>
          <w:numId w:val="2"/>
        </w:numPr>
        <w:spacing w:before="60" w:after="60"/>
      </w:pPr>
      <w:r>
        <w:rPr>
          <w:color w:val="555555"/>
        </w:rPr>
        <w:t>Essa diferença persiste mesmo após controle de renda e escolaridade — indicando efeito independente da raça</w:t>
      </w:r>
    </w:p>
    <w:p w14:paraId="07441899" w14:textId="77777777" w:rsidR="009F043E" w:rsidRDefault="009F043E">
      <w:pPr>
        <w:spacing w:before="40" w:after="40"/>
      </w:pPr>
    </w:p>
    <w:p w14:paraId="5A705828" w14:textId="77777777" w:rsidR="009F043E" w:rsidRDefault="00000000">
      <w:pPr>
        <w:pStyle w:val="Ttulo2"/>
      </w:pPr>
      <w:r>
        <w:t>5.4 Fontes de Dados sobre Saúde e Raça/Cor no Brasil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4526"/>
      </w:tblGrid>
      <w:tr w:rsidR="009F043E" w14:paraId="6BB7F483" w14:textId="77777777">
        <w:tblPrEx>
          <w:tblCellMar>
            <w:top w:w="0" w:type="dxa"/>
            <w:bottom w:w="0" w:type="dxa"/>
          </w:tblCellMar>
        </w:tblPrEx>
        <w:tc>
          <w:tcPr>
            <w:tcW w:w="250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22F2E7AD" w14:textId="77777777" w:rsidR="009F043E" w:rsidRDefault="00000000">
            <w:pPr>
              <w:jc w:val="center"/>
            </w:pPr>
            <w:r>
              <w:rPr>
                <w:b/>
                <w:bCs/>
                <w:color w:val="FFFFFF"/>
                <w:sz w:val="22"/>
                <w:szCs w:val="22"/>
              </w:rPr>
              <w:t>Sistema/Base</w:t>
            </w:r>
          </w:p>
        </w:tc>
        <w:tc>
          <w:tcPr>
            <w:tcW w:w="200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5BAE95F6" w14:textId="77777777" w:rsidR="009F043E" w:rsidRDefault="00000000">
            <w:pPr>
              <w:jc w:val="center"/>
            </w:pPr>
            <w:r>
              <w:rPr>
                <w:b/>
                <w:bCs/>
                <w:color w:val="FFFFFF"/>
                <w:sz w:val="22"/>
                <w:szCs w:val="22"/>
              </w:rPr>
              <w:t>Cobertura</w:t>
            </w:r>
          </w:p>
        </w:tc>
        <w:tc>
          <w:tcPr>
            <w:tcW w:w="4526"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53BBEE76" w14:textId="77777777" w:rsidR="009F043E" w:rsidRDefault="00000000">
            <w:pPr>
              <w:jc w:val="center"/>
            </w:pPr>
            <w:r>
              <w:rPr>
                <w:b/>
                <w:bCs/>
                <w:color w:val="FFFFFF"/>
                <w:sz w:val="22"/>
                <w:szCs w:val="22"/>
              </w:rPr>
              <w:t>Uso principal</w:t>
            </w:r>
          </w:p>
        </w:tc>
      </w:tr>
      <w:tr w:rsidR="009F043E" w14:paraId="3CB3A949" w14:textId="77777777">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0B2C4905" w14:textId="77777777" w:rsidR="009F043E" w:rsidRDefault="00000000">
            <w:r>
              <w:rPr>
                <w:color w:val="555555"/>
                <w:sz w:val="20"/>
                <w:szCs w:val="20"/>
              </w:rPr>
              <w:t>DATASUS / SIM</w:t>
            </w:r>
          </w:p>
        </w:tc>
        <w:tc>
          <w:tcPr>
            <w:tcW w:w="2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3CF9E8DC" w14:textId="77777777" w:rsidR="009F043E" w:rsidRDefault="00000000">
            <w:r>
              <w:rPr>
                <w:color w:val="555555"/>
                <w:sz w:val="20"/>
                <w:szCs w:val="20"/>
              </w:rPr>
              <w:t>Nacional</w:t>
            </w:r>
          </w:p>
        </w:tc>
        <w:tc>
          <w:tcPr>
            <w:tcW w:w="452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5A67018F" w14:textId="77777777" w:rsidR="009F043E" w:rsidRDefault="00000000">
            <w:r>
              <w:rPr>
                <w:color w:val="555555"/>
                <w:sz w:val="20"/>
                <w:szCs w:val="20"/>
              </w:rPr>
              <w:t>Mortalidade por raça/cor, causa e município</w:t>
            </w:r>
          </w:p>
        </w:tc>
      </w:tr>
      <w:tr w:rsidR="009F043E" w14:paraId="723D97C0" w14:textId="77777777">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372234B" w14:textId="77777777" w:rsidR="009F043E" w:rsidRDefault="00000000">
            <w:r>
              <w:rPr>
                <w:color w:val="555555"/>
                <w:sz w:val="20"/>
                <w:szCs w:val="20"/>
              </w:rPr>
              <w:t>SINASC</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CC0E2EA" w14:textId="77777777" w:rsidR="009F043E" w:rsidRDefault="00000000">
            <w:r>
              <w:rPr>
                <w:color w:val="555555"/>
                <w:sz w:val="20"/>
                <w:szCs w:val="20"/>
              </w:rPr>
              <w:t>Nacional</w:t>
            </w:r>
          </w:p>
        </w:tc>
        <w:tc>
          <w:tcPr>
            <w:tcW w:w="4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6ECE0FB5" w14:textId="77777777" w:rsidR="009F043E" w:rsidRDefault="00000000">
            <w:r>
              <w:rPr>
                <w:color w:val="555555"/>
                <w:sz w:val="20"/>
                <w:szCs w:val="20"/>
              </w:rPr>
              <w:t>Natalidade por raça/cor da mãe</w:t>
            </w:r>
          </w:p>
        </w:tc>
      </w:tr>
      <w:tr w:rsidR="009F043E" w14:paraId="15A26D6E" w14:textId="77777777">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3FF38A79" w14:textId="77777777" w:rsidR="009F043E" w:rsidRDefault="00000000">
            <w:r>
              <w:rPr>
                <w:color w:val="555555"/>
                <w:sz w:val="20"/>
                <w:szCs w:val="20"/>
              </w:rPr>
              <w:t>PNAD Contínua / IBGE</w:t>
            </w:r>
          </w:p>
        </w:tc>
        <w:tc>
          <w:tcPr>
            <w:tcW w:w="2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7D14292F" w14:textId="77777777" w:rsidR="009F043E" w:rsidRDefault="00000000">
            <w:r>
              <w:rPr>
                <w:color w:val="555555"/>
                <w:sz w:val="20"/>
                <w:szCs w:val="20"/>
              </w:rPr>
              <w:t>Nacional</w:t>
            </w:r>
          </w:p>
        </w:tc>
        <w:tc>
          <w:tcPr>
            <w:tcW w:w="452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097CD921" w14:textId="77777777" w:rsidR="009F043E" w:rsidRDefault="00000000">
            <w:r>
              <w:rPr>
                <w:color w:val="555555"/>
                <w:sz w:val="20"/>
                <w:szCs w:val="20"/>
              </w:rPr>
              <w:t>Dados socioeconômicos e autodeclaração racial</w:t>
            </w:r>
          </w:p>
        </w:tc>
      </w:tr>
      <w:tr w:rsidR="009F043E" w14:paraId="5A4DC8A5" w14:textId="77777777">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34CCF68" w14:textId="77777777" w:rsidR="009F043E" w:rsidRDefault="00000000">
            <w:r>
              <w:rPr>
                <w:color w:val="555555"/>
                <w:sz w:val="20"/>
                <w:szCs w:val="20"/>
              </w:rPr>
              <w:t>Atlas da Violência / IPEA</w:t>
            </w:r>
          </w:p>
        </w:tc>
        <w:tc>
          <w:tcPr>
            <w:tcW w:w="20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4BD9656" w14:textId="77777777" w:rsidR="009F043E" w:rsidRDefault="00000000">
            <w:r>
              <w:rPr>
                <w:color w:val="555555"/>
                <w:sz w:val="20"/>
                <w:szCs w:val="20"/>
              </w:rPr>
              <w:t>Nacional</w:t>
            </w:r>
          </w:p>
        </w:tc>
        <w:tc>
          <w:tcPr>
            <w:tcW w:w="452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783D14A4" w14:textId="77777777" w:rsidR="009F043E" w:rsidRDefault="00000000">
            <w:r>
              <w:rPr>
                <w:color w:val="555555"/>
                <w:sz w:val="20"/>
                <w:szCs w:val="20"/>
              </w:rPr>
              <w:t>Homicídios e segurança com recorte racial</w:t>
            </w:r>
          </w:p>
        </w:tc>
      </w:tr>
      <w:tr w:rsidR="009F043E" w14:paraId="111550A6" w14:textId="77777777">
        <w:tblPrEx>
          <w:tblCellMar>
            <w:top w:w="0" w:type="dxa"/>
            <w:bottom w:w="0" w:type="dxa"/>
          </w:tblCellMar>
        </w:tblPrEx>
        <w:tc>
          <w:tcPr>
            <w:tcW w:w="25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75173F86" w14:textId="77777777" w:rsidR="009F043E" w:rsidRDefault="00000000">
            <w:r>
              <w:rPr>
                <w:color w:val="555555"/>
                <w:sz w:val="20"/>
                <w:szCs w:val="20"/>
              </w:rPr>
              <w:t>Painel de Mortalidade Materna</w:t>
            </w:r>
          </w:p>
        </w:tc>
        <w:tc>
          <w:tcPr>
            <w:tcW w:w="20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17ECF2DD" w14:textId="77777777" w:rsidR="009F043E" w:rsidRDefault="00000000">
            <w:r>
              <w:rPr>
                <w:color w:val="555555"/>
                <w:sz w:val="20"/>
                <w:szCs w:val="20"/>
              </w:rPr>
              <w:t>Nacional</w:t>
            </w:r>
          </w:p>
        </w:tc>
        <w:tc>
          <w:tcPr>
            <w:tcW w:w="452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782DD36F" w14:textId="77777777" w:rsidR="009F043E" w:rsidRDefault="00000000">
            <w:r>
              <w:rPr>
                <w:color w:val="555555"/>
                <w:sz w:val="20"/>
                <w:szCs w:val="20"/>
              </w:rPr>
              <w:t>Dados em tempo real por raça/cor</w:t>
            </w:r>
          </w:p>
        </w:tc>
      </w:tr>
    </w:tbl>
    <w:p w14:paraId="79C3A56D" w14:textId="77777777" w:rsidR="009F043E" w:rsidRDefault="009F04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749FE67F" w14:textId="77777777">
        <w:tblPrEx>
          <w:tblCellMar>
            <w:top w:w="0" w:type="dxa"/>
            <w:bottom w:w="0" w:type="dxa"/>
          </w:tblCellMar>
        </w:tblPrEx>
        <w:tc>
          <w:tcPr>
            <w:tcW w:w="9360" w:type="dxa"/>
            <w:tcBorders>
              <w:top w:val="single" w:sz="6" w:space="0" w:color="0D9488"/>
              <w:left w:val="thick" w:sz="18" w:space="0" w:color="0D9488"/>
              <w:bottom w:val="single" w:sz="6" w:space="0" w:color="0D9488"/>
              <w:right w:val="single" w:sz="6" w:space="0" w:color="0D9488"/>
            </w:tcBorders>
            <w:shd w:val="clear" w:color="auto" w:fill="F0FDF4"/>
            <w:tcMar>
              <w:top w:w="120" w:type="dxa"/>
              <w:left w:w="200" w:type="dxa"/>
              <w:bottom w:w="120" w:type="dxa"/>
              <w:right w:w="120" w:type="dxa"/>
            </w:tcMar>
          </w:tcPr>
          <w:p w14:paraId="61AE3E7B" w14:textId="77777777" w:rsidR="009F043E" w:rsidRDefault="00000000">
            <w:pPr>
              <w:spacing w:before="60" w:after="40"/>
            </w:pPr>
            <w:r>
              <w:rPr>
                <w:b/>
                <w:bCs/>
                <w:color w:val="0D9488"/>
                <w:sz w:val="22"/>
                <w:szCs w:val="22"/>
              </w:rPr>
              <w:t xml:space="preserve">Equidade em saúde: </w:t>
            </w:r>
            <w:r>
              <w:rPr>
                <w:b/>
                <w:bCs/>
                <w:color w:val="555555"/>
                <w:sz w:val="22"/>
                <w:szCs w:val="22"/>
              </w:rPr>
              <w:t xml:space="preserve">Equidade </w:t>
            </w:r>
            <w:r>
              <w:rPr>
                <w:color w:val="555555"/>
                <w:sz w:val="22"/>
                <w:szCs w:val="22"/>
              </w:rPr>
              <w:t xml:space="preserve">não é o mesmo que </w:t>
            </w:r>
            <w:r>
              <w:rPr>
                <w:b/>
                <w:bCs/>
                <w:color w:val="555555"/>
                <w:sz w:val="22"/>
                <w:szCs w:val="22"/>
              </w:rPr>
              <w:t>igualdade</w:t>
            </w:r>
            <w:r>
              <w:rPr>
                <w:color w:val="555555"/>
                <w:sz w:val="22"/>
                <w:szCs w:val="22"/>
              </w:rPr>
              <w:t>. Igualdade distribui recursos de forma uniforme. Equidade distribui segundo a necessidade — dando mais a quem mais precisa. As desigualdades raciais em saúde não são biológicas nem naturais: são produtos de injustiça histórica e estrutural. O papel do médico começa pelo preenchimento correto da Declaração de Óbito.</w:t>
            </w:r>
          </w:p>
        </w:tc>
      </w:tr>
    </w:tbl>
    <w:p w14:paraId="355A92F8" w14:textId="77777777" w:rsidR="009F043E" w:rsidRDefault="00000000">
      <w:r>
        <w:br w:type="page"/>
      </w:r>
    </w:p>
    <w:p w14:paraId="6EC4FF18" w14:textId="77777777" w:rsidR="009F043E" w:rsidRDefault="00000000">
      <w:pPr>
        <w:pStyle w:val="Ttulo1"/>
        <w:pBdr>
          <w:bottom w:val="single" w:sz="8" w:space="2" w:color="1D3557"/>
        </w:pBdr>
      </w:pPr>
      <w:r>
        <w:lastRenderedPageBreak/>
        <w:t>6. Limitações dos Indicadores de Saúde</w:t>
      </w:r>
    </w:p>
    <w:p w14:paraId="167B351B" w14:textId="77777777" w:rsidR="009F043E" w:rsidRDefault="00000000">
      <w:pPr>
        <w:spacing w:before="80" w:after="80"/>
        <w:jc w:val="both"/>
      </w:pPr>
      <w:r>
        <w:rPr>
          <w:color w:val="555555"/>
        </w:rPr>
        <w:t>Indicadores são simplificações da realidade. Toda medida carrega imprecisões, contextos ignorados e riscos de interpretação equivocada. Conhecer as limitações dos indicadores é parte fundamental da formação do profissional de saúde crítico e responsável.</w:t>
      </w:r>
    </w:p>
    <w:p w14:paraId="0FB10A2E" w14:textId="77777777" w:rsidR="009F043E" w:rsidRDefault="009F043E">
      <w:pPr>
        <w:spacing w:before="40" w:after="40"/>
      </w:pPr>
    </w:p>
    <w:p w14:paraId="15E03120" w14:textId="77777777" w:rsidR="009F043E" w:rsidRDefault="00000000">
      <w:pPr>
        <w:pStyle w:val="Ttulo2"/>
      </w:pPr>
      <w:r>
        <w:t xml:space="preserve">6.1 Qualidade do Dado: </w:t>
      </w:r>
      <w:proofErr w:type="spellStart"/>
      <w:r>
        <w:t>Subregistro</w:t>
      </w:r>
      <w:proofErr w:type="spellEnd"/>
      <w:r>
        <w:t xml:space="preserve"> e Erros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485F9FCA" w14:textId="77777777">
        <w:tblPrEx>
          <w:tblCellMar>
            <w:top w:w="0" w:type="dxa"/>
            <w:bottom w:w="0" w:type="dxa"/>
          </w:tblCellMar>
        </w:tblPrEx>
        <w:tc>
          <w:tcPr>
            <w:tcW w:w="9360" w:type="dxa"/>
            <w:tcBorders>
              <w:top w:val="single" w:sz="6" w:space="0" w:color="C0392B"/>
              <w:left w:val="thick" w:sz="18" w:space="0" w:color="C0392B"/>
              <w:bottom w:val="single" w:sz="6" w:space="0" w:color="C0392B"/>
              <w:right w:val="single" w:sz="6" w:space="0" w:color="C0392B"/>
            </w:tcBorders>
            <w:shd w:val="clear" w:color="auto" w:fill="FFF0F0"/>
            <w:tcMar>
              <w:top w:w="120" w:type="dxa"/>
              <w:left w:w="200" w:type="dxa"/>
              <w:bottom w:w="120" w:type="dxa"/>
              <w:right w:w="120" w:type="dxa"/>
            </w:tcMar>
          </w:tcPr>
          <w:p w14:paraId="54C944C2" w14:textId="77777777" w:rsidR="009F043E" w:rsidRDefault="00000000">
            <w:pPr>
              <w:spacing w:before="60" w:after="60"/>
            </w:pPr>
            <w:r>
              <w:rPr>
                <w:b/>
                <w:bCs/>
                <w:color w:val="C0392B"/>
                <w:sz w:val="22"/>
                <w:szCs w:val="22"/>
              </w:rPr>
              <w:t xml:space="preserve">Princípio fundamental: </w:t>
            </w:r>
            <w:r>
              <w:rPr>
                <w:color w:val="555555"/>
                <w:sz w:val="22"/>
                <w:szCs w:val="22"/>
              </w:rPr>
              <w:t>Um indicador é tão bom quanto a qualidade dos dados que o compõem. Dados ruins produzem indicadores ruins — independentemente da sofisticação do método.</w:t>
            </w:r>
          </w:p>
        </w:tc>
      </w:tr>
    </w:tbl>
    <w:p w14:paraId="1781F601" w14:textId="77777777" w:rsidR="009F043E" w:rsidRDefault="009F043E">
      <w:pPr>
        <w:spacing w:before="40" w:after="40"/>
      </w:pPr>
    </w:p>
    <w:p w14:paraId="6FC7543C" w14:textId="77777777" w:rsidR="009F043E" w:rsidRDefault="00000000">
      <w:pPr>
        <w:pStyle w:val="Ttulo3"/>
      </w:pPr>
      <w:proofErr w:type="spellStart"/>
      <w:r>
        <w:t>Subregistro</w:t>
      </w:r>
      <w:proofErr w:type="spellEnd"/>
      <w:r>
        <w:t xml:space="preserve"> de óbitos</w:t>
      </w:r>
    </w:p>
    <w:p w14:paraId="4CF773C3" w14:textId="77777777" w:rsidR="009F043E" w:rsidRDefault="00000000">
      <w:pPr>
        <w:spacing w:before="80" w:after="80"/>
        <w:jc w:val="both"/>
      </w:pPr>
      <w:r>
        <w:rPr>
          <w:color w:val="555555"/>
        </w:rPr>
        <w:t xml:space="preserve">Regiões remotas ou com baixa cobertura de saúde </w:t>
      </w:r>
      <w:proofErr w:type="spellStart"/>
      <w:proofErr w:type="gramStart"/>
      <w:r>
        <w:rPr>
          <w:color w:val="555555"/>
        </w:rPr>
        <w:t>sub-notificam</w:t>
      </w:r>
      <w:proofErr w:type="spellEnd"/>
      <w:proofErr w:type="gramEnd"/>
      <w:r>
        <w:rPr>
          <w:color w:val="555555"/>
        </w:rPr>
        <w:t xml:space="preserve"> mortes. Estudos estimam que a mortalidade real pode ser subestimada em até 40% em alguns municípios brasileiros, especialmente em comunidades indígenas, quilombolas e zonas rurais do Norte e Nordeste.</w:t>
      </w:r>
    </w:p>
    <w:p w14:paraId="4C20E451" w14:textId="77777777" w:rsidR="009F043E" w:rsidRDefault="009F043E">
      <w:pPr>
        <w:spacing w:before="40" w:after="40"/>
      </w:pPr>
    </w:p>
    <w:p w14:paraId="24E3E785" w14:textId="77777777" w:rsidR="009F043E" w:rsidRDefault="00000000">
      <w:pPr>
        <w:pStyle w:val="Ttulo3"/>
      </w:pPr>
      <w:r>
        <w:t>Declaração de Óbito mal preenchida</w:t>
      </w:r>
    </w:p>
    <w:p w14:paraId="5635A8F7" w14:textId="77777777" w:rsidR="009F043E" w:rsidRDefault="00000000">
      <w:pPr>
        <w:spacing w:before="80" w:after="80"/>
        <w:jc w:val="both"/>
      </w:pPr>
      <w:r>
        <w:rPr>
          <w:color w:val="555555"/>
        </w:rPr>
        <w:t>O preenchimento inadequado da DO é um problema epidemiológico grave. 'Parada cardiorrespiratória' como causa básica é clinicamente incorreto — toda morte resulta em parada cardiorrespiratória. O médico deve identificar e registrar a causa primária da morte. Estudos em capitais brasileiras identificaram taxas elevadas de preenchimento inadequado, comprometendo indicadores de mortalidade por causa específica.</w:t>
      </w:r>
    </w:p>
    <w:p w14:paraId="639FE8CA" w14:textId="77777777" w:rsidR="009F043E" w:rsidRDefault="009F043E">
      <w:pPr>
        <w:spacing w:before="40" w:after="40"/>
      </w:pPr>
    </w:p>
    <w:p w14:paraId="08B27E27" w14:textId="77777777" w:rsidR="009F043E" w:rsidRDefault="00000000">
      <w:pPr>
        <w:pStyle w:val="Ttulo3"/>
      </w:pPr>
      <w:r>
        <w:t>Viés de seleção e notificação compulsória</w:t>
      </w:r>
    </w:p>
    <w:p w14:paraId="429E5FCE" w14:textId="77777777" w:rsidR="009F043E" w:rsidRDefault="00000000">
      <w:pPr>
        <w:spacing w:before="80" w:after="80"/>
        <w:jc w:val="both"/>
      </w:pPr>
      <w:r>
        <w:rPr>
          <w:color w:val="555555"/>
        </w:rPr>
        <w:t>Doenças que afetam populações mais vulneráveis ou estigmatizadas — como tuberculose, HIV/AIDS e transtornos mentais — tendem a ser subnotificadas por barreiras de acesso e discriminação nos serviços de saúde. Isso produz uma subestimação sistemática do problema em grupos que já são menos visíveis nos sistemas de informação.</w:t>
      </w:r>
    </w:p>
    <w:p w14:paraId="50CE402C" w14:textId="77777777" w:rsidR="009F043E" w:rsidRDefault="009F043E">
      <w:pPr>
        <w:spacing w:before="40" w:after="40"/>
      </w:pPr>
    </w:p>
    <w:p w14:paraId="1380A5C3" w14:textId="77777777" w:rsidR="009F043E" w:rsidRDefault="00000000">
      <w:pPr>
        <w:pStyle w:val="Ttulo2"/>
      </w:pPr>
      <w:r>
        <w:t>6.2 Comparabilidade entre Populações</w:t>
      </w:r>
    </w:p>
    <w:p w14:paraId="4963F225" w14:textId="77777777" w:rsidR="009F043E" w:rsidRDefault="00000000">
      <w:pPr>
        <w:spacing w:before="80" w:after="80"/>
        <w:jc w:val="both"/>
      </w:pPr>
      <w:r>
        <w:rPr>
          <w:color w:val="555555"/>
        </w:rPr>
        <w:t>Taxas brutas não são diretamente comparáveis entre populações com estruturas etárias, sociais ou culturais distintas. Outros problemas incluem:</w:t>
      </w:r>
    </w:p>
    <w:p w14:paraId="1A4D5A26" w14:textId="77777777" w:rsidR="009F043E" w:rsidRDefault="009F043E">
      <w:pPr>
        <w:spacing w:before="40" w:after="40"/>
      </w:pPr>
    </w:p>
    <w:p w14:paraId="24881C14" w14:textId="77777777" w:rsidR="009F043E" w:rsidRDefault="00000000">
      <w:pPr>
        <w:pStyle w:val="PargrafodaLista"/>
        <w:numPr>
          <w:ilvl w:val="0"/>
          <w:numId w:val="2"/>
        </w:numPr>
        <w:spacing w:before="60" w:after="60"/>
      </w:pPr>
      <w:r>
        <w:rPr>
          <w:color w:val="555555"/>
        </w:rPr>
        <w:t>Diferenças nas definições de caso entre países tornam impossível a comparação direta (ex.: critérios para morte materna diferem entre OMS e alguns países)</w:t>
      </w:r>
    </w:p>
    <w:p w14:paraId="14A9EE8E" w14:textId="77777777" w:rsidR="009F043E" w:rsidRDefault="00000000">
      <w:pPr>
        <w:pStyle w:val="PargrafodaLista"/>
        <w:numPr>
          <w:ilvl w:val="0"/>
          <w:numId w:val="2"/>
        </w:numPr>
        <w:spacing w:before="60" w:after="60"/>
      </w:pPr>
      <w:r>
        <w:rPr>
          <w:color w:val="555555"/>
        </w:rPr>
        <w:lastRenderedPageBreak/>
        <w:t>Sistemas de informação heterogêneos (SIM, SINASC, SINAN) usam critérios e coberturas diferentes, criando incompatibilidades internas</w:t>
      </w:r>
    </w:p>
    <w:p w14:paraId="56317568" w14:textId="77777777" w:rsidR="009F043E" w:rsidRDefault="00000000">
      <w:pPr>
        <w:pStyle w:val="PargrafodaLista"/>
        <w:numPr>
          <w:ilvl w:val="0"/>
          <w:numId w:val="2"/>
        </w:numPr>
        <w:spacing w:before="60" w:after="60"/>
      </w:pPr>
      <w:r>
        <w:rPr>
          <w:color w:val="555555"/>
        </w:rPr>
        <w:t>Variações culturais na autopercepção de saúde comprometem comparações internacionais de indicadores de morbidade autorreferida</w:t>
      </w:r>
    </w:p>
    <w:p w14:paraId="4271FCFC" w14:textId="77777777" w:rsidR="009F043E" w:rsidRDefault="00000000">
      <w:pPr>
        <w:pStyle w:val="PargrafodaLista"/>
        <w:numPr>
          <w:ilvl w:val="0"/>
          <w:numId w:val="2"/>
        </w:numPr>
        <w:spacing w:before="60" w:after="60"/>
      </w:pPr>
      <w:r>
        <w:rPr>
          <w:color w:val="555555"/>
        </w:rPr>
        <w:t>A solução para comparabilidade é a padronização (ver Seção 4) e a harmonização metodológica</w:t>
      </w:r>
    </w:p>
    <w:p w14:paraId="2A032019" w14:textId="77777777" w:rsidR="009F043E" w:rsidRDefault="009F043E">
      <w:pPr>
        <w:spacing w:before="40" w:after="40"/>
      </w:pPr>
    </w:p>
    <w:p w14:paraId="54F31CAC" w14:textId="77777777" w:rsidR="009F043E" w:rsidRDefault="00000000">
      <w:pPr>
        <w:pStyle w:val="Ttulo2"/>
      </w:pPr>
      <w:r>
        <w:t>6.3 Falácia Ecológica</w:t>
      </w:r>
    </w:p>
    <w:p w14:paraId="0D9FD82A" w14:textId="77777777" w:rsidR="009F043E" w:rsidRDefault="00000000">
      <w:pPr>
        <w:spacing w:before="80" w:after="80"/>
        <w:jc w:val="both"/>
      </w:pPr>
      <w:r>
        <w:rPr>
          <w:color w:val="555555"/>
        </w:rPr>
        <w:t>A falácia ecológica ocorre quando se tentam inferir características individuais a partir de dados agregados populacionais. É um erro metodológico grave e frequente.</w:t>
      </w:r>
    </w:p>
    <w:p w14:paraId="48348964" w14:textId="77777777" w:rsidR="009F043E" w:rsidRDefault="009F04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1E246FC3" w14:textId="77777777">
        <w:tblPrEx>
          <w:tblCellMar>
            <w:top w:w="0" w:type="dxa"/>
            <w:bottom w:w="0" w:type="dxa"/>
          </w:tblCellMar>
        </w:tblPrEx>
        <w:tc>
          <w:tcPr>
            <w:tcW w:w="9360" w:type="dxa"/>
            <w:tcBorders>
              <w:top w:val="single" w:sz="6" w:space="0" w:color="1D3557"/>
              <w:left w:val="thick" w:sz="18" w:space="0" w:color="1D3557"/>
              <w:bottom w:val="single" w:sz="6" w:space="0" w:color="1D3557"/>
              <w:right w:val="single" w:sz="6" w:space="0" w:color="1D3557"/>
            </w:tcBorders>
            <w:shd w:val="clear" w:color="auto" w:fill="EFF6FF"/>
            <w:tcMar>
              <w:top w:w="120" w:type="dxa"/>
              <w:left w:w="200" w:type="dxa"/>
              <w:bottom w:w="120" w:type="dxa"/>
              <w:right w:w="120" w:type="dxa"/>
            </w:tcMar>
          </w:tcPr>
          <w:p w14:paraId="22879BC5" w14:textId="77777777" w:rsidR="009F043E" w:rsidRDefault="00000000">
            <w:pPr>
              <w:spacing w:before="60" w:after="40"/>
            </w:pPr>
            <w:r>
              <w:rPr>
                <w:b/>
                <w:bCs/>
                <w:color w:val="1D3557"/>
                <w:sz w:val="22"/>
                <w:szCs w:val="22"/>
              </w:rPr>
              <w:t xml:space="preserve">Exemplo clássico da falácia ecológica: </w:t>
            </w:r>
          </w:p>
          <w:p w14:paraId="476F9142" w14:textId="77777777" w:rsidR="009F043E" w:rsidRDefault="00000000">
            <w:pPr>
              <w:spacing w:after="60"/>
            </w:pPr>
            <w:r>
              <w:rPr>
                <w:color w:val="555555"/>
                <w:sz w:val="22"/>
                <w:szCs w:val="22"/>
              </w:rPr>
              <w:t>Uma região apresenta ao mesmo tempo alta taxa de homicídios E alta renda per capita. Isso NÃO significa que pessoas ricas são as vítimas de homicídio — pode haver extrema desigualdade interna, com renda alta concentrada em poucos e violência concentrada nos mais pobres. Indicadores ecológicos descrevem populações, não indivíduos.</w:t>
            </w:r>
          </w:p>
        </w:tc>
      </w:tr>
    </w:tbl>
    <w:p w14:paraId="76E05D0F" w14:textId="77777777" w:rsidR="009F043E" w:rsidRDefault="009F043E">
      <w:pPr>
        <w:spacing w:before="40" w:after="40"/>
      </w:pPr>
    </w:p>
    <w:p w14:paraId="185F04C2" w14:textId="77777777" w:rsidR="009F043E" w:rsidRDefault="00000000">
      <w:pPr>
        <w:pStyle w:val="Ttulo2"/>
      </w:pPr>
      <w:r>
        <w:t>6.4 Correlação Não é Causalidade</w:t>
      </w:r>
    </w:p>
    <w:p w14:paraId="10464725" w14:textId="77777777" w:rsidR="009F043E" w:rsidRDefault="00000000">
      <w:pPr>
        <w:spacing w:before="80" w:after="80"/>
        <w:jc w:val="both"/>
      </w:pPr>
      <w:r>
        <w:rPr>
          <w:color w:val="555555"/>
        </w:rPr>
        <w:t>A associação estatística entre dois indicadores não implica, por si só, relação causal entre eles. Este é talvez o erro interpretativo mais frequente no uso popular — e por vezes científico — de dados epidemiológicos.</w:t>
      </w:r>
    </w:p>
    <w:p w14:paraId="7324008C" w14:textId="77777777" w:rsidR="009F043E" w:rsidRDefault="009F04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5211BBB7" w14:textId="77777777">
        <w:tblPrEx>
          <w:tblCellMar>
            <w:top w:w="0" w:type="dxa"/>
            <w:bottom w:w="0" w:type="dxa"/>
          </w:tblCellMar>
        </w:tblPrEx>
        <w:tc>
          <w:tcPr>
            <w:tcW w:w="9360" w:type="dxa"/>
            <w:tcBorders>
              <w:top w:val="single" w:sz="6" w:space="0" w:color="1D3557"/>
              <w:left w:val="thick" w:sz="18" w:space="0" w:color="1D3557"/>
              <w:bottom w:val="single" w:sz="6" w:space="0" w:color="1D3557"/>
              <w:right w:val="single" w:sz="6" w:space="0" w:color="1D3557"/>
            </w:tcBorders>
            <w:shd w:val="clear" w:color="auto" w:fill="EFF6FF"/>
            <w:tcMar>
              <w:top w:w="120" w:type="dxa"/>
              <w:left w:w="200" w:type="dxa"/>
              <w:bottom w:w="120" w:type="dxa"/>
              <w:right w:w="120" w:type="dxa"/>
            </w:tcMar>
          </w:tcPr>
          <w:p w14:paraId="4735FE35" w14:textId="77777777" w:rsidR="009F043E" w:rsidRDefault="00000000">
            <w:pPr>
              <w:spacing w:before="60" w:after="40"/>
            </w:pPr>
            <w:r>
              <w:rPr>
                <w:b/>
                <w:bCs/>
                <w:color w:val="1D3557"/>
                <w:sz w:val="22"/>
                <w:szCs w:val="22"/>
              </w:rPr>
              <w:t xml:space="preserve">Exemplo clássico de correlação espúria: </w:t>
            </w:r>
          </w:p>
          <w:p w14:paraId="7D662120" w14:textId="77777777" w:rsidR="009F043E" w:rsidRDefault="00000000">
            <w:pPr>
              <w:spacing w:after="60"/>
            </w:pPr>
            <w:r>
              <w:rPr>
                <w:color w:val="555555"/>
                <w:sz w:val="22"/>
                <w:szCs w:val="22"/>
              </w:rPr>
              <w:t>Países com maior número de televisores por domicílio apresentam menor mortalidade infantil. Isso NÃO significa que ter televisor protege crianças. Ambos são reflexos de renda e desenvolvimento socioeconômico — uma terceira variável (variável de confusão) que explica a associação. A explicação causal exige desenhos de estudo adequados (ensaios clínicos, estudos de coorte bem controlados) e análise criteriosa do contexto.</w:t>
            </w:r>
          </w:p>
        </w:tc>
      </w:tr>
    </w:tbl>
    <w:p w14:paraId="0D5B3553" w14:textId="77777777" w:rsidR="009F043E" w:rsidRDefault="009F043E">
      <w:pPr>
        <w:spacing w:before="40" w:after="40"/>
      </w:pPr>
    </w:p>
    <w:p w14:paraId="7F195C75" w14:textId="77777777" w:rsidR="009F043E" w:rsidRDefault="00000000">
      <w:pPr>
        <w:pStyle w:val="Ttulo2"/>
      </w:pPr>
      <w:r>
        <w:t>6.5 Defasagem Temporal</w:t>
      </w:r>
    </w:p>
    <w:p w14:paraId="0AFCF443" w14:textId="77777777" w:rsidR="009F043E" w:rsidRDefault="00000000">
      <w:pPr>
        <w:spacing w:before="80" w:after="80"/>
        <w:jc w:val="both"/>
      </w:pPr>
      <w:r>
        <w:rPr>
          <w:color w:val="555555"/>
        </w:rPr>
        <w:t>Há sempre um intervalo entre o evento real (nascimento, óbito, adoecimento), o registro formal e a consolidação dos dados em sistemas de informação. No Brasil, óbitos podem levar meses para entrar no SIM com causa corretamente classificada. Durante epidemias, os dados disponíveis em tempo real podem subestimar gravemente a magnitude do problema.</w:t>
      </w:r>
    </w:p>
    <w:p w14:paraId="25335647" w14:textId="77777777" w:rsidR="009F043E" w:rsidRDefault="009F043E">
      <w:pPr>
        <w:spacing w:before="40" w:after="40"/>
      </w:pPr>
    </w:p>
    <w:p w14:paraId="3D81B484" w14:textId="77777777" w:rsidR="009F043E" w:rsidRDefault="00000000">
      <w:pPr>
        <w:spacing w:before="80" w:after="80"/>
        <w:jc w:val="both"/>
      </w:pPr>
      <w:r>
        <w:rPr>
          <w:color w:val="555555"/>
        </w:rPr>
        <w:t>Implicação prática: dados do 'último ano disponível' muitas vezes refletem a situação de 12 a 24 meses antes. Toda análise deve explicitar claramente o período de referência dos dados utilizados.</w:t>
      </w:r>
    </w:p>
    <w:p w14:paraId="33F6F3CF" w14:textId="77777777" w:rsidR="009F043E" w:rsidRDefault="009F043E">
      <w:pPr>
        <w:spacing w:before="40" w:after="40"/>
      </w:pPr>
    </w:p>
    <w:p w14:paraId="23F42D75" w14:textId="77777777" w:rsidR="009F043E" w:rsidRDefault="00000000">
      <w:pPr>
        <w:pStyle w:val="Ttulo2"/>
      </w:pPr>
      <w:r>
        <w:lastRenderedPageBreak/>
        <w:t>6.6 Uso Político Seletivo de Indicadores</w:t>
      </w:r>
    </w:p>
    <w:p w14:paraId="6980B280" w14:textId="77777777" w:rsidR="009F043E" w:rsidRDefault="00000000">
      <w:pPr>
        <w:spacing w:before="80" w:after="80"/>
        <w:jc w:val="both"/>
      </w:pPr>
      <w:r>
        <w:rPr>
          <w:color w:val="555555"/>
        </w:rPr>
        <w:t>Gestores e formuladores de políticas podem selecionar os indicadores que mostram resultados favoráveis e omitir aqueles desfavoráveis. Além disso, melhorias aparentes em um indicador podem ser resultado de mudanças metodológicas, ampliação da cobertura do sistema de informação, ou redefinição dos critérios diagnósticos — e não de melhora real nas condições de saúde.</w:t>
      </w:r>
    </w:p>
    <w:p w14:paraId="094CBFE8" w14:textId="77777777" w:rsidR="009F043E" w:rsidRDefault="009F043E">
      <w:pPr>
        <w:spacing w:before="40" w:after="40"/>
      </w:pPr>
    </w:p>
    <w:p w14:paraId="606ACDDE" w14:textId="77777777" w:rsidR="009F043E" w:rsidRDefault="00000000">
      <w:pPr>
        <w:pStyle w:val="PargrafodaLista"/>
        <w:numPr>
          <w:ilvl w:val="0"/>
          <w:numId w:val="2"/>
        </w:numPr>
        <w:spacing w:before="60" w:after="60"/>
      </w:pPr>
      <w:r>
        <w:rPr>
          <w:color w:val="555555"/>
        </w:rPr>
        <w:t>Proteção contra manipulação: exigir séries históricas longas e múltiplos indicadores complementares</w:t>
      </w:r>
    </w:p>
    <w:p w14:paraId="7C68AC64" w14:textId="77777777" w:rsidR="009F043E" w:rsidRDefault="00000000">
      <w:pPr>
        <w:pStyle w:val="PargrafodaLista"/>
        <w:numPr>
          <w:ilvl w:val="0"/>
          <w:numId w:val="2"/>
        </w:numPr>
        <w:spacing w:before="60" w:after="60"/>
      </w:pPr>
      <w:r>
        <w:rPr>
          <w:color w:val="555555"/>
        </w:rPr>
        <w:t>Questionar sempre: o que não está sendo medido? Quem está fora do denominador?</w:t>
      </w:r>
    </w:p>
    <w:p w14:paraId="56AA6400" w14:textId="77777777" w:rsidR="009F043E" w:rsidRDefault="00000000">
      <w:pPr>
        <w:pStyle w:val="PargrafodaLista"/>
        <w:numPr>
          <w:ilvl w:val="0"/>
          <w:numId w:val="2"/>
        </w:numPr>
        <w:spacing w:before="60" w:after="60"/>
      </w:pPr>
      <w:r>
        <w:rPr>
          <w:color w:val="555555"/>
        </w:rPr>
        <w:t>Preferir fontes independentes e com metodologia transparente e auditável</w:t>
      </w:r>
    </w:p>
    <w:p w14:paraId="61CB2E96" w14:textId="77777777" w:rsidR="009F043E" w:rsidRDefault="00000000">
      <w:r>
        <w:br w:type="page"/>
      </w:r>
    </w:p>
    <w:p w14:paraId="4AC7217C" w14:textId="77777777" w:rsidR="009F043E" w:rsidRDefault="00000000">
      <w:pPr>
        <w:pStyle w:val="Ttulo1"/>
        <w:pBdr>
          <w:bottom w:val="single" w:sz="8" w:space="2" w:color="1D3557"/>
        </w:pBdr>
      </w:pPr>
      <w:r>
        <w:lastRenderedPageBreak/>
        <w:t>7. Como Usar Indicadores com Responsabilidade</w:t>
      </w:r>
    </w:p>
    <w:p w14:paraId="545C6897" w14:textId="77777777" w:rsidR="009F043E" w:rsidRDefault="00000000">
      <w:pPr>
        <w:spacing w:before="80" w:after="80"/>
        <w:jc w:val="both"/>
      </w:pPr>
      <w:r>
        <w:rPr>
          <w:color w:val="555555"/>
        </w:rPr>
        <w:t>Diante das limitações apresentadas, o uso responsável de indicadores de saúde requer uma postura crítica, metodologicamente informada e eticamente comprometida. As cinco práticas abaixo sintetizam as principais recomendações:</w:t>
      </w:r>
    </w:p>
    <w:p w14:paraId="78253AD3" w14:textId="77777777" w:rsidR="009F043E" w:rsidRDefault="009F043E">
      <w:pPr>
        <w:spacing w:before="40" w:after="40"/>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200"/>
        <w:gridCol w:w="6416"/>
      </w:tblGrid>
      <w:tr w:rsidR="009F043E" w14:paraId="4A23742A" w14:textId="77777777">
        <w:tblPrEx>
          <w:tblCellMar>
            <w:top w:w="0" w:type="dxa"/>
            <w:bottom w:w="0" w:type="dxa"/>
          </w:tblCellMar>
        </w:tblPrEx>
        <w:tc>
          <w:tcPr>
            <w:tcW w:w="40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474EA5EA" w14:textId="77777777" w:rsidR="009F043E" w:rsidRDefault="00000000">
            <w:pPr>
              <w:jc w:val="center"/>
            </w:pPr>
            <w:r>
              <w:rPr>
                <w:b/>
                <w:bCs/>
                <w:color w:val="FFFFFF"/>
                <w:sz w:val="22"/>
                <w:szCs w:val="22"/>
              </w:rPr>
              <w:t>#</w:t>
            </w:r>
          </w:p>
        </w:tc>
        <w:tc>
          <w:tcPr>
            <w:tcW w:w="2200"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2F3FE630" w14:textId="77777777" w:rsidR="009F043E" w:rsidRDefault="00000000">
            <w:pPr>
              <w:jc w:val="center"/>
            </w:pPr>
            <w:r>
              <w:rPr>
                <w:b/>
                <w:bCs/>
                <w:color w:val="FFFFFF"/>
                <w:sz w:val="22"/>
                <w:szCs w:val="22"/>
              </w:rPr>
              <w:t>Prática</w:t>
            </w:r>
          </w:p>
        </w:tc>
        <w:tc>
          <w:tcPr>
            <w:tcW w:w="6416" w:type="dxa"/>
            <w:tcBorders>
              <w:top w:val="single" w:sz="6" w:space="0" w:color="1D3557"/>
              <w:left w:val="single" w:sz="6" w:space="0" w:color="1D3557"/>
              <w:bottom w:val="single" w:sz="6" w:space="0" w:color="1D3557"/>
              <w:right w:val="single" w:sz="6" w:space="0" w:color="1D3557"/>
            </w:tcBorders>
            <w:shd w:val="clear" w:color="auto" w:fill="1D3557"/>
            <w:tcMar>
              <w:top w:w="80" w:type="dxa"/>
              <w:left w:w="120" w:type="dxa"/>
              <w:bottom w:w="80" w:type="dxa"/>
              <w:right w:w="120" w:type="dxa"/>
            </w:tcMar>
          </w:tcPr>
          <w:p w14:paraId="416E93A8" w14:textId="77777777" w:rsidR="009F043E" w:rsidRDefault="00000000">
            <w:pPr>
              <w:jc w:val="center"/>
            </w:pPr>
            <w:r>
              <w:rPr>
                <w:b/>
                <w:bCs/>
                <w:color w:val="FFFFFF"/>
                <w:sz w:val="22"/>
                <w:szCs w:val="22"/>
              </w:rPr>
              <w:t>Por que é importante</w:t>
            </w:r>
          </w:p>
        </w:tc>
      </w:tr>
      <w:tr w:rsidR="009F043E" w14:paraId="289C65C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4D2C4AD2" w14:textId="77777777" w:rsidR="009F043E" w:rsidRDefault="00000000">
            <w:r>
              <w:rPr>
                <w:color w:val="555555"/>
                <w:sz w:val="20"/>
                <w:szCs w:val="20"/>
              </w:rPr>
              <w:t>1</w:t>
            </w:r>
          </w:p>
        </w:tc>
        <w:tc>
          <w:tcPr>
            <w:tcW w:w="22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373F32C8" w14:textId="77777777" w:rsidR="009F043E" w:rsidRDefault="00000000">
            <w:r>
              <w:rPr>
                <w:color w:val="555555"/>
                <w:sz w:val="20"/>
                <w:szCs w:val="20"/>
              </w:rPr>
              <w:t>Triangule fontes</w:t>
            </w:r>
          </w:p>
        </w:tc>
        <w:tc>
          <w:tcPr>
            <w:tcW w:w="641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0E8BE9FE" w14:textId="77777777" w:rsidR="009F043E" w:rsidRDefault="00000000">
            <w:r>
              <w:rPr>
                <w:color w:val="555555"/>
                <w:sz w:val="20"/>
                <w:szCs w:val="20"/>
              </w:rPr>
              <w:t>Nunca baseie decisões em um único indicador. Use múltiplas fontes e indicadores complementares. Cada fonte tem cobertura, viés e limitações próprias.</w:t>
            </w:r>
          </w:p>
        </w:tc>
      </w:tr>
      <w:tr w:rsidR="009F043E" w14:paraId="25096CB1"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12F86499" w14:textId="77777777" w:rsidR="009F043E" w:rsidRDefault="00000000">
            <w:r>
              <w:rPr>
                <w:color w:val="555555"/>
                <w:sz w:val="20"/>
                <w:szCs w:val="20"/>
              </w:rPr>
              <w:t>2</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E37FFFF" w14:textId="77777777" w:rsidR="009F043E" w:rsidRDefault="00000000">
            <w:r>
              <w:rPr>
                <w:color w:val="555555"/>
                <w:sz w:val="20"/>
                <w:szCs w:val="20"/>
              </w:rPr>
              <w:t>Desagregue os dados</w:t>
            </w:r>
          </w:p>
        </w:tc>
        <w:tc>
          <w:tcPr>
            <w:tcW w:w="641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2564BF3E" w14:textId="77777777" w:rsidR="009F043E" w:rsidRDefault="00000000">
            <w:r>
              <w:rPr>
                <w:color w:val="555555"/>
                <w:sz w:val="20"/>
                <w:szCs w:val="20"/>
              </w:rPr>
              <w:t xml:space="preserve">Sempre questione o que está escondido na média. </w:t>
            </w:r>
            <w:proofErr w:type="gramStart"/>
            <w:r>
              <w:rPr>
                <w:color w:val="555555"/>
                <w:sz w:val="20"/>
                <w:szCs w:val="20"/>
              </w:rPr>
              <w:t>Analise</w:t>
            </w:r>
            <w:proofErr w:type="gramEnd"/>
            <w:r>
              <w:rPr>
                <w:color w:val="555555"/>
                <w:sz w:val="20"/>
                <w:szCs w:val="20"/>
              </w:rPr>
              <w:t xml:space="preserve"> por raça/cor, sexo, região, renda e faixa etária. Médias podem ocultar desigualdades profundas.</w:t>
            </w:r>
          </w:p>
        </w:tc>
      </w:tr>
      <w:tr w:rsidR="009F043E" w14:paraId="4D099D22"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759B7A7E" w14:textId="77777777" w:rsidR="009F043E" w:rsidRDefault="00000000">
            <w:r>
              <w:rPr>
                <w:color w:val="555555"/>
                <w:sz w:val="20"/>
                <w:szCs w:val="20"/>
              </w:rPr>
              <w:t>3</w:t>
            </w:r>
          </w:p>
        </w:tc>
        <w:tc>
          <w:tcPr>
            <w:tcW w:w="22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68B73CD1" w14:textId="77777777" w:rsidR="009F043E" w:rsidRDefault="00000000">
            <w:r>
              <w:rPr>
                <w:color w:val="555555"/>
                <w:sz w:val="20"/>
                <w:szCs w:val="20"/>
              </w:rPr>
              <w:t>Avalie a qualidade do dado</w:t>
            </w:r>
          </w:p>
        </w:tc>
        <w:tc>
          <w:tcPr>
            <w:tcW w:w="641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58A5004E" w14:textId="77777777" w:rsidR="009F043E" w:rsidRDefault="00000000">
            <w:r>
              <w:rPr>
                <w:color w:val="555555"/>
                <w:sz w:val="20"/>
                <w:szCs w:val="20"/>
              </w:rPr>
              <w:t>Antes de interpretar, verifique: cobertura do sistema, taxa de incompletude, comparabilidade metodológica e período de referência.</w:t>
            </w:r>
          </w:p>
        </w:tc>
      </w:tr>
      <w:tr w:rsidR="009F043E" w14:paraId="7CCB10CA"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4DDF14E" w14:textId="77777777" w:rsidR="009F043E" w:rsidRDefault="00000000">
            <w:r>
              <w:rPr>
                <w:color w:val="555555"/>
                <w:sz w:val="20"/>
                <w:szCs w:val="20"/>
              </w:rPr>
              <w:t>4</w:t>
            </w:r>
          </w:p>
        </w:tc>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517EE98B" w14:textId="77777777" w:rsidR="009F043E" w:rsidRDefault="00000000">
            <w:r>
              <w:rPr>
                <w:color w:val="555555"/>
                <w:sz w:val="20"/>
                <w:szCs w:val="20"/>
              </w:rPr>
              <w:t>Não confunda correlação com causalidade</w:t>
            </w:r>
          </w:p>
        </w:tc>
        <w:tc>
          <w:tcPr>
            <w:tcW w:w="6416" w:type="dxa"/>
            <w:tcBorders>
              <w:top w:val="single" w:sz="6" w:space="0" w:color="CCCCCC"/>
              <w:left w:val="single" w:sz="6" w:space="0" w:color="CCCCCC"/>
              <w:bottom w:val="single" w:sz="6" w:space="0" w:color="CCCCCC"/>
              <w:right w:val="single" w:sz="6" w:space="0" w:color="CCCCCC"/>
            </w:tcBorders>
            <w:shd w:val="clear" w:color="auto" w:fill="FFFFFF"/>
            <w:tcMar>
              <w:top w:w="80" w:type="dxa"/>
              <w:left w:w="120" w:type="dxa"/>
              <w:bottom w:w="80" w:type="dxa"/>
              <w:right w:w="120" w:type="dxa"/>
            </w:tcMar>
          </w:tcPr>
          <w:p w14:paraId="0CD259C8" w14:textId="77777777" w:rsidR="009F043E" w:rsidRDefault="00000000">
            <w:r>
              <w:rPr>
                <w:color w:val="555555"/>
                <w:sz w:val="20"/>
                <w:szCs w:val="20"/>
              </w:rPr>
              <w:t xml:space="preserve">Indicadores descrevem padrões. A explicação causal exige desenhos de estudo adequados e análise do contexto e de </w:t>
            </w:r>
            <w:proofErr w:type="spellStart"/>
            <w:r>
              <w:rPr>
                <w:color w:val="555555"/>
                <w:sz w:val="20"/>
                <w:szCs w:val="20"/>
              </w:rPr>
              <w:t>confundidores</w:t>
            </w:r>
            <w:proofErr w:type="spellEnd"/>
            <w:r>
              <w:rPr>
                <w:color w:val="555555"/>
                <w:sz w:val="20"/>
                <w:szCs w:val="20"/>
              </w:rPr>
              <w:t>.</w:t>
            </w:r>
          </w:p>
        </w:tc>
      </w:tr>
      <w:tr w:rsidR="009F043E" w14:paraId="6C5B2777" w14:textId="77777777">
        <w:tblPrEx>
          <w:tblCellMar>
            <w:top w:w="0" w:type="dxa"/>
            <w:bottom w:w="0" w:type="dxa"/>
          </w:tblCellMar>
        </w:tblPrEx>
        <w:tc>
          <w:tcPr>
            <w:tcW w:w="4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15500BFF" w14:textId="77777777" w:rsidR="009F043E" w:rsidRDefault="00000000">
            <w:r>
              <w:rPr>
                <w:color w:val="555555"/>
                <w:sz w:val="20"/>
                <w:szCs w:val="20"/>
              </w:rPr>
              <w:t>5</w:t>
            </w:r>
          </w:p>
        </w:tc>
        <w:tc>
          <w:tcPr>
            <w:tcW w:w="2200"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3AE8FDCB" w14:textId="77777777" w:rsidR="009F043E" w:rsidRDefault="00000000">
            <w:r>
              <w:rPr>
                <w:color w:val="555555"/>
                <w:sz w:val="20"/>
                <w:szCs w:val="20"/>
              </w:rPr>
              <w:t>Considere a série histórica</w:t>
            </w:r>
          </w:p>
        </w:tc>
        <w:tc>
          <w:tcPr>
            <w:tcW w:w="6416" w:type="dxa"/>
            <w:tcBorders>
              <w:top w:val="single" w:sz="6" w:space="0" w:color="CCCCCC"/>
              <w:left w:val="single" w:sz="6" w:space="0" w:color="CCCCCC"/>
              <w:bottom w:val="single" w:sz="6" w:space="0" w:color="CCCCCC"/>
              <w:right w:val="single" w:sz="6" w:space="0" w:color="CCCCCC"/>
            </w:tcBorders>
            <w:shd w:val="clear" w:color="auto" w:fill="F5F9FF"/>
            <w:tcMar>
              <w:top w:w="80" w:type="dxa"/>
              <w:left w:w="120" w:type="dxa"/>
              <w:bottom w:w="80" w:type="dxa"/>
              <w:right w:w="120" w:type="dxa"/>
            </w:tcMar>
          </w:tcPr>
          <w:p w14:paraId="175D2B84" w14:textId="77777777" w:rsidR="009F043E" w:rsidRDefault="00000000">
            <w:r>
              <w:rPr>
                <w:color w:val="555555"/>
                <w:sz w:val="20"/>
                <w:szCs w:val="20"/>
              </w:rPr>
              <w:t>Um ponto isolado no tempo é pouco informativo. Tendências ao longo de anos revelam padrões mais confiáveis e reduzem o risco de manipulação.</w:t>
            </w:r>
          </w:p>
        </w:tc>
      </w:tr>
    </w:tbl>
    <w:p w14:paraId="0005E922" w14:textId="77777777" w:rsidR="009F043E" w:rsidRDefault="009F043E">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F043E" w14:paraId="4F233308" w14:textId="77777777">
        <w:tblPrEx>
          <w:tblCellMar>
            <w:top w:w="0" w:type="dxa"/>
            <w:bottom w:w="0" w:type="dxa"/>
          </w:tblCellMar>
        </w:tblPrEx>
        <w:tc>
          <w:tcPr>
            <w:tcW w:w="9360" w:type="dxa"/>
            <w:tcBorders>
              <w:top w:val="single" w:sz="6" w:space="0" w:color="1D3557"/>
              <w:left w:val="thick" w:sz="18" w:space="0" w:color="1D3557"/>
              <w:bottom w:val="single" w:sz="6" w:space="0" w:color="1D3557"/>
              <w:right w:val="single" w:sz="6" w:space="0" w:color="1D3557"/>
            </w:tcBorders>
            <w:shd w:val="clear" w:color="auto" w:fill="EFF6FF"/>
            <w:tcMar>
              <w:top w:w="120" w:type="dxa"/>
              <w:left w:w="200" w:type="dxa"/>
              <w:bottom w:w="120" w:type="dxa"/>
              <w:right w:w="120" w:type="dxa"/>
            </w:tcMar>
          </w:tcPr>
          <w:p w14:paraId="7DCD7C37" w14:textId="77777777" w:rsidR="009F043E" w:rsidRDefault="00000000">
            <w:pPr>
              <w:spacing w:before="60" w:after="60"/>
            </w:pPr>
            <w:r>
              <w:rPr>
                <w:b/>
                <w:bCs/>
                <w:color w:val="1D3557"/>
                <w:sz w:val="22"/>
                <w:szCs w:val="22"/>
              </w:rPr>
              <w:t xml:space="preserve">Lembre-se: </w:t>
            </w:r>
            <w:r>
              <w:rPr>
                <w:color w:val="555555"/>
                <w:sz w:val="22"/>
                <w:szCs w:val="22"/>
              </w:rPr>
              <w:t>Dados são instrumentos de poder. Quem os produz, quem os acessa e como são interpretados definem quais problemas entram na agenda pública de saúde e quais populações se tornam invisíveis. O profissional de saúde crítico é um agente fundamental na produção e no uso ético dos dados em saúde.</w:t>
            </w:r>
          </w:p>
        </w:tc>
      </w:tr>
    </w:tbl>
    <w:p w14:paraId="1469947F" w14:textId="77777777" w:rsidR="009F043E" w:rsidRDefault="00000000">
      <w:r>
        <w:br w:type="page"/>
      </w:r>
    </w:p>
    <w:p w14:paraId="317296C4" w14:textId="77777777" w:rsidR="009F043E" w:rsidRDefault="00000000">
      <w:pPr>
        <w:pStyle w:val="Ttulo1"/>
        <w:pBdr>
          <w:bottom w:val="single" w:sz="8" w:space="2" w:color="1D3557"/>
        </w:pBdr>
      </w:pPr>
      <w:r>
        <w:lastRenderedPageBreak/>
        <w:t>8. Referências Bibliográficas</w:t>
      </w:r>
    </w:p>
    <w:p w14:paraId="140EB3C0" w14:textId="77777777" w:rsidR="009F043E" w:rsidRDefault="00000000">
      <w:pPr>
        <w:spacing w:before="100" w:after="60"/>
        <w:jc w:val="both"/>
      </w:pPr>
      <w:r>
        <w:rPr>
          <w:color w:val="555555"/>
          <w:sz w:val="22"/>
          <w:szCs w:val="22"/>
        </w:rPr>
        <w:t>BRASIL. Ministério da Saúde. Secretaria de Vigilância em Saúde. Indicadores e Dados Básicos — IDB. DATASUS. Disponível em: datasus.saude.gov.br</w:t>
      </w:r>
    </w:p>
    <w:p w14:paraId="1312785D" w14:textId="77777777" w:rsidR="009F043E" w:rsidRDefault="00000000">
      <w:pPr>
        <w:spacing w:before="100" w:after="60"/>
        <w:jc w:val="both"/>
      </w:pPr>
      <w:r>
        <w:rPr>
          <w:color w:val="555555"/>
          <w:sz w:val="22"/>
          <w:szCs w:val="22"/>
        </w:rPr>
        <w:t xml:space="preserve">GORDIS, L. Epidemiologia. 5. ed. Rio de Janeiro: </w:t>
      </w:r>
      <w:proofErr w:type="spellStart"/>
      <w:r>
        <w:rPr>
          <w:color w:val="555555"/>
          <w:sz w:val="22"/>
          <w:szCs w:val="22"/>
        </w:rPr>
        <w:t>Thieme</w:t>
      </w:r>
      <w:proofErr w:type="spellEnd"/>
      <w:r>
        <w:rPr>
          <w:color w:val="555555"/>
          <w:sz w:val="22"/>
          <w:szCs w:val="22"/>
        </w:rPr>
        <w:t xml:space="preserve"> </w:t>
      </w:r>
      <w:proofErr w:type="spellStart"/>
      <w:r>
        <w:rPr>
          <w:color w:val="555555"/>
          <w:sz w:val="22"/>
          <w:szCs w:val="22"/>
        </w:rPr>
        <w:t>Revinter</w:t>
      </w:r>
      <w:proofErr w:type="spellEnd"/>
      <w:r>
        <w:rPr>
          <w:color w:val="555555"/>
          <w:sz w:val="22"/>
          <w:szCs w:val="22"/>
        </w:rPr>
        <w:t>, 2017.</w:t>
      </w:r>
    </w:p>
    <w:p w14:paraId="46A03052" w14:textId="77777777" w:rsidR="009F043E" w:rsidRDefault="00000000">
      <w:pPr>
        <w:spacing w:before="100" w:after="60"/>
        <w:jc w:val="both"/>
      </w:pPr>
      <w:r>
        <w:rPr>
          <w:color w:val="555555"/>
          <w:sz w:val="22"/>
          <w:szCs w:val="22"/>
        </w:rPr>
        <w:t>IBGE. Pesquisa Nacional por Amostra de Domicílios Contínua — PNAD Contínua 2019. Rio de Janeiro: IBGE, 2020.</w:t>
      </w:r>
    </w:p>
    <w:p w14:paraId="0A6A9DE6" w14:textId="77777777" w:rsidR="009F043E" w:rsidRDefault="00000000">
      <w:pPr>
        <w:spacing w:before="100" w:after="60"/>
        <w:jc w:val="both"/>
      </w:pPr>
      <w:r>
        <w:rPr>
          <w:color w:val="555555"/>
          <w:sz w:val="22"/>
          <w:szCs w:val="22"/>
        </w:rPr>
        <w:t>IPEA. Atlas da Violência 2023. Brasília: IPEA; FBSP, 2023.</w:t>
      </w:r>
    </w:p>
    <w:p w14:paraId="37382771" w14:textId="77777777" w:rsidR="009F043E" w:rsidRDefault="00000000">
      <w:pPr>
        <w:spacing w:before="100" w:after="60"/>
        <w:jc w:val="both"/>
      </w:pPr>
      <w:r>
        <w:rPr>
          <w:color w:val="555555"/>
          <w:sz w:val="22"/>
          <w:szCs w:val="22"/>
        </w:rPr>
        <w:t>ORGANIZAÇÃO PAN-AMERICANA DA SAÚDE (OPAS). Indicadores Básicos para a Saúde no Brasil: Conceitos e Aplicações. Brasília: OPAS/OMS, 2008.</w:t>
      </w:r>
    </w:p>
    <w:p w14:paraId="004DFE4F" w14:textId="77777777" w:rsidR="009F043E" w:rsidRDefault="00000000">
      <w:pPr>
        <w:spacing w:before="100" w:after="60"/>
        <w:jc w:val="both"/>
      </w:pPr>
      <w:r>
        <w:rPr>
          <w:color w:val="555555"/>
          <w:sz w:val="22"/>
          <w:szCs w:val="22"/>
        </w:rPr>
        <w:t xml:space="preserve">ROUQUAYROL, M. Z.; GURGEL, M. (org.). Epidemiologia &amp; Saúde. 8. ed. Rio de Janeiro: </w:t>
      </w:r>
      <w:proofErr w:type="spellStart"/>
      <w:r>
        <w:rPr>
          <w:color w:val="555555"/>
          <w:sz w:val="22"/>
          <w:szCs w:val="22"/>
        </w:rPr>
        <w:t>MedBook</w:t>
      </w:r>
      <w:proofErr w:type="spellEnd"/>
      <w:r>
        <w:rPr>
          <w:color w:val="555555"/>
          <w:sz w:val="22"/>
          <w:szCs w:val="22"/>
        </w:rPr>
        <w:t>, 2017.</w:t>
      </w:r>
    </w:p>
    <w:p w14:paraId="4B21D186" w14:textId="77777777" w:rsidR="009F043E" w:rsidRPr="009230F1" w:rsidRDefault="00000000">
      <w:pPr>
        <w:spacing w:before="100" w:after="60"/>
        <w:jc w:val="both"/>
        <w:rPr>
          <w:lang w:val="en-US"/>
        </w:rPr>
      </w:pPr>
      <w:r>
        <w:rPr>
          <w:color w:val="555555"/>
          <w:sz w:val="22"/>
          <w:szCs w:val="22"/>
        </w:rPr>
        <w:t xml:space="preserve">SILVA, A. A. M. et al. O que é ser negro no Brasil? Diferenças étnico-raciais na saúde. </w:t>
      </w:r>
      <w:r w:rsidRPr="009230F1">
        <w:rPr>
          <w:color w:val="555555"/>
          <w:sz w:val="22"/>
          <w:szCs w:val="22"/>
          <w:lang w:val="en-US"/>
        </w:rPr>
        <w:t>Revista de Saúde Pública, v. 54, 2020.</w:t>
      </w:r>
    </w:p>
    <w:p w14:paraId="6B6FDDB1" w14:textId="77777777" w:rsidR="009F043E" w:rsidRDefault="00000000">
      <w:pPr>
        <w:spacing w:before="100" w:after="60"/>
        <w:jc w:val="both"/>
      </w:pPr>
      <w:r w:rsidRPr="009230F1">
        <w:rPr>
          <w:color w:val="555555"/>
          <w:sz w:val="22"/>
          <w:szCs w:val="22"/>
          <w:lang w:val="en-US"/>
        </w:rPr>
        <w:t xml:space="preserve">WORLD HEALTH ORGANIZATION (WHO). Health statistics and information systems: Metrics — Disability-adjusted life year (DALY). </w:t>
      </w:r>
      <w:r>
        <w:rPr>
          <w:color w:val="555555"/>
          <w:sz w:val="22"/>
          <w:szCs w:val="22"/>
        </w:rPr>
        <w:t>Geneva: WHO, 2022.</w:t>
      </w:r>
    </w:p>
    <w:p w14:paraId="3D98B9A0" w14:textId="77777777" w:rsidR="009F043E" w:rsidRDefault="00000000">
      <w:pPr>
        <w:spacing w:before="100" w:after="60"/>
        <w:jc w:val="both"/>
      </w:pPr>
      <w:r>
        <w:rPr>
          <w:color w:val="555555"/>
          <w:sz w:val="22"/>
          <w:szCs w:val="22"/>
        </w:rPr>
        <w:t>CARDOSO, A. M. C. O. Epidemiologia das desigualdades em saúde no Brasil. Revista da Associação Médica Brasileira, v. 59, n. 2, 2013.</w:t>
      </w:r>
    </w:p>
    <w:sectPr w:rsidR="009F043E">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1A9D8" w14:textId="77777777" w:rsidR="00360D89" w:rsidRDefault="00360D89">
      <w:r>
        <w:separator/>
      </w:r>
    </w:p>
  </w:endnote>
  <w:endnote w:type="continuationSeparator" w:id="0">
    <w:p w14:paraId="4FA91D45" w14:textId="77777777" w:rsidR="00360D89" w:rsidRDefault="00360D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A5B71" w14:textId="77777777" w:rsidR="009F043E" w:rsidRDefault="00000000">
    <w:pPr>
      <w:pBdr>
        <w:top w:val="single" w:sz="4" w:space="1" w:color="1D3557"/>
      </w:pBdr>
      <w:spacing w:before="80"/>
      <w:jc w:val="right"/>
    </w:pPr>
    <w:r>
      <w:rPr>
        <w:color w:val="888888"/>
        <w:sz w:val="18"/>
        <w:szCs w:val="18"/>
      </w:rPr>
      <w:t xml:space="preserve">UFSJ — Epidemiologia e Saúde Coletiva  </w:t>
    </w:r>
    <w:r>
      <w:rPr>
        <w:color w:val="888888"/>
        <w:sz w:val="18"/>
        <w:szCs w:val="18"/>
      </w:rPr>
      <w:fldChar w:fldCharType="begin"/>
    </w:r>
    <w:r>
      <w:rPr>
        <w:color w:val="888888"/>
        <w:sz w:val="18"/>
        <w:szCs w:val="18"/>
      </w:rPr>
      <w:instrText>PAGE</w:instrText>
    </w:r>
    <w:r>
      <w:rPr>
        <w:color w:val="888888"/>
        <w:sz w:val="18"/>
        <w:szCs w:val="18"/>
      </w:rPr>
      <w:fldChar w:fldCharType="separate"/>
    </w:r>
    <w:r w:rsidR="009230F1">
      <w:rPr>
        <w:noProof/>
        <w:color w:val="888888"/>
        <w:sz w:val="18"/>
        <w:szCs w:val="18"/>
      </w:rPr>
      <w:t>1</w:t>
    </w:r>
    <w:r>
      <w:rPr>
        <w:color w:val="888888"/>
        <w:sz w:val="18"/>
        <w:szCs w:val="18"/>
      </w:rPr>
      <w:fldChar w:fldCharType="end"/>
    </w:r>
    <w:r>
      <w:rPr>
        <w:color w:val="888888"/>
        <w:sz w:val="18"/>
        <w:szCs w:val="18"/>
      </w:rPr>
      <w:t xml:space="preserve"> / </w:t>
    </w:r>
    <w:r>
      <w:rPr>
        <w:color w:val="888888"/>
        <w:sz w:val="18"/>
        <w:szCs w:val="18"/>
      </w:rPr>
      <w:fldChar w:fldCharType="begin"/>
    </w:r>
    <w:r>
      <w:rPr>
        <w:color w:val="888888"/>
        <w:sz w:val="18"/>
        <w:szCs w:val="18"/>
      </w:rPr>
      <w:instrText>NUMPAGES</w:instrText>
    </w:r>
    <w:r>
      <w:rPr>
        <w:color w:val="888888"/>
        <w:sz w:val="18"/>
        <w:szCs w:val="18"/>
      </w:rPr>
      <w:fldChar w:fldCharType="separate"/>
    </w:r>
    <w:r w:rsidR="009230F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05AFE" w14:textId="77777777" w:rsidR="00360D89" w:rsidRDefault="00360D89">
      <w:r>
        <w:separator/>
      </w:r>
    </w:p>
  </w:footnote>
  <w:footnote w:type="continuationSeparator" w:id="0">
    <w:p w14:paraId="22C49E66" w14:textId="77777777" w:rsidR="00360D89" w:rsidRDefault="00360D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A206F" w14:textId="77777777" w:rsidR="009F043E" w:rsidRDefault="00000000">
    <w:pPr>
      <w:pBdr>
        <w:bottom w:val="single" w:sz="4" w:space="1" w:color="1D3557"/>
      </w:pBdr>
      <w:spacing w:after="80"/>
    </w:pPr>
    <w:r>
      <w:rPr>
        <w:color w:val="888888"/>
        <w:sz w:val="18"/>
        <w:szCs w:val="18"/>
      </w:rPr>
      <w:t xml:space="preserve">Indicadores de Saúde — Material </w:t>
    </w:r>
    <w:proofErr w:type="gramStart"/>
    <w:r>
      <w:rPr>
        <w:color w:val="888888"/>
        <w:sz w:val="18"/>
        <w:szCs w:val="18"/>
      </w:rPr>
      <w:t>Didático  |</w:t>
    </w:r>
    <w:proofErr w:type="gramEnd"/>
    <w:r>
      <w:rPr>
        <w:color w:val="888888"/>
        <w:sz w:val="18"/>
        <w:szCs w:val="18"/>
      </w:rPr>
      <w:t xml:space="preserve">  Henrique Alvarenga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82FB5"/>
    <w:multiLevelType w:val="hybridMultilevel"/>
    <w:tmpl w:val="C02E4F80"/>
    <w:lvl w:ilvl="0" w:tplc="6C465866">
      <w:start w:val="1"/>
      <w:numFmt w:val="bullet"/>
      <w:lvlText w:val="•"/>
      <w:lvlJc w:val="left"/>
      <w:pPr>
        <w:ind w:left="720" w:hanging="360"/>
      </w:pPr>
    </w:lvl>
    <w:lvl w:ilvl="1" w:tplc="D0A4C81E">
      <w:numFmt w:val="decimal"/>
      <w:lvlText w:val=""/>
      <w:lvlJc w:val="left"/>
    </w:lvl>
    <w:lvl w:ilvl="2" w:tplc="D6109AB6">
      <w:numFmt w:val="decimal"/>
      <w:lvlText w:val=""/>
      <w:lvlJc w:val="left"/>
    </w:lvl>
    <w:lvl w:ilvl="3" w:tplc="B1DCCC6A">
      <w:numFmt w:val="decimal"/>
      <w:lvlText w:val=""/>
      <w:lvlJc w:val="left"/>
    </w:lvl>
    <w:lvl w:ilvl="4" w:tplc="B074FDD0">
      <w:numFmt w:val="decimal"/>
      <w:lvlText w:val=""/>
      <w:lvlJc w:val="left"/>
    </w:lvl>
    <w:lvl w:ilvl="5" w:tplc="D02A5CA0">
      <w:numFmt w:val="decimal"/>
      <w:lvlText w:val=""/>
      <w:lvlJc w:val="left"/>
    </w:lvl>
    <w:lvl w:ilvl="6" w:tplc="F1886DC4">
      <w:numFmt w:val="decimal"/>
      <w:lvlText w:val=""/>
      <w:lvlJc w:val="left"/>
    </w:lvl>
    <w:lvl w:ilvl="7" w:tplc="76F4D086">
      <w:numFmt w:val="decimal"/>
      <w:lvlText w:val=""/>
      <w:lvlJc w:val="left"/>
    </w:lvl>
    <w:lvl w:ilvl="8" w:tplc="42263CCC">
      <w:numFmt w:val="decimal"/>
      <w:lvlText w:val=""/>
      <w:lvlJc w:val="left"/>
    </w:lvl>
  </w:abstractNum>
  <w:abstractNum w:abstractNumId="1" w15:restartNumberingAfterBreak="0">
    <w:nsid w:val="29F543DE"/>
    <w:multiLevelType w:val="hybridMultilevel"/>
    <w:tmpl w:val="3834752E"/>
    <w:lvl w:ilvl="0" w:tplc="FB524458">
      <w:start w:val="1"/>
      <w:numFmt w:val="bullet"/>
      <w:lvlText w:val="●"/>
      <w:lvlJc w:val="left"/>
      <w:pPr>
        <w:ind w:left="720" w:hanging="360"/>
      </w:pPr>
    </w:lvl>
    <w:lvl w:ilvl="1" w:tplc="639024B2">
      <w:start w:val="1"/>
      <w:numFmt w:val="bullet"/>
      <w:lvlText w:val="○"/>
      <w:lvlJc w:val="left"/>
      <w:pPr>
        <w:ind w:left="1440" w:hanging="360"/>
      </w:pPr>
    </w:lvl>
    <w:lvl w:ilvl="2" w:tplc="2BD04190">
      <w:start w:val="1"/>
      <w:numFmt w:val="bullet"/>
      <w:lvlText w:val="■"/>
      <w:lvlJc w:val="left"/>
      <w:pPr>
        <w:ind w:left="2160" w:hanging="360"/>
      </w:pPr>
    </w:lvl>
    <w:lvl w:ilvl="3" w:tplc="BF3A90B2">
      <w:start w:val="1"/>
      <w:numFmt w:val="bullet"/>
      <w:lvlText w:val="●"/>
      <w:lvlJc w:val="left"/>
      <w:pPr>
        <w:ind w:left="2880" w:hanging="360"/>
      </w:pPr>
    </w:lvl>
    <w:lvl w:ilvl="4" w:tplc="864EE4E4">
      <w:start w:val="1"/>
      <w:numFmt w:val="bullet"/>
      <w:lvlText w:val="○"/>
      <w:lvlJc w:val="left"/>
      <w:pPr>
        <w:ind w:left="3600" w:hanging="360"/>
      </w:pPr>
    </w:lvl>
    <w:lvl w:ilvl="5" w:tplc="BA08436A">
      <w:start w:val="1"/>
      <w:numFmt w:val="bullet"/>
      <w:lvlText w:val="■"/>
      <w:lvlJc w:val="left"/>
      <w:pPr>
        <w:ind w:left="4320" w:hanging="360"/>
      </w:pPr>
    </w:lvl>
    <w:lvl w:ilvl="6" w:tplc="B8A423BC">
      <w:start w:val="1"/>
      <w:numFmt w:val="bullet"/>
      <w:lvlText w:val="●"/>
      <w:lvlJc w:val="left"/>
      <w:pPr>
        <w:ind w:left="5040" w:hanging="360"/>
      </w:pPr>
    </w:lvl>
    <w:lvl w:ilvl="7" w:tplc="62E21324">
      <w:start w:val="1"/>
      <w:numFmt w:val="bullet"/>
      <w:lvlText w:val="●"/>
      <w:lvlJc w:val="left"/>
      <w:pPr>
        <w:ind w:left="5760" w:hanging="360"/>
      </w:pPr>
    </w:lvl>
    <w:lvl w:ilvl="8" w:tplc="95C2BB1E">
      <w:start w:val="1"/>
      <w:numFmt w:val="bullet"/>
      <w:lvlText w:val="●"/>
      <w:lvlJc w:val="left"/>
      <w:pPr>
        <w:ind w:left="6480" w:hanging="360"/>
      </w:pPr>
    </w:lvl>
  </w:abstractNum>
  <w:abstractNum w:abstractNumId="2" w15:restartNumberingAfterBreak="0">
    <w:nsid w:val="2A4F574C"/>
    <w:multiLevelType w:val="hybridMultilevel"/>
    <w:tmpl w:val="78FCE70C"/>
    <w:lvl w:ilvl="0" w:tplc="730E6CB4">
      <w:start w:val="1"/>
      <w:numFmt w:val="decimal"/>
      <w:lvlText w:val="%1."/>
      <w:lvlJc w:val="left"/>
      <w:pPr>
        <w:ind w:left="720" w:hanging="360"/>
      </w:pPr>
    </w:lvl>
    <w:lvl w:ilvl="1" w:tplc="9D2049F4">
      <w:numFmt w:val="decimal"/>
      <w:lvlText w:val=""/>
      <w:lvlJc w:val="left"/>
    </w:lvl>
    <w:lvl w:ilvl="2" w:tplc="77429A6A">
      <w:numFmt w:val="decimal"/>
      <w:lvlText w:val=""/>
      <w:lvlJc w:val="left"/>
    </w:lvl>
    <w:lvl w:ilvl="3" w:tplc="3B42C736">
      <w:numFmt w:val="decimal"/>
      <w:lvlText w:val=""/>
      <w:lvlJc w:val="left"/>
    </w:lvl>
    <w:lvl w:ilvl="4" w:tplc="10F4AF16">
      <w:numFmt w:val="decimal"/>
      <w:lvlText w:val=""/>
      <w:lvlJc w:val="left"/>
    </w:lvl>
    <w:lvl w:ilvl="5" w:tplc="5802C056">
      <w:numFmt w:val="decimal"/>
      <w:lvlText w:val=""/>
      <w:lvlJc w:val="left"/>
    </w:lvl>
    <w:lvl w:ilvl="6" w:tplc="4E488098">
      <w:numFmt w:val="decimal"/>
      <w:lvlText w:val=""/>
      <w:lvlJc w:val="left"/>
    </w:lvl>
    <w:lvl w:ilvl="7" w:tplc="E3EC8858">
      <w:numFmt w:val="decimal"/>
      <w:lvlText w:val=""/>
      <w:lvlJc w:val="left"/>
    </w:lvl>
    <w:lvl w:ilvl="8" w:tplc="3ADA0A6A">
      <w:numFmt w:val="decimal"/>
      <w:lvlText w:val=""/>
      <w:lvlJc w:val="left"/>
    </w:lvl>
  </w:abstractNum>
  <w:num w:numId="1" w16cid:durableId="885220035">
    <w:abstractNumId w:val="1"/>
    <w:lvlOverride w:ilvl="0">
      <w:startOverride w:val="1"/>
    </w:lvlOverride>
  </w:num>
  <w:num w:numId="2" w16cid:durableId="921916115">
    <w:abstractNumId w:val="0"/>
    <w:lvlOverride w:ilvl="0">
      <w:startOverride w:val="1"/>
    </w:lvlOverride>
  </w:num>
  <w:num w:numId="3" w16cid:durableId="164346104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43E"/>
    <w:rsid w:val="00360D89"/>
    <w:rsid w:val="004D5546"/>
    <w:rsid w:val="009230F1"/>
    <w:rsid w:val="009F043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4:docId w14:val="32A521A8"/>
  <w15:docId w15:val="{5D5FF5C6-5A18-4149-94F1-331C7C307F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160"/>
      <w:outlineLvl w:val="0"/>
    </w:pPr>
    <w:rPr>
      <w:b/>
      <w:bCs/>
      <w:color w:val="1D3557"/>
      <w:sz w:val="36"/>
      <w:szCs w:val="36"/>
    </w:rPr>
  </w:style>
  <w:style w:type="paragraph" w:styleId="Ttulo2">
    <w:name w:val="heading 2"/>
    <w:uiPriority w:val="9"/>
    <w:unhideWhenUsed/>
    <w:qFormat/>
    <w:pPr>
      <w:spacing w:before="280" w:after="120"/>
      <w:outlineLvl w:val="1"/>
    </w:pPr>
    <w:rPr>
      <w:b/>
      <w:bCs/>
      <w:color w:val="C0392B"/>
      <w:sz w:val="28"/>
      <w:szCs w:val="28"/>
    </w:rPr>
  </w:style>
  <w:style w:type="paragraph" w:styleId="Ttulo3">
    <w:name w:val="heading 3"/>
    <w:uiPriority w:val="9"/>
    <w:unhideWhenUsed/>
    <w:qFormat/>
    <w:pPr>
      <w:spacing w:before="200" w:after="80"/>
      <w:outlineLvl w:val="2"/>
    </w:pPr>
    <w:rPr>
      <w:b/>
      <w:bCs/>
      <w:color w:val="1D3557"/>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3512</Words>
  <Characters>20197</Characters>
  <Application>Microsoft Office Word</Application>
  <DocSecurity>0</DocSecurity>
  <Lines>612</Lines>
  <Paragraphs>364</Paragraphs>
  <ScaleCrop>false</ScaleCrop>
  <Company/>
  <LinksUpToDate>false</LinksUpToDate>
  <CharactersWithSpaces>23345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Henrique Alvarenga</cp:lastModifiedBy>
  <cp:revision>2</cp:revision>
  <dcterms:created xsi:type="dcterms:W3CDTF">2026-03-13T01:40:00Z</dcterms:created>
  <dcterms:modified xsi:type="dcterms:W3CDTF">2026-03-13T01:41:00Z</dcterms:modified>
</cp:coreProperties>
</file>