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 w:lineRule="auto"/>
      </w:pPr>
      <w:r>
        <w:rPr>
          <w:rFonts w:ascii="Nunito ExtraBold" w:cs="Nunito ExtraBold" w:eastAsia="Nunito ExtraBold" w:hAnsi="Nunito ExtraBold"/>
          <w:color w:val="00A5E0"/>
          <w:spacing w:val="40"/>
          <w:sz w:val="16"/>
          <w:szCs w:val="16"/>
        </w:rPr>
        <w:t xml:space="preserve">FUNÇÃO PULMONAR · INFLAMAÇÃO DAS VIAS AÉREAS</w:t>
      </w:r>
    </w:p>
    <w:p>
      <w:pPr>
        <w:spacing w:after="260" w:before="0" w:line="240" w:lineRule="auto"/>
      </w:pPr>
      <w:r>
        <w:rPr>
          <w:rFonts w:ascii="Nunito Black" w:cs="Nunito Black" w:eastAsia="Nunito Black" w:hAnsi="Nunito Black"/>
          <w:color w:val="123B63"/>
          <w:sz w:val="40"/>
          <w:szCs w:val="40"/>
        </w:rPr>
        <w:t xml:space="preserve">Fração exalada de óxido nítrico </w:t>
      </w:r>
      <w:r>
        <w:rPr>
          <w:rFonts w:ascii="Nunito Black" w:cs="Nunito Black" w:eastAsia="Nunito Black" w:hAnsi="Nunito Black"/>
          <w:color w:val="EC268F"/>
          <w:sz w:val="40"/>
          <w:szCs w:val="40"/>
        </w:rPr>
        <w:t xml:space="preserve">(FeNO)</w:t>
      </w:r>
    </w:p>
    <w:p>
      <w:pPr>
        <w:spacing w:after="40" w:before="0" w:line="276" w:lineRule="auto"/>
      </w:pPr>
      <w:r>
        <w:rPr>
          <w:rFonts w:ascii="Nunito ExtraBold" w:cs="Nunito ExtraBold" w:eastAsia="Nunito ExtraBold" w:hAnsi="Nunito ExtraBold"/>
          <w:color w:val="00A5E0"/>
          <w:spacing w:val="40"/>
          <w:sz w:val="16"/>
          <w:szCs w:val="16"/>
        </w:rPr>
        <w:t xml:space="preserve">IDENTIFICAÇÃO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89"/>
        <w:gridCol w:w="2041"/>
        <w:gridCol w:w="2041"/>
        <w:gridCol w:w="1735"/>
      </w:tblGrid>
      <w:tr>
        <w:tc>
          <w:tcPr>
            <w:tcW w:type="dxa" w:w="4389"/>
            <w:tcMar>
              <w:top w:type="dxa" w:w="3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 w:line="276" w:lineRule="auto"/>
            </w:pPr>
            <w:r>
              <w:rPr>
                <w:rFonts w:ascii="Nunito ExtraBold" w:cs="Nunito ExtraBold" w:eastAsia="Nunito ExtraBold" w:hAnsi="Nunito ExtraBold"/>
                <w:color w:val="5E5E60"/>
                <w:spacing w:val="12"/>
                <w:sz w:val="14"/>
                <w:szCs w:val="14"/>
              </w:rPr>
              <w:t xml:space="preserve">NOME DO PACIENTE</w:t>
            </w:r>
          </w:p>
          <w:tbl>
            <w:tblPr>
              <w:tblW w:type="dxa" w:w="418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189"/>
            </w:tblGrid>
            <w:tr>
              <w:tc>
                <w:tcPr>
                  <w:tcW w:type="dxa" w:w="4189"/>
                  <w:tcBorders>
                    <w:top w:val="none" w:color="FFFFFF" w:sz="0"/>
                    <w:left w:val="none" w:color="FFFFFF" w:sz="0"/>
                    <w:bottom w:val="dashed" w:color="E9B6D2" w:sz="6"/>
                    <w:right w:val="none" w:color="FFFFFF" w:sz="0"/>
                  </w:tcBorders>
                  <w:shd w:fill="FDF2F8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 w:line="276" w:lineRule="auto"/>
                  </w:pPr>
                  <w:r>
                    <w:rPr>
                      <w:rFonts w:ascii="Nunito" w:cs="Nunito" w:eastAsia="Nunito" w:hAnsi="Nunito"/>
                      <w:color w:val="A9A9AD"/>
                      <w:sz w:val="21"/>
                      <w:szCs w:val="21"/>
                    </w:rPr>
                    <w:t xml:space="preserve">Nome completo do paciente</w:t>
                  </w:r>
                </w:p>
              </w:tc>
            </w:tr>
          </w:tbl>
          <w:p/>
        </w:tc>
        <w:tc>
          <w:tcPr>
            <w:tcW w:type="dxa" w:w="2041"/>
            <w:tcMar>
              <w:top w:type="dxa" w:w="3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 w:line="276" w:lineRule="auto"/>
            </w:pPr>
            <w:r>
              <w:rPr>
                <w:rFonts w:ascii="Nunito ExtraBold" w:cs="Nunito ExtraBold" w:eastAsia="Nunito ExtraBold" w:hAnsi="Nunito ExtraBold"/>
                <w:color w:val="5E5E60"/>
                <w:spacing w:val="12"/>
                <w:sz w:val="14"/>
                <w:szCs w:val="14"/>
              </w:rPr>
              <w:t xml:space="preserve">DATA DO EXAME</w:t>
            </w:r>
          </w:p>
          <w:tbl>
            <w:tblPr>
              <w:tblW w:type="dxa" w:w="184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41"/>
            </w:tblGrid>
            <w:tr>
              <w:tc>
                <w:tcPr>
                  <w:tcW w:type="dxa" w:w="1841"/>
                  <w:tcBorders>
                    <w:top w:val="none" w:color="FFFFFF" w:sz="0"/>
                    <w:left w:val="none" w:color="FFFFFF" w:sz="0"/>
                    <w:bottom w:val="dashed" w:color="E9B6D2" w:sz="6"/>
                    <w:right w:val="none" w:color="FFFFFF" w:sz="0"/>
                  </w:tcBorders>
                  <w:shd w:fill="FDF2F8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 w:line="276" w:lineRule="auto"/>
                  </w:pPr>
                  <w:r>
                    <w:rPr>
                      <w:rFonts w:ascii="Nunito" w:cs="Nunito" w:eastAsia="Nunito" w:hAnsi="Nunito"/>
                      <w:color w:val="A9A9AD"/>
                      <w:sz w:val="21"/>
                      <w:szCs w:val="21"/>
                    </w:rPr>
                    <w:t xml:space="preserve">dd/mm/aaaa</w:t>
                  </w:r>
                </w:p>
              </w:tc>
            </w:tr>
          </w:tbl>
          <w:p/>
        </w:tc>
        <w:tc>
          <w:tcPr>
            <w:tcW w:type="dxa" w:w="2041"/>
            <w:tcMar>
              <w:top w:type="dxa" w:w="3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 w:line="276" w:lineRule="auto"/>
            </w:pPr>
            <w:r>
              <w:rPr>
                <w:rFonts w:ascii="Nunito ExtraBold" w:cs="Nunito ExtraBold" w:eastAsia="Nunito ExtraBold" w:hAnsi="Nunito ExtraBold"/>
                <w:color w:val="5E5E60"/>
                <w:spacing w:val="12"/>
                <w:sz w:val="14"/>
                <w:szCs w:val="14"/>
              </w:rPr>
              <w:t xml:space="preserve">NASCIMENTO</w:t>
            </w:r>
          </w:p>
          <w:tbl>
            <w:tblPr>
              <w:tblW w:type="dxa" w:w="184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41"/>
            </w:tblGrid>
            <w:tr>
              <w:tc>
                <w:tcPr>
                  <w:tcW w:type="dxa" w:w="1841"/>
                  <w:tcBorders>
                    <w:top w:val="none" w:color="FFFFFF" w:sz="0"/>
                    <w:left w:val="none" w:color="FFFFFF" w:sz="0"/>
                    <w:bottom w:val="dashed" w:color="E9B6D2" w:sz="6"/>
                    <w:right w:val="none" w:color="FFFFFF" w:sz="0"/>
                  </w:tcBorders>
                  <w:shd w:fill="FDF2F8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 w:line="276" w:lineRule="auto"/>
                  </w:pPr>
                  <w:r>
                    <w:rPr>
                      <w:rFonts w:ascii="Nunito" w:cs="Nunito" w:eastAsia="Nunito" w:hAnsi="Nunito"/>
                      <w:color w:val="A9A9AD"/>
                      <w:sz w:val="21"/>
                      <w:szCs w:val="21"/>
                    </w:rPr>
                    <w:t xml:space="preserve">dd/mm/aaaa</w:t>
                  </w:r>
                </w:p>
              </w:tc>
            </w:tr>
          </w:tbl>
          <w:p/>
        </w:tc>
        <w:tc>
          <w:tcPr>
            <w:tcW w:type="dxa" w:w="1735"/>
            <w:tcMar>
              <w:top w:type="dxa" w:w="3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 w:line="276" w:lineRule="auto"/>
            </w:pPr>
            <w:r>
              <w:rPr>
                <w:rFonts w:ascii="Nunito ExtraBold" w:cs="Nunito ExtraBold" w:eastAsia="Nunito ExtraBold" w:hAnsi="Nunito ExtraBold"/>
                <w:color w:val="5E5E60"/>
                <w:spacing w:val="12"/>
                <w:sz w:val="14"/>
                <w:szCs w:val="14"/>
              </w:rPr>
              <w:t xml:space="preserve">IDADE</w:t>
            </w:r>
          </w:p>
          <w:tbl>
            <w:tblPr>
              <w:tblW w:type="dxa" w:w="153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35"/>
            </w:tblGrid>
            <w:tr>
              <w:tc>
                <w:tcPr>
                  <w:tcW w:type="dxa" w:w="1535"/>
                  <w:tcBorders>
                    <w:top w:val="none" w:color="FFFFFF" w:sz="0"/>
                    <w:left w:val="none" w:color="FFFFFF" w:sz="0"/>
                    <w:bottom w:val="dashed" w:color="E9B6D2" w:sz="6"/>
                    <w:right w:val="none" w:color="FFFFFF" w:sz="0"/>
                  </w:tcBorders>
                  <w:shd w:fill="FDF2F8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 w:line="276" w:lineRule="auto"/>
                  </w:pPr>
                  <w:r>
                    <w:rPr>
                      <w:rFonts w:ascii="Nunito" w:cs="Nunito" w:eastAsia="Nunito" w:hAnsi="Nunito"/>
                      <w:color w:val="A9A9AD"/>
                      <w:sz w:val="21"/>
                      <w:szCs w:val="21"/>
                    </w:rPr>
                    <w:t xml:space="preserve">__ a __ m</w:t>
                  </w:r>
                </w:p>
              </w:tc>
            </w:tr>
          </w:tbl>
          <w:p/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c>
          <w:tcPr>
            <w:tcW w:type="dxa" w:w="10206"/>
            <w:tcMar>
              <w:top w:type="dxa" w:w="3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 w:line="276" w:lineRule="auto"/>
            </w:pPr>
            <w:r>
              <w:rPr>
                <w:rFonts w:ascii="Nunito ExtraBold" w:cs="Nunito ExtraBold" w:eastAsia="Nunito ExtraBold" w:hAnsi="Nunito ExtraBold"/>
                <w:color w:val="5E5E60"/>
                <w:spacing w:val="12"/>
                <w:sz w:val="14"/>
                <w:szCs w:val="14"/>
              </w:rPr>
              <w:t xml:space="preserve">MEDICAÇÃO ATUAL</w:t>
            </w:r>
          </w:p>
          <w:tbl>
            <w:tblPr>
              <w:tblW w:type="dxa" w:w="10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06"/>
            </w:tblGrid>
            <w:tr>
              <w:tc>
                <w:tcPr>
                  <w:tcW w:type="dxa" w:w="10006"/>
                  <w:tcBorders>
                    <w:top w:val="none" w:color="FFFFFF" w:sz="0"/>
                    <w:left w:val="none" w:color="FFFFFF" w:sz="0"/>
                    <w:bottom w:val="dashed" w:color="E9B6D2" w:sz="6"/>
                    <w:right w:val="none" w:color="FFFFFF" w:sz="0"/>
                  </w:tcBorders>
                  <w:shd w:fill="FDF2F8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 w:line="276" w:lineRule="auto"/>
                  </w:pPr>
                  <w:r>
                    <w:rPr>
                      <w:rFonts w:ascii="Nunito" w:cs="Nunito" w:eastAsia="Nunito" w:hAnsi="Nunito"/>
                      <w:color w:val="A9A9AD"/>
                      <w:sz w:val="21"/>
                      <w:szCs w:val="21"/>
                    </w:rPr>
                    <w:t xml:space="preserve">Medicamento, dose e posologia (ex.: budesonida 200 mcg 12/12 h)</w:t>
                  </w:r>
                </w:p>
              </w:tc>
            </w:tr>
          </w:tbl>
          <w:p/>
        </w:tc>
      </w:tr>
    </w:tbl>
    <w:p>
      <w:pPr>
        <w:spacing w:after="80" w:before="120" w:line="276" w:lineRule="auto"/>
      </w:pPr>
      <w:r>
        <w:rPr>
          <w:rFonts w:ascii="Nunito ExtraBold" w:cs="Nunito ExtraBold" w:eastAsia="Nunito ExtraBold" w:hAnsi="Nunito ExtraBold"/>
          <w:color w:val="00A5E0"/>
          <w:spacing w:val="40"/>
          <w:sz w:val="16"/>
          <w:szCs w:val="16"/>
        </w:rPr>
        <w:t xml:space="preserve">RESULTADO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2"/>
        <w:gridCol w:w="7144"/>
      </w:tblGrid>
      <w:tr>
        <w:tc>
          <w:tcPr>
            <w:tcW w:type="dxa" w:w="3062"/>
            <w:tcBorders>
              <w:top w:val="single" w:color="E3ECF3" w:sz="6"/>
              <w:left w:val="single" w:color="E3ECF3" w:sz="6"/>
              <w:bottom w:val="single" w:color="E3ECF3" w:sz="6"/>
              <w:right w:val="none" w:color="FFFFFF" w:sz="0"/>
            </w:tcBorders>
            <w:shd w:fill="FDF2F8" w:color="auto" w:val="clear"/>
            <w:tcMar>
              <w:top w:type="dxa" w:w="160"/>
              <w:left w:type="dxa" w:w="240"/>
              <w:bottom w:type="dxa" w:w="160"/>
              <w:right w:type="dxa" w:w="120"/>
            </w:tcMar>
            <w:vAlign w:val="center"/>
          </w:tcPr>
          <w:p>
            <w:pPr>
              <w:spacing w:after="40" w:before="0" w:line="276" w:lineRule="auto"/>
            </w:pPr>
            <w:r>
              <w:rPr>
                <w:rFonts w:ascii="Nunito ExtraBold" w:cs="Nunito ExtraBold" w:eastAsia="Nunito ExtraBold" w:hAnsi="Nunito ExtraBold"/>
                <w:color w:val="5E5E60"/>
                <w:spacing w:val="12"/>
                <w:sz w:val="14"/>
                <w:szCs w:val="14"/>
              </w:rPr>
              <w:t xml:space="preserve">VALOR DE FENO</w:t>
            </w:r>
          </w:p>
          <w:p>
            <w:pPr>
              <w:spacing w:after="0" w:before="0" w:line="240" w:lineRule="auto"/>
            </w:pPr>
            <w:r>
              <w:rPr>
                <w:rFonts w:ascii="Nunito Black" w:cs="Nunito Black" w:eastAsia="Nunito Black" w:hAnsi="Nunito Black"/>
                <w:color w:val="A9A9AD"/>
                <w:sz w:val="80"/>
                <w:szCs w:val="80"/>
              </w:rPr>
              <w:t xml:space="preserve">00</w:t>
            </w:r>
            <w:r>
              <w:rPr>
                <w:rFonts w:ascii="Nunito ExtraBold" w:cs="Nunito ExtraBold" w:eastAsia="Nunito ExtraBold" w:hAnsi="Nunito ExtraBold"/>
                <w:color w:val="123B63"/>
                <w:sz w:val="26"/>
                <w:szCs w:val="26"/>
              </w:rPr>
              <w:t xml:space="preserve">  ppb</w:t>
            </w:r>
          </w:p>
        </w:tc>
        <w:tc>
          <w:tcPr>
            <w:tcW w:type="dxa" w:w="7144"/>
            <w:tcBorders>
              <w:top w:val="single" w:color="E3ECF3" w:sz="6"/>
              <w:left w:val="none" w:color="FFFFFF" w:sz="0"/>
              <w:bottom w:val="single" w:color="E3ECF3" w:sz="6"/>
              <w:right w:val="single" w:color="E3ECF3" w:sz="6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tbl>
            <w:tblPr>
              <w:tblW w:type="dxa" w:w="6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84"/>
              <w:gridCol w:w="1540"/>
              <w:gridCol w:w="1540"/>
              <w:gridCol w:w="1540"/>
            </w:tblGrid>
            <w:tr>
              <w:tc>
                <w:tcPr>
                  <w:tcW w:type="dxa" w:w="2084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</w:pPr>
                  <w:r>
                    <w:rPr>
                      <w:rFonts w:ascii="Nunito ExtraBold" w:cs="Nunito ExtraBold" w:eastAsia="Nunito ExtraBold" w:hAnsi="Nunito ExtraBold"/>
                      <w:color w:val="5E5E60"/>
                      <w:spacing w:val="10"/>
                      <w:sz w:val="13"/>
                      <w:szCs w:val="13"/>
                    </w:rPr>
                    <w:t xml:space="preserve">REFERÊNCIA (ATS 2011)</w:t>
                  </w:r>
                </w:p>
              </w:tc>
              <w:tc>
                <w:tcPr>
                  <w:tcW w:type="dxa" w:w="1540"/>
                  <w:shd w:fill="7FB32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 ExtraBold" w:cs="Nunito ExtraBold" w:eastAsia="Nunito ExtraBold" w:hAnsi="Nunito ExtraBold"/>
                      <w:color w:val="FFFFFF"/>
                      <w:sz w:val="16"/>
                      <w:szCs w:val="16"/>
                    </w:rPr>
                    <w:t xml:space="preserve">Baixo</w:t>
                  </w:r>
                </w:p>
              </w:tc>
              <w:tc>
                <w:tcPr>
                  <w:tcW w:type="dxa" w:w="1540"/>
                  <w:shd w:fill="00A5E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 ExtraBold" w:cs="Nunito ExtraBold" w:eastAsia="Nunito ExtraBold" w:hAnsi="Nunito ExtraBold"/>
                      <w:color w:val="FFFFFF"/>
                      <w:sz w:val="16"/>
                      <w:szCs w:val="16"/>
                    </w:rPr>
                    <w:t xml:space="preserve">Intermediário</w:t>
                  </w:r>
                </w:p>
              </w:tc>
              <w:tc>
                <w:tcPr>
                  <w:tcW w:type="dxa" w:w="1540"/>
                  <w:shd w:fill="EC268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 ExtraBold" w:cs="Nunito ExtraBold" w:eastAsia="Nunito ExtraBold" w:hAnsi="Nunito ExtraBold"/>
                      <w:color w:val="FFFFFF"/>
                      <w:sz w:val="16"/>
                      <w:szCs w:val="16"/>
                    </w:rPr>
                    <w:t xml:space="preserve">Elevado</w:t>
                  </w:r>
                </w:p>
              </w:tc>
            </w:tr>
            <w:tr>
              <w:tc>
                <w:tcPr>
                  <w:tcW w:type="dxa" w:w="2084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left"/>
                  </w:pPr>
                  <w:r>
                    <w:rPr>
                      <w:rFonts w:ascii="Nunito ExtraBold" w:cs="Nunito ExtraBold" w:eastAsia="Nunito ExtraBold" w:hAnsi="Nunito ExtraBold"/>
                      <w:color w:val="123B63"/>
                      <w:sz w:val="17"/>
                      <w:szCs w:val="17"/>
                    </w:rPr>
                    <w:t xml:space="preserve">Crianças &lt; 12 anos</w:t>
                  </w:r>
                </w:p>
              </w:tc>
              <w:tc>
                <w:tcPr>
                  <w:tcW w:type="dxa" w:w="1540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" w:cs="Nunito" w:eastAsia="Nunito" w:hAnsi="Nunito"/>
                      <w:color w:val="4D4D4F"/>
                      <w:sz w:val="17"/>
                      <w:szCs w:val="17"/>
                    </w:rPr>
                    <w:t xml:space="preserve">&lt; 20 ppb</w:t>
                  </w:r>
                </w:p>
              </w:tc>
              <w:tc>
                <w:tcPr>
                  <w:tcW w:type="dxa" w:w="1540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" w:cs="Nunito" w:eastAsia="Nunito" w:hAnsi="Nunito"/>
                      <w:color w:val="4D4D4F"/>
                      <w:sz w:val="17"/>
                      <w:szCs w:val="17"/>
                    </w:rPr>
                    <w:t xml:space="preserve">20–35 ppb</w:t>
                  </w:r>
                </w:p>
              </w:tc>
              <w:tc>
                <w:tcPr>
                  <w:tcW w:type="dxa" w:w="1540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" w:cs="Nunito" w:eastAsia="Nunito" w:hAnsi="Nunito"/>
                      <w:color w:val="4D4D4F"/>
                      <w:sz w:val="17"/>
                      <w:szCs w:val="17"/>
                    </w:rPr>
                    <w:t xml:space="preserve">&gt; 35 ppb</w:t>
                  </w:r>
                </w:p>
              </w:tc>
            </w:tr>
            <w:tr>
              <w:tc>
                <w:tcPr>
                  <w:tcW w:type="dxa" w:w="2084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left"/>
                  </w:pPr>
                  <w:r>
                    <w:rPr>
                      <w:rFonts w:ascii="Nunito ExtraBold" w:cs="Nunito ExtraBold" w:eastAsia="Nunito ExtraBold" w:hAnsi="Nunito ExtraBold"/>
                      <w:color w:val="123B63"/>
                      <w:sz w:val="17"/>
                      <w:szCs w:val="17"/>
                    </w:rPr>
                    <w:t xml:space="preserve">≥ 12 anos e adultos</w:t>
                  </w:r>
                </w:p>
              </w:tc>
              <w:tc>
                <w:tcPr>
                  <w:tcW w:type="dxa" w:w="1540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" w:cs="Nunito" w:eastAsia="Nunito" w:hAnsi="Nunito"/>
                      <w:color w:val="4D4D4F"/>
                      <w:sz w:val="17"/>
                      <w:szCs w:val="17"/>
                    </w:rPr>
                    <w:t xml:space="preserve">&lt; 25 ppb</w:t>
                  </w:r>
                </w:p>
              </w:tc>
              <w:tc>
                <w:tcPr>
                  <w:tcW w:type="dxa" w:w="1540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" w:cs="Nunito" w:eastAsia="Nunito" w:hAnsi="Nunito"/>
                      <w:color w:val="4D4D4F"/>
                      <w:sz w:val="17"/>
                      <w:szCs w:val="17"/>
                    </w:rPr>
                    <w:t xml:space="preserve">25–50 ppb</w:t>
                  </w:r>
                </w:p>
              </w:tc>
              <w:tc>
                <w:tcPr>
                  <w:tcW w:type="dxa" w:w="1540"/>
                  <w:tcBorders>
                    <w:top w:val="none" w:color="FFFFFF" w:sz="0"/>
                    <w:left w:val="none" w:color="FFFFFF" w:sz="0"/>
                    <w:bottom w:val="single" w:color="E3ECF3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Nunito" w:cs="Nunito" w:eastAsia="Nunito" w:hAnsi="Nunito"/>
                      <w:color w:val="4D4D4F"/>
                      <w:sz w:val="17"/>
                      <w:szCs w:val="17"/>
                    </w:rPr>
                    <w:t xml:space="preserve">&gt; 50 ppb</w:t>
                  </w:r>
                </w:p>
              </w:tc>
            </w:tr>
          </w:tbl>
          <w:p/>
        </w:tc>
      </w:tr>
    </w:tbl>
    <w:p>
      <w:pPr>
        <w:spacing w:after="80" w:before="140" w:line="276" w:lineRule="auto"/>
      </w:pPr>
      <w:r>
        <w:rPr>
          <w:rFonts w:ascii="Nunito ExtraBold" w:cs="Nunito ExtraBold" w:eastAsia="Nunito ExtraBold" w:hAnsi="Nunito ExtraBold"/>
          <w:color w:val="00A5E0"/>
          <w:spacing w:val="40"/>
          <w:sz w:val="16"/>
          <w:szCs w:val="16"/>
        </w:rPr>
        <w:t xml:space="preserve">CLASSIFICAÇÃO E INTERPRETAÇÃO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E3ECF3" w:sz="6"/>
              <w:left w:val="single" w:color="E3ECF3" w:sz="6"/>
              <w:bottom w:val="single" w:color="E3ECF3" w:sz="6"/>
              <w:right w:val="single" w:color="E3ECF3" w:sz="6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110" w:before="0" w:line="280" w:lineRule="auto"/>
              <w:ind w:left="360" w:hanging="360"/>
            </w:pPr>
            <w:r>
              <w:rPr>
                <w:rFonts w:ascii="Segoe UI Symbol" w:cs="Segoe UI Symbol" w:eastAsia="Segoe UI Symbol" w:hAnsi="Segoe UI Symbol"/>
                <w:color w:val="123B63"/>
                <w:sz w:val="22"/>
                <w:szCs w:val="22"/>
              </w:rPr>
              <w:t xml:space="preserve">☐</w:t>
            </w:r>
            <w:r>
              <w:rPr>
                <w:rFonts w:ascii="Nunito" w:cs="Nunito" w:eastAsia="Nunito" w:hAnsi="Nunito"/>
                <w:color w:val="4D4D4F"/>
                <w:sz w:val="20"/>
                <w:szCs w:val="20"/>
              </w:rPr>
              <w:t xml:space="preserve">  </w:t>
            </w:r>
            <w:r>
              <w:rPr>
                <w:rFonts w:ascii="Nunito ExtraBold" w:cs="Nunito ExtraBold" w:eastAsia="Nunito ExtraBold" w:hAnsi="Nunito ExtraBold"/>
                <w:color w:val="7FB32A"/>
                <w:sz w:val="19"/>
                <w:szCs w:val="19"/>
              </w:rPr>
              <w:t xml:space="preserve">FeNO baixo. </w:t>
            </w:r>
            <w:r>
              <w:rPr>
                <w:rFonts w:ascii="Nunito" w:cs="Nunito" w:eastAsia="Nunito" w:hAnsi="Nunito"/>
                <w:color w:val="4D4D4F"/>
                <w:sz w:val="19"/>
                <w:szCs w:val="19"/>
              </w:rPr>
              <w:t xml:space="preserve">Inflamação eosinofílica (tipo 2) das vias aéreas pouco provável; menor probabilidade de resposta a corticosteroide inalatório.</w:t>
            </w:r>
          </w:p>
          <w:p>
            <w:pPr>
              <w:spacing w:after="110" w:before="0" w:line="280" w:lineRule="auto"/>
              <w:ind w:left="360" w:hanging="360"/>
            </w:pPr>
            <w:r>
              <w:rPr>
                <w:rFonts w:ascii="Segoe UI Symbol" w:cs="Segoe UI Symbol" w:eastAsia="Segoe UI Symbol" w:hAnsi="Segoe UI Symbol"/>
                <w:color w:val="123B63"/>
                <w:sz w:val="22"/>
                <w:szCs w:val="22"/>
              </w:rPr>
              <w:t xml:space="preserve">☐</w:t>
            </w:r>
            <w:r>
              <w:rPr>
                <w:rFonts w:ascii="Nunito" w:cs="Nunito" w:eastAsia="Nunito" w:hAnsi="Nunito"/>
                <w:color w:val="4D4D4F"/>
                <w:sz w:val="20"/>
                <w:szCs w:val="20"/>
              </w:rPr>
              <w:t xml:space="preserve">  </w:t>
            </w:r>
            <w:r>
              <w:rPr>
                <w:rFonts w:ascii="Nunito ExtraBold" w:cs="Nunito ExtraBold" w:eastAsia="Nunito ExtraBold" w:hAnsi="Nunito ExtraBold"/>
                <w:color w:val="00A5E0"/>
                <w:sz w:val="19"/>
                <w:szCs w:val="19"/>
              </w:rPr>
              <w:t xml:space="preserve">FeNO intermediário. </w:t>
            </w:r>
            <w:r>
              <w:rPr>
                <w:rFonts w:ascii="Nunito" w:cs="Nunito" w:eastAsia="Nunito" w:hAnsi="Nunito"/>
                <w:color w:val="4D4D4F"/>
                <w:sz w:val="19"/>
                <w:szCs w:val="19"/>
              </w:rPr>
              <w:t xml:space="preserve">Interpretar com cautela, considerando o contexto clínico, a exposição a alérgenos, a adesão e a técnica inalatória.</w:t>
            </w:r>
          </w:p>
          <w:p>
            <w:pPr>
              <w:spacing w:after="110" w:before="0" w:line="280" w:lineRule="auto"/>
              <w:ind w:left="360" w:hanging="360"/>
            </w:pPr>
            <w:r>
              <w:rPr>
                <w:rFonts w:ascii="Segoe UI Symbol" w:cs="Segoe UI Symbol" w:eastAsia="Segoe UI Symbol" w:hAnsi="Segoe UI Symbol"/>
                <w:color w:val="123B63"/>
                <w:sz w:val="22"/>
                <w:szCs w:val="22"/>
              </w:rPr>
              <w:t xml:space="preserve">☐</w:t>
            </w:r>
            <w:r>
              <w:rPr>
                <w:rFonts w:ascii="Nunito" w:cs="Nunito" w:eastAsia="Nunito" w:hAnsi="Nunito"/>
                <w:color w:val="4D4D4F"/>
                <w:sz w:val="20"/>
                <w:szCs w:val="20"/>
              </w:rPr>
              <w:t xml:space="preserve">  </w:t>
            </w:r>
            <w:r>
              <w:rPr>
                <w:rFonts w:ascii="Nunito ExtraBold" w:cs="Nunito ExtraBold" w:eastAsia="Nunito ExtraBold" w:hAnsi="Nunito ExtraBold"/>
                <w:color w:val="EC268F"/>
                <w:sz w:val="19"/>
                <w:szCs w:val="19"/>
              </w:rPr>
              <w:t xml:space="preserve">FeNO elevado. </w:t>
            </w:r>
            <w:r>
              <w:rPr>
                <w:rFonts w:ascii="Nunito" w:cs="Nunito" w:eastAsia="Nunito" w:hAnsi="Nunito"/>
                <w:color w:val="4D4D4F"/>
                <w:sz w:val="19"/>
                <w:szCs w:val="19"/>
              </w:rPr>
              <w:t xml:space="preserve">Sugere inflamação eosinofílica (tipo 2) das vias aéreas, com provável resposta a corticosteroide inalatório. Em uso de corticosteroide, considerar adesão, técnica inalatória e exposição a alérgenos.</w:t>
            </w:r>
          </w:p>
        </w:tc>
      </w:tr>
    </w:tbl>
    <w:p>
      <w:pPr>
        <w:spacing w:after="80" w:before="140" w:line="276" w:lineRule="auto"/>
      </w:pPr>
      <w:r>
        <w:rPr>
          <w:rFonts w:ascii="Nunito ExtraBold" w:cs="Nunito ExtraBold" w:eastAsia="Nunito ExtraBold" w:hAnsi="Nunito ExtraBold"/>
          <w:color w:val="00A5E0"/>
          <w:spacing w:val="40"/>
          <w:sz w:val="16"/>
          <w:szCs w:val="16"/>
        </w:rPr>
        <w:t xml:space="preserve">OBSERVAÇÕES / CONDUTA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E3ECF3" w:sz="6"/>
              <w:left w:val="single" w:color="E3ECF3" w:sz="6"/>
              <w:bottom w:val="single" w:color="E3ECF3" w:sz="6"/>
              <w:right w:val="single" w:color="E3ECF3" w:sz="6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360" w:before="0" w:line="276" w:lineRule="auto"/>
            </w:pPr>
            <w:r>
              <w:rPr>
                <w:rFonts w:ascii="Nunito" w:cs="Nunito" w:eastAsia="Nunito" w:hAnsi="Nunito"/>
                <w:color w:val="A9A9AD"/>
                <w:sz w:val="19"/>
                <w:szCs w:val="19"/>
              </w:rPr>
              <w:t xml:space="preserve">Correlação clínica, adesão, técnica inalatória, ajuste de tratamento…</w:t>
            </w:r>
          </w:p>
        </w:tc>
      </w:tr>
    </w:tbl>
    <w:p>
      <w:pPr>
        <w:spacing w:after="120" w:before="0" w:line="276" w:lineRule="auto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Nunito ExtraBold" w:cs="Nunito ExtraBold" w:eastAsia="Nunito ExtraBold" w:hAnsi="Nunito ExtraBold"/>
                <w:color w:val="00A5E0"/>
                <w:spacing w:val="40"/>
                <w:sz w:val="16"/>
                <w:szCs w:val="16"/>
              </w:rPr>
              <w:t xml:space="preserve">MÉTODO</w:t>
            </w:r>
          </w:p>
          <w:p>
            <w:pPr>
              <w:spacing w:after="0" w:before="0" w:line="264" w:lineRule="auto"/>
            </w:pPr>
            <w:r>
              <w:rPr>
                <w:rFonts w:ascii="Nunito" w:cs="Nunito" w:eastAsia="Nunito" w:hAnsi="Nunito"/>
                <w:color w:val="5E5E60"/>
                <w:sz w:val="16"/>
                <w:szCs w:val="16"/>
              </w:rPr>
              <w:t xml:space="preserve">Medida on-line em analisador </w:t>
            </w:r>
            <w:r>
              <w:rPr>
                <w:rFonts w:ascii="Nunito ExtraBold" w:cs="Nunito ExtraBold" w:eastAsia="Nunito ExtraBold" w:hAnsi="Nunito ExtraBold"/>
                <w:color w:val="123B63"/>
                <w:sz w:val="16"/>
                <w:szCs w:val="16"/>
              </w:rPr>
              <w:t xml:space="preserve">NIOX VERO®</w:t>
            </w:r>
            <w:r>
              <w:rPr>
                <w:rFonts w:ascii="Nunito" w:cs="Nunito" w:eastAsia="Nunito" w:hAnsi="Nunito"/>
                <w:color w:val="5E5E60"/>
                <w:sz w:val="16"/>
                <w:szCs w:val="16"/>
              </w:rPr>
              <w:t xml:space="preserve">, fluxo expiratório de 50 mL/s, conforme recomendações ATS/ERS (2005). Valores de referência e interpretação segundo a diretriz da American Thoracic Society (Dweik et al., 2011). O exame deve ser interpretado em conjunto com a história clínica, o exame físico e a espirometria.</w:t>
            </w:r>
          </w:p>
        </w:tc>
      </w:tr>
    </w:tbl>
    <w:p>
      <w:pPr>
        <w:spacing w:after="160" w:before="0" w:line="276" w:lineRule="auto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Nunito" w:cs="Nunito" w:eastAsia="Nunito" w:hAnsi="Nunito"/>
                <w:color w:val="5E5E60"/>
                <w:sz w:val="19"/>
                <w:szCs w:val="19"/>
              </w:rPr>
              <w:t xml:space="preserve">Juiz de Fora/MG, </w:t>
            </w:r>
            <w:r>
              <w:rPr>
                <w:rFonts w:ascii="Nunito" w:cs="Nunito" w:eastAsia="Nunito" w:hAnsi="Nunito"/>
                <w:color w:val="A9A9AD"/>
                <w:sz w:val="19"/>
                <w:szCs w:val="19"/>
              </w:rPr>
              <w:t xml:space="preserve">____ de ____________ de 20___</w:t>
            </w:r>
          </w:p>
        </w:tc>
        <w:tc>
          <w:tcPr>
            <w:tcW w:type="dxa" w:w="5103"/>
            <w:tcMar>
              <w:top w:type="dxa" w:w="0"/>
              <w:left w:type="dxa" w:w="40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123B63" w:sz="10" w:space="4"/>
              </w:pBdr>
              <w:spacing w:after="80" w:before="0" w:line="276" w:lineRule="auto"/>
            </w:pPr>
          </w:p>
          <w:p>
            <w:pPr>
              <w:spacing w:after="0" w:before="0" w:line="276" w:lineRule="auto"/>
              <w:jc w:val="center"/>
            </w:pPr>
            <w:r>
              <w:rPr>
                <w:rFonts w:ascii="Nunito Black" w:cs="Nunito Black" w:eastAsia="Nunito Black" w:hAnsi="Nunito Black"/>
                <w:color w:val="123B63"/>
                <w:sz w:val="21"/>
                <w:szCs w:val="21"/>
              </w:rPr>
              <w:t xml:space="preserve">Dr. Henrique Binato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Nunito" w:cs="Nunito" w:eastAsia="Nunito" w:hAnsi="Nunito"/>
                <w:color w:val="5E5E60"/>
                <w:sz w:val="16"/>
                <w:szCs w:val="16"/>
              </w:rPr>
              <w:t xml:space="preserve">Pediatra · Pneumologia Pediátrica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Nunito" w:cs="Nunito" w:eastAsia="Nunito" w:hAnsi="Nunito"/>
                <w:color w:val="5E5E60"/>
                <w:sz w:val="16"/>
                <w:szCs w:val="16"/>
              </w:rPr>
              <w:t xml:space="preserve">CRM/MG 47998 · RQE 26608 / 26609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50" w:right="850" w:bottom="850" w:left="850" w:header="52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charset w:val="00"/>
    <w:family w:val="auto"/>
    <w:pitch w:val="variable"/>
    <w:sig w:usb0="E0002AFF" w:usb1="C000247B" w:usb2="00000009" w:usb3="00000000" w:csb0="000001FF" w:csb1="00000000"/>
    <w:embedRegular r:id="rId1" w:fontKey="{3077546f-9b9f-81a2-9b87-5920cb4028e0}"/>
  </w:font>
  <w:font w:name="Nunito ExtraBold">
    <w:charset w:val="00"/>
    <w:family w:val="auto"/>
    <w:pitch w:val="variable"/>
    <w:sig w:usb0="E0002AFF" w:usb1="C000247B" w:usb2="00000009" w:usb3="00000000" w:csb0="000001FF" w:csb1="00000000"/>
    <w:embedRegular r:id="rId2" w:fontKey="{ead80aa7-c522-1d3e-4c0f-99b43e56b21c}"/>
  </w:font>
  <w:font w:name="Nunito Black">
    <w:charset w:val="00"/>
    <w:family w:val="auto"/>
    <w:pitch w:val="variable"/>
    <w:sig w:usb0="E0002AFF" w:usb1="C000247B" w:usb2="00000009" w:usb3="00000000" w:csb0="000001FF" w:csb1="00000000"/>
    <w:embedRegular r:id="rId3" w:fontKey="{818f7bad-b654-14bb-63d4-8ea4094daff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 w:lineRule="auto"/>
    </w:pPr>
    <w:r>
      <w:rPr>
        <w:rFonts w:ascii="Nunito" w:cs="Nunito" w:eastAsia="Nunito" w:hAnsi="Nunito"/>
        <w:color w:val="5E5E60"/>
        <w:sz w:val="15"/>
        <w:szCs w:val="15"/>
      </w:rPr>
      <w:t xml:space="preserve">Dr. Henrique Binato · Pediatra especialista no pulmão da criança</w:t>
    </w:r>
    <w:r>
      <w:rPr>
        <w:rFonts w:ascii="Nunito ExtraBold" w:cs="Nunito ExtraBold" w:eastAsia="Nunito ExtraBold" w:hAnsi="Nunito ExtraBold"/>
        <w:color w:val="00A5E0"/>
        <w:sz w:val="15"/>
        <w:szCs w:val="15"/>
      </w:rPr>
      <w:tab/>
      <w:t xml:space="preserve">@drbinatopneumoped</w:t>
    </w:r>
  </w:p>
  <w:p>
    <w:pPr>
      <w:spacing w:after="0" w:before="0" w:line="276" w:lineRule="auto"/>
    </w:pPr>
    <w:r>
      <w:drawing>
        <wp:anchor distT="0" distB="0" distL="0" distR="0" simplePos="0" allowOverlap="1" behindDoc="0" locked="0" layoutInCell="1" relativeHeight="66675">
          <wp:simplePos x="0" y="0"/>
          <wp:positionH relativeFrom="page">
            <wp:posOffset>0</wp:posOffset>
          </wp:positionH>
          <wp:positionV relativeFrom="page">
            <wp:posOffset>10625325</wp:posOffset>
          </wp:positionV>
          <wp:extent cx="7562850" cy="666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 w:lineRule="auto"/>
    </w:pPr>
    <w:r>
      <w:drawing>
        <wp:anchor distT="0" distB="0" distL="0" distR="0" simplePos="0" allowOverlap="1" behindDoc="0" locked="0" layoutInCell="1" relativeHeight="666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66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123"/>
      <w:gridCol w:w="4082"/>
    </w:tblGrid>
    <w:tr>
      <w:tc>
        <w:tcPr>
          <w:tcW w:type="dxa" w:w="6123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76" w:lineRule="auto"/>
          </w:pPr>
          <w:r>
            <w:drawing>
              <wp:inline distT="0" distB="0" distL="0" distR="0">
                <wp:extent cx="2705100" cy="542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05100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082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76" w:lineRule="auto"/>
            <w:jc w:val="right"/>
          </w:pPr>
          <w:r>
            <w:rPr>
              <w:rFonts w:ascii="Nunito ExtraBold" w:cs="Nunito ExtraBold" w:eastAsia="Nunito ExtraBold" w:hAnsi="Nunito ExtraBold"/>
              <w:color w:val="123B63"/>
              <w:sz w:val="18"/>
              <w:szCs w:val="18"/>
            </w:rPr>
            <w:t xml:space="preserve">Laudo de exame</w:t>
          </w:r>
        </w:p>
        <w:p>
          <w:pPr>
            <w:spacing w:after="0" w:before="0" w:line="276" w:lineRule="auto"/>
            <w:jc w:val="right"/>
          </w:pPr>
          <w:r>
            <w:rPr>
              <w:rFonts w:ascii="Nunito" w:cs="Nunito" w:eastAsia="Nunito" w:hAnsi="Nunito"/>
              <w:color w:val="5E5E60"/>
              <w:sz w:val="16"/>
              <w:szCs w:val="16"/>
            </w:rPr>
            <w:t xml:space="preserve">Medida da fração exalada</w:t>
          </w:r>
        </w:p>
        <w:p>
          <w:pPr>
            <w:spacing w:after="0" w:before="0" w:line="276" w:lineRule="auto"/>
            <w:jc w:val="right"/>
          </w:pPr>
          <w:r>
            <w:rPr>
              <w:rFonts w:ascii="Nunito" w:cs="Nunito" w:eastAsia="Nunito" w:hAnsi="Nunito"/>
              <w:color w:val="5E5E60"/>
              <w:sz w:val="16"/>
              <w:szCs w:val="16"/>
            </w:rPr>
            <w:t xml:space="preserve">de óxido nítrico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4D4D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895e06643f5da68d8d77dd90595396f8cc01d9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895e06643f5da68d8d77dd90595396f8cc01d99.png"/><Relationship Id="rId1" Type="http://schemas.openxmlformats.org/officeDocument/2006/relationships/image" Target="media/34d669ca7adae7cc8c2d3cb6730c4336bfdd3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de FeNO</dc:title>
  <dc:creator>Dr. Henrique Binato</dc:creator>
  <cp:lastModifiedBy>Un-named</cp:lastModifiedBy>
  <cp:revision>1</cp:revision>
  <dcterms:created xsi:type="dcterms:W3CDTF">2026-10-26T21:03:54.468Z</dcterms:created>
  <dcterms:modified xsi:type="dcterms:W3CDTF">2026-10-26T21:03:54.469Z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