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140" w:after="40"/>
        <w:rPr/>
      </w:pPr>
      <w:r>
        <w:rPr>
          <w:b w:val="false"/>
          <w:color w:val="1155CC"/>
          <w:sz w:val="23"/>
        </w:rPr>
        <w:t>Questoes 1, 2 e 3 estão na imagem.</w:t>
      </w:r>
    </w:p>
    <w:p>
      <w:pPr>
        <w:pStyle w:val="Normal"/>
        <w:keepNext w:val="true"/>
        <w:spacing w:before="140" w:after="40"/>
        <w:rPr/>
      </w:pPr>
      <w:r>
        <w:rPr>
          <w:b w:val="false"/>
          <w:color w:val="000000"/>
          <w:sz w:val="23"/>
        </w:rPr>
        <w:t>4) Uma consulta SubBytes usa o byte 53 e a tabela retorna ED. Qual linha e coluna são consultadas? Por que isso não é XOR com a chave?</w:t>
      </w:r>
    </w:p>
    <w:p>
      <w:pPr>
        <w:pStyle w:val="Normal"/>
        <w:spacing w:lineRule="auto" w:line="252" w:before="0" w:after="80"/>
        <w:rPr/>
      </w:pPr>
      <w:r>
        <w:rPr>
          <w:b w:val="false"/>
          <w:color w:val="1155CC"/>
          <w:sz w:val="23"/>
        </w:rPr>
        <w:t>Na S-box hexadecimal, o primeiro dígito escolhe a linha e o segundo escolhe a coluna. Assim, 53 consulta a linha 5 e a coluna 3, retornando ED. Isso não é XOR com a chave porque SubBytes aplica uma tabela pública, fixa e não linear a cada byte, sem receber a subchave. O XOR com a subchave ocorre em outra etapa, AddRoundKey, que combina bytes correspondentes do estado e da subchave.</w:t>
      </w:r>
    </w:p>
    <w:p>
      <w:pPr>
        <w:pStyle w:val="Normal"/>
        <w:keepNext w:val="true"/>
        <w:spacing w:before="140" w:after="40"/>
        <w:rPr/>
      </w:pPr>
      <w:r>
        <w:rPr>
          <w:b w:val="false"/>
          <w:color w:val="000000"/>
          <w:sz w:val="23"/>
        </w:rPr>
        <w:t>5) Calcule xtime(80) e xtime(1B). Compare o primeiro resultado com simplesmente descartar o nono bit.</w:t>
      </w:r>
    </w:p>
    <w:p>
      <w:pPr>
        <w:pStyle w:val="Normal"/>
        <w:spacing w:lineRule="auto" w:line="252" w:before="0" w:after="100"/>
        <w:rPr/>
      </w:pPr>
      <w:r>
        <w:rPr>
          <w:b w:val="false"/>
          <w:color w:val="1155CC"/>
          <w:sz w:val="23"/>
        </w:rPr>
        <w:t>xtime(80): 80 = 1000 0000. O deslocamento produz 1 0000 0000 = 100 em nove bits.</w:t>
        <w:br/>
        <w:t>Como o bit mais alto original era 1, é necessário reduzir: 100 ⊕ 11B = 01B. Portanto, xtime(80) = 1B.</w:t>
        <w:br/>
        <w:t>xtime(1B): 1B = 0001 1011. O bit mais alto é 0, então basta deslocar: 0011 0110 = 36.</w:t>
        <w:br/>
        <w:t>Se o nono bit de xtime(80) fosse apenas descartado, o resultado seria 00, que está errado. A redução acrescenta por XOR os termos representados por 1B e preserva a equivalência no corpo finito do AES.</w:t>
      </w:r>
    </w:p>
    <w:p>
      <w:pPr>
        <w:pStyle w:val="Normal"/>
        <w:keepNext w:val="true"/>
        <w:spacing w:before="140" w:after="40"/>
        <w:rPr/>
      </w:pPr>
      <w:r>
        <w:rPr>
          <w:b w:val="false"/>
          <w:color w:val="000000"/>
          <w:sz w:val="23"/>
        </w:rPr>
        <w:t>6) Calcule 57 · 03 e 57 · 13 no corpo do AES, mostrando as parcelas.</w:t>
      </w:r>
    </w:p>
    <w:p>
      <w:pPr>
        <w:pStyle w:val="Normal"/>
        <w:spacing w:lineRule="auto" w:line="252" w:before="0" w:after="100"/>
        <w:rPr/>
      </w:pPr>
      <w:r>
        <w:rPr>
          <w:b w:val="false"/>
          <w:color w:val="1155CC"/>
          <w:sz w:val="23"/>
        </w:rPr>
        <w:t>Como 03 = 02 ⊕ 01, temos:</w:t>
        <w:br/>
        <w:t>57 · 03 = (57 · 02) ⊕ 57 = AE ⊕ 57 = F9.</w:t>
        <w:br/>
        <w:t>Para 13, cuja forma binária é 0001 0011, são selecionadas as potências x⁴, x¹ e x⁰:</w:t>
        <w:br/>
        <w:t>x⁰·57 = 57;  x¹·57 = AE;  x²·57 = 47;  x³·57 = 8E;  x⁴·57 = 07.</w:t>
        <w:br/>
        <w:t>Logo, 57 · 13 = 07 ⊕ AE ⊕ 57 = A9 ⊕ 57 = FE.</w:t>
      </w:r>
    </w:p>
    <w:p>
      <w:pPr>
        <w:pStyle w:val="Normal"/>
        <w:keepNext w:val="true"/>
        <w:spacing w:before="140" w:after="40"/>
        <w:rPr/>
      </w:pPr>
      <w:r>
        <w:rPr>
          <w:b w:val="false"/>
          <w:color w:val="000000"/>
          <w:sz w:val="23"/>
        </w:rPr>
        <w:t>7) Aplique MixColumns a [01, 00, 00, 00]. O que a resposta ilustra?</w:t>
      </w:r>
    </w:p>
    <w:p>
      <w:pPr>
        <w:pStyle w:val="Normal"/>
        <w:spacing w:lineRule="auto" w:line="252" w:before="0" w:after="100"/>
        <w:rPr/>
      </w:pPr>
      <w:r>
        <w:rPr>
          <w:b w:val="false"/>
          <w:color w:val="1155CC"/>
          <w:sz w:val="23"/>
        </w:rPr>
        <w:t>Multiplicando a matriz fixa do AES pela coluna:</w:t>
        <w:br/>
        <w:t>b₀ = 02·01 ⊕ 03·00 ⊕ 01·00 ⊕ 01·00 = 02</w:t>
        <w:br/>
        <w:t>b₁ = 01·01 ⊕ 02·00 ⊕ 03·00 ⊕ 01·00 = 01</w:t>
        <w:br/>
        <w:t>b₂ = 01·01 ⊕ 01·00 ⊕ 02·00 ⊕ 03·00 = 01</w:t>
        <w:br/>
        <w:t>b₃ = 03·01 ⊕ 01·00 ⊕ 01·00 ⊕ 02·00 = 03</w:t>
        <w:br/>
        <w:t>Portanto, a saída é [02, 01, 01, 03]. Um único byte não nulo influencia os quatro bytes da coluna, ilustrando a difusão produzida por MixColumns dentro dessa coluna.</w:t>
      </w:r>
    </w:p>
    <w:p>
      <w:pPr>
        <w:pStyle w:val="Normal"/>
        <w:keepNext w:val="true"/>
        <w:spacing w:before="140" w:after="40"/>
        <w:rPr/>
      </w:pPr>
      <w:r>
        <w:rPr>
          <w:b w:val="false"/>
          <w:color w:val="000000"/>
          <w:sz w:val="23"/>
        </w:rPr>
        <w:t>8) Explique por que ShiftRows sem MixColumns e MixColumns sem ShiftRows não produzem a mesma difusão que as duas juntas.</w:t>
      </w:r>
    </w:p>
    <w:p>
      <w:pPr>
        <w:pStyle w:val="Normal"/>
        <w:spacing w:lineRule="auto" w:line="252" w:before="0" w:after="80"/>
        <w:rPr/>
      </w:pPr>
      <w:r>
        <w:rPr>
          <w:b w:val="false"/>
          <w:color w:val="1155CC"/>
          <w:sz w:val="23"/>
        </w:rPr>
        <w:t>ShiftRows, sozinho, apenas muda os bytes de posição: nenhum byte passa a depender numericamente de outro. MixColumns, sozinho, combina os quatro bytes de cada coluna, mas as colunas originais continuam isoladas umas das outras. Quando as duas operações são combinadas, ShiftRows leva bytes de colunas diferentes para uma mesma coluna e MixColumns mistura esses bytes. Nas rodadas seguintes, essa alternância espalha a influência de cada byte por todo o estado.</w:t>
      </w:r>
    </w:p>
    <w:p>
      <w:pPr>
        <w:pStyle w:val="Normal"/>
        <w:keepNext w:val="true"/>
        <w:spacing w:before="140" w:after="40"/>
        <w:rPr/>
      </w:pPr>
      <w:r>
        <w:rPr>
          <w:b w:val="false"/>
          <w:color w:val="000000"/>
          <w:sz w:val="23"/>
        </w:rPr>
        <w:t>9) Corrija: ‘A última rodada AES-128 tem MixColumns e não precisa de AddRoundKey porque a chave já entrou no começo’.</w:t>
      </w:r>
    </w:p>
    <w:p>
      <w:pPr>
        <w:pStyle w:val="Normal"/>
        <w:spacing w:lineRule="auto" w:line="252" w:before="0" w:after="80"/>
        <w:rPr/>
      </w:pPr>
      <w:r>
        <w:rPr>
          <w:b w:val="false"/>
          <w:color w:val="1155CC"/>
          <w:sz w:val="23"/>
        </w:rPr>
        <w:t>A afirmação está invertida. A última rodada do AES-128 executa SubBytes, ShiftRows e AddRoundKey, omitindo MixColumns. O AddRoundKey final é indispensável: o uso da subchave inicial não substitui as subchaves das rodadas. No total, o AES-128 realiza um AddRoundKey antes das rodadas e mais um em cada uma das dez rodadas, totalizando onze aplicações.</w:t>
      </w:r>
    </w:p>
    <w:p>
      <w:pPr>
        <w:pStyle w:val="Normal"/>
        <w:keepNext w:val="true"/>
        <w:spacing w:before="140" w:after="40"/>
        <w:rPr/>
      </w:pPr>
      <w:r>
        <w:rPr>
          <w:b w:val="false"/>
          <w:color w:val="000000"/>
          <w:sz w:val="23"/>
        </w:rPr>
        <w:t>10) Uma aplicação afirma que AES-256 garante sua segurança. Liste quatro aspectos que ainda precisam ser especificados e explique um risco.</w:t>
      </w:r>
    </w:p>
    <w:p>
      <w:pPr>
        <w:pStyle w:val="Normal"/>
        <w:spacing w:lineRule="auto" w:line="252" w:before="0" w:after="100"/>
        <w:rPr/>
      </w:pPr>
      <w:r>
        <w:rPr>
          <w:b w:val="false"/>
          <w:color w:val="1155CC"/>
          <w:sz w:val="23"/>
        </w:rPr>
        <w:t>O tamanho da chave, isoladamente, não garante a segurança da aplicação. Ainda é necessário especificar:</w:t>
        <w:br/>
        <w:t>1. o modo ou a construção usada, preferencialmente uma cifração autenticada, como AES-GCM;</w:t>
        <w:br/>
        <w:t>2. a geração e a unicidade do nonce ou vetor de inicialização para cada chave;</w:t>
        <w:br/>
        <w:t>3. a geração, o armazenamento, o controle de acesso e a rotação das chaves;</w:t>
        <w:br/>
        <w:t>4. a verificação da etiqueta de autenticação e o tratamento seguro de falhas antes de aceitar dados.</w:t>
        <w:br/>
        <w:t>Um risco concreto é reutilizar o mesmo nonce com a mesma chave no AES-GCM. Isso repete o fluxo de cifração, pode revelar relações entre os textos claros e ainda facilitar a falsificação de etiquetas. Esse erro quebra as garantias do modo de operação, mesmo sem quebrar o núcleo do AES.</w:t>
      </w:r>
    </w:p>
    <w:p>
      <w:pPr>
        <w:pStyle w:val="Normal"/>
        <w:keepNext w:val="true"/>
        <w:spacing w:before="140" w:after="40"/>
        <w:rPr/>
      </w:pPr>
      <w:r>
        <w:rPr>
          <w:b w:val="false"/>
          <w:color w:val="000000"/>
          <w:sz w:val="23"/>
        </w:rPr>
        <w:t xml:space="preserve">11) </w:t>
      </w:r>
      <w:r>
        <w:rPr>
          <w:b w:val="false"/>
          <w:color w:val="000000"/>
          <w:sz w:val="23"/>
        </w:rPr>
        <w:t>Código na pasta do encontro 07 no GitHub.</w:t>
      </w:r>
      <w:r>
        <w:rPr>
          <w:b w:val="false"/>
          <w:color w:val="1155CC"/>
          <w:sz w:val="23"/>
        </w:rPr>
        <w:t xml:space="preserve"> https://github.com/henriquecarvalhodeandrade/criptografia</w:t>
      </w:r>
    </w:p>
    <w:p>
      <w:pPr>
        <w:pStyle w:val="Normal"/>
        <w:keepNext w:val="true"/>
        <w:spacing w:before="140" w:after="40"/>
        <w:rPr/>
      </w:pPr>
      <w:r>
        <w:rPr>
          <w:b w:val="false"/>
          <w:color w:val="000000"/>
          <w:sz w:val="23"/>
        </w:rPr>
        <w:t>Desafio) Explique como uma falha de reutilização de nonce em AES-GCM pode ser grave sem significar que o núcleo AES foi quebrado.</w:t>
      </w:r>
    </w:p>
    <w:p>
      <w:pPr>
        <w:pStyle w:val="Normal"/>
        <w:spacing w:lineRule="auto" w:line="252" w:before="0" w:after="80"/>
        <w:rPr/>
      </w:pPr>
      <w:r>
        <w:rPr>
          <w:b w:val="false"/>
          <w:color w:val="1155CC"/>
          <w:sz w:val="23"/>
        </w:rPr>
        <w:t>AES-GCM usa o AES dentro de uma construção que também depende da unicidade do nonce. Quando o mesmo nonce é reutilizado com a mesma chave, o modo pode repetir o fluxo usado na cifração e criar relações algébricas entre mensagens e etiquetas. Um atacante pode obter informações sobre os textos claros e, em certas condições, produzir falsificações válidas. A falha está no uso incorreto da construção GCM e no gerenciamento do nonce; a permutação AES continua funcionando conforme especificada e não precisa ter sido criptograficamente quebrada.</w:t>
      </w:r>
    </w:p>
    <w:sectPr>
      <w:headerReference w:type="even" r:id="rId2"/>
      <w:headerReference w:type="default" r:id="rId3"/>
      <w:headerReference w:type="first" r:id="rId4"/>
      <w:type w:val="nextPage"/>
      <w:pgSz w:w="12240" w:h="15840"/>
      <w:pgMar w:left="1440" w:right="1440" w:gutter="0" w:header="425" w:top="1987" w:footer="0" w:bottom="89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rial">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rPr/>
    </w:pPr>
    <w:r>
      <w:rPr/>
    </w:r>
  </w:p>
  <w:tbl>
    <w:tblPr>
      <w:tblW w:w="9360" w:type="dxa"/>
      <w:jc w:val="center"/>
      <w:tblInd w:w="0" w:type="dxa"/>
      <w:tblLayout w:type="fixed"/>
      <w:tblCellMar>
        <w:top w:w="0" w:type="dxa"/>
        <w:start w:w="0" w:type="dxa"/>
        <w:bottom w:w="0" w:type="dxa"/>
        <w:end w:w="0" w:type="dxa"/>
      </w:tblCellMar>
      <w:tblLook w:val="04a0" w:firstRow="1" w:noVBand="1" w:lastRow="0" w:firstColumn="1" w:lastColumn="0" w:noHBand="0"/>
    </w:tblPr>
    <w:tblGrid>
      <w:gridCol w:w="4968"/>
      <w:gridCol w:w="4392"/>
    </w:tblGrid>
    <w:tr>
      <w:trPr/>
      <w:tc>
        <w:tcPr>
          <w:tcW w:w="4968" w:type="dxa"/>
          <w:tcBorders/>
        </w:tcPr>
        <w:p>
          <w:pPr>
            <w:pStyle w:val="Normal"/>
            <w:spacing w:before="0" w:after="0"/>
            <w:rPr/>
          </w:pPr>
          <w:r>
            <w:rPr>
              <w:b/>
              <w:color w:val="000000"/>
              <w:sz w:val="27"/>
            </w:rPr>
            <w:t>Introdução à Criptografia</w:t>
            <w:br/>
            <w:t>Lista de exercícios: Encontro - 07</w:t>
          </w:r>
        </w:p>
      </w:tc>
      <w:tc>
        <w:tcPr>
          <w:tcW w:w="4392" w:type="dxa"/>
          <w:tcBorders/>
        </w:tcPr>
        <w:p>
          <w:pPr>
            <w:pStyle w:val="Normal"/>
            <w:spacing w:before="0" w:after="0"/>
            <w:jc w:val="end"/>
            <w:rPr/>
          </w:pPr>
          <w:r>
            <w:rPr>
              <w:b/>
              <w:color w:val="000000"/>
              <w:sz w:val="25"/>
            </w:rPr>
            <w:t>Henrique C. de Andrade JC3033732</w:t>
            <w:br/>
            <w:t>22/09/2026</w:t>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rPr/>
    </w:pPr>
    <w:r>
      <w:rPr/>
    </w:r>
  </w:p>
  <w:tbl>
    <w:tblPr>
      <w:tblW w:w="9360" w:type="dxa"/>
      <w:jc w:val="center"/>
      <w:tblInd w:w="0" w:type="dxa"/>
      <w:tblLayout w:type="fixed"/>
      <w:tblCellMar>
        <w:top w:w="0" w:type="dxa"/>
        <w:start w:w="0" w:type="dxa"/>
        <w:bottom w:w="0" w:type="dxa"/>
        <w:end w:w="0" w:type="dxa"/>
      </w:tblCellMar>
      <w:tblLook w:val="04a0" w:firstRow="1" w:noVBand="1" w:lastRow="0" w:firstColumn="1" w:lastColumn="0" w:noHBand="0"/>
    </w:tblPr>
    <w:tblGrid>
      <w:gridCol w:w="4968"/>
      <w:gridCol w:w="4392"/>
    </w:tblGrid>
    <w:tr>
      <w:trPr/>
      <w:tc>
        <w:tcPr>
          <w:tcW w:w="4968" w:type="dxa"/>
          <w:tcBorders/>
        </w:tcPr>
        <w:p>
          <w:pPr>
            <w:pStyle w:val="Normal"/>
            <w:spacing w:before="0" w:after="0"/>
            <w:rPr/>
          </w:pPr>
          <w:r>
            <w:rPr>
              <w:b/>
              <w:color w:val="000000"/>
              <w:sz w:val="27"/>
            </w:rPr>
            <w:t>Introdução à Criptografia</w:t>
            <w:br/>
            <w:t>Lista de exercícios: Encontro - 07</w:t>
          </w:r>
        </w:p>
      </w:tc>
      <w:tc>
        <w:tcPr>
          <w:tcW w:w="4392" w:type="dxa"/>
          <w:tcBorders/>
        </w:tcPr>
        <w:p>
          <w:pPr>
            <w:pStyle w:val="Normal"/>
            <w:spacing w:before="0" w:after="0"/>
            <w:jc w:val="end"/>
            <w:rPr/>
          </w:pPr>
          <w:r>
            <w:rPr>
              <w:b/>
              <w:color w:val="000000"/>
              <w:sz w:val="25"/>
            </w:rPr>
            <w:t>Henrique C. de Andrade JC3033732</w:t>
            <w:br/>
            <w:t>22/09/2026</w:t>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80"/>
      <w:jc w:val="start"/>
    </w:pPr>
    <w:rPr>
      <w:rFonts w:ascii="Arial" w:hAnsi="Arial" w:eastAsia="ＭＳ 明朝" w:cs=""/>
      <w:color w:val="000000"/>
      <w:kern w:val="0"/>
      <w:sz w:val="23"/>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Arial"/>
    </w:rPr>
  </w:style>
  <w:style w:type="paragraph" w:styleId="Cabealhoerodap">
    <w:name w:val="Cabeçalho e rodapé"/>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start="720"/>
      <w:contextualSpacing/>
    </w:pPr>
    <w:rPr/>
  </w:style>
  <w:style w:type="paragraph" w:styleId="List3">
    <w:name w:val="List 3"/>
    <w:basedOn w:val="Normal"/>
    <w:uiPriority w:val="99"/>
    <w:unhideWhenUsed/>
    <w:qFormat/>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numbering" w:styleId="Semlista" w:default="1">
    <w:name w:val="Sem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Application>LibreOffice/26.2.5.2$Windows_X86_64 LibreOffice_project/cd7284b4cbbfeb507e630c1aac019f4157393acb</Application>
  <AppVersion>15.0000</AppVersion>
  <Pages>2</Pages>
  <Words>849</Words>
  <Characters>3876</Characters>
  <CharactersWithSpaces>4690</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Henrique C. de Andrade</dc:creator>
  <dc:description>generated by python-docx</dc:description>
  <dc:language>pt-BR</dc:language>
  <cp:lastModifiedBy/>
  <dcterms:modified xsi:type="dcterms:W3CDTF">2026-09-23T19:16:48Z</dcterms:modified>
  <cp:revision>2</cp:revision>
  <dc:subject>Advanced Encryption Standard AES</dc:subject>
  <dc:title>Resolução da lista de exercícios Encontro 07</dc:title>
</cp:coreProperties>
</file>

<file path=docProps/custom.xml><?xml version="1.0" encoding="utf-8"?>
<Properties xmlns="http://schemas.openxmlformats.org/officeDocument/2006/custom-properties" xmlns:vt="http://schemas.openxmlformats.org/officeDocument/2006/docPropsVTypes"/>
</file>