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04/08/2026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17 procedimentos · 62 orientações de sintomas · 13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da cabeça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nas primeiras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e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de 6 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"Ritidoplastia / facelifting"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apenas nas primeiras 48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Olho seco ou lacrimejante é comum no início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definitivo se estabelecendo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Resultado consolidado.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definitivo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definido, com inchaço residual mínimo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definitivo da ponta nasal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Aparência social recuperada na maioria dos casos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consolidado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de textura e firmeza consolidado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consolidado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30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definitivo leva de 6 a 12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colírio lubrificante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15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2026-08-04T03:09:31.169Z</dcterms:created>
  <dcterms:modified xsi:type="dcterms:W3CDTF">2026-08-04T03:09:31.169Z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