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07/08/2026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17 procedimentos · 62 orientações de sintomas · 13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da cabeça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nas primeiras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linfática,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de 6 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"Ritidoplastia / facelifting"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apenas nas primeiras 48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Olho seco ou lacrimejante é comum no início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bastante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Aparência social recuperada na maioria dos casos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30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de 6 a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colírio lubrificante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15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 pela equipe"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ajuda a reduzir o inchaço e a sensação de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precisa: quem indica, e a partir de quando, é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começa depois da liberação da equipe — habitualmente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2026-08-07T18:05:46.796Z</dcterms:created>
  <dcterms:modified xsi:type="dcterms:W3CDTF">2026-08-07T18:05:46.796Z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