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60"/>
      </w:pPr>
      <w:r>
        <w:rPr>
          <w:b/>
          <w:color w:val="1068EB"/>
          <w:sz w:val="20"/>
        </w:rPr>
        <w:t xml:space="preserve">PROPOSAL</w:t>
      </w:r>
    </w:p>
    <w:p>
      <w:pPr>
        <w:spacing w:after="80"/>
      </w:pPr>
      <w:r>
        <w:rPr>
          <w:b/>
          <w:sz w:val="44"/>
        </w:rPr>
        <w:t xml:space="preserve">Tiling of the Riverside Library</w:t>
      </w:r>
    </w:p>
    <w:p>
      <w:pPr>
        <w:spacing w:after="360"/>
      </w:pPr>
      <w:r>
        <w:rPr>
          <w:color w:val="6A7178"/>
          <w:sz w:val="20"/>
        </w:rPr>
        <w:t xml:space="preserve">Atlantic Ceramics, Lda. to the Riverside Library Foundation · 1 July 2026 · fictitious</w:t>
      </w:r>
    </w:p>
    <w:p>
      <w:pPr>
        <w:spacing w:after="160"/>
      </w:pPr>
      <w:r>
        <w:rPr>
          <w:b/>
          <w:sz w:val="30"/>
        </w:rPr>
        <w:t xml:space="preserve">1. Scope</w:t>
      </w:r>
    </w:p>
    <w:p>
      <w:pPr>
        <w:spacing w:after="160"/>
      </w:pPr>
      <w:r>
        <w:rPr/>
        <w:t xml:space="preserve">We propose to supply and fit the floor and wall tiles of the new reading room and the children's area, about 480 m² in total. The work fits the library's opening date of 15 October 2026.</w:t>
      </w:r>
    </w:p>
    <w:p>
      <w:pPr>
        <w:spacing w:after="160"/>
      </w:pPr>
      <w:r>
        <w:rPr>
          <w:b/>
          <w:sz w:val="30"/>
        </w:rPr>
        <w:t xml:space="preserve">2. Materials</w:t>
      </w:r>
    </w:p>
    <w:p>
      <w:pPr>
        <w:spacing w:after="160"/>
      </w:pPr>
      <w:r>
        <w:rPr/>
        <w:t xml:space="preserve">•  Porto floor tile 60 × 60, grey, slip resistance R10, for the reading room.</w:t>
      </w:r>
    </w:p>
    <w:p>
      <w:pPr>
        <w:spacing w:after="160"/>
      </w:pPr>
      <w:r>
        <w:rPr/>
        <w:t xml:space="preserve">•  Douro glazed 15 × 15, teal and ochre, for the children's area walls.</w:t>
      </w:r>
    </w:p>
    <w:p>
      <w:pPr>
        <w:spacing w:after="160"/>
      </w:pPr>
      <w:r>
        <w:rPr/>
        <w:t xml:space="preserve">•  Minho outdoor 45 × 45 for the entrance terrace.</w:t>
      </w:r>
    </w:p>
    <w:p>
      <w:pPr>
        <w:spacing w:after="160"/>
      </w:pPr>
      <w:r>
        <w:rPr>
          <w:b/>
          <w:sz w:val="30"/>
        </w:rPr>
        <w:t xml:space="preserve">3. Price</w:t>
      </w:r>
    </w:p>
    <w:tbl>
      <w:tblPr>
        <w:tblW w:w="9000" w:type="dxa"/>
        <w:tblBorders>
          <w:top w:val="single" w:sz="4" w:color="DEE2E6"/>
          <w:bottom w:val="single" w:sz="4" w:color="DEE2E6"/>
          <w:insideH w:val="single" w:sz="4" w:color="DEE2E6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200"/>
        <w:gridCol w:w="2400"/>
        <w:gridCol w:w="2400"/>
      </w:tblGrid>
      <w:tr>
        <w:tc>
          <w:tcPr>
            <w:tcW w:w="4200" w:type="dxa"/>
            <w:shd w:val="clear" w:color="auto" w:fill="EEF4FE"/>
          </w:tcPr>
          <w:p>
            <w:pPr>
              <w:spacing w:after="0"/>
            </w:pPr>
            <w:r>
              <w:rPr>
                <w:b/>
              </w:rPr>
              <w:t xml:space="preserve">Item</w:t>
            </w:r>
          </w:p>
        </w:tc>
        <w:tc>
          <w:tcPr>
            <w:tcW w:w="2400" w:type="dxa"/>
            <w:shd w:val="clear" w:color="auto" w:fill="EEF4FE"/>
          </w:tcPr>
          <w:p>
            <w:pPr>
              <w:spacing w:after="0"/>
              <w:jc w:val="right"/>
            </w:pPr>
            <w:r>
              <w:rPr>
                <w:b/>
              </w:rPr>
              <w:t xml:space="preserve">m²</w:t>
            </w:r>
          </w:p>
        </w:tc>
        <w:tc>
          <w:tcPr>
            <w:tcW w:w="2400" w:type="dxa"/>
            <w:shd w:val="clear" w:color="auto" w:fill="EEF4FE"/>
          </w:tcPr>
          <w:p>
            <w:pPr>
              <w:spacing w:after="0"/>
              <w:jc w:val="right"/>
            </w:pPr>
            <w:r>
              <w:rPr>
                <w:b/>
              </w:rPr>
              <w:t xml:space="preserve">EUR</w:t>
            </w:r>
          </w:p>
        </w:tc>
      </w:tr>
      <w:tr>
        <w:tc>
          <w:tcPr>
            <w:tcW w:w="4200" w:type="dxa"/>
          </w:tcPr>
          <w:p>
            <w:pPr>
              <w:spacing w:after="0"/>
            </w:pPr>
            <w:r>
              <w:rPr/>
              <w:t xml:space="preserve">Porto floor tile</w:t>
            </w:r>
          </w:p>
        </w:tc>
        <w:tc>
          <w:tcPr>
            <w:tcW w:w="2400" w:type="dxa"/>
          </w:tcPr>
          <w:p>
            <w:pPr>
              <w:spacing w:after="0"/>
              <w:jc w:val="right"/>
            </w:pPr>
            <w:r>
              <w:rPr/>
              <w:t xml:space="preserve">320</w:t>
            </w:r>
          </w:p>
        </w:tc>
        <w:tc>
          <w:tcPr>
            <w:tcW w:w="2400" w:type="dxa"/>
          </w:tcPr>
          <w:p>
            <w:pPr>
              <w:spacing w:after="0"/>
              <w:jc w:val="right"/>
            </w:pPr>
            <w:r>
              <w:rPr/>
              <w:t xml:space="preserve">4,560.00</w:t>
            </w:r>
          </w:p>
        </w:tc>
      </w:tr>
      <w:tr>
        <w:tc>
          <w:tcPr>
            <w:tcW w:w="4200" w:type="dxa"/>
          </w:tcPr>
          <w:p>
            <w:pPr>
              <w:spacing w:after="0"/>
            </w:pPr>
            <w:r>
              <w:rPr/>
              <w:t xml:space="preserve">Douro glazed</w:t>
            </w:r>
          </w:p>
        </w:tc>
        <w:tc>
          <w:tcPr>
            <w:tcW w:w="2400" w:type="dxa"/>
          </w:tcPr>
          <w:p>
            <w:pPr>
              <w:spacing w:after="0"/>
              <w:jc w:val="right"/>
            </w:pPr>
            <w:r>
              <w:rPr/>
              <w:t xml:space="preserve">110</w:t>
            </w:r>
          </w:p>
        </w:tc>
        <w:tc>
          <w:tcPr>
            <w:tcW w:w="2400" w:type="dxa"/>
          </w:tcPr>
          <w:p>
            <w:pPr>
              <w:spacing w:after="0"/>
              <w:jc w:val="right"/>
            </w:pPr>
            <w:r>
              <w:rPr/>
              <w:t xml:space="preserve">2,024.00</w:t>
            </w:r>
          </w:p>
        </w:tc>
      </w:tr>
      <w:tr>
        <w:tc>
          <w:tcPr>
            <w:tcW w:w="4200" w:type="dxa"/>
          </w:tcPr>
          <w:p>
            <w:pPr>
              <w:spacing w:after="0"/>
            </w:pPr>
            <w:r>
              <w:rPr/>
              <w:t xml:space="preserve">Minho outdoor</w:t>
            </w:r>
          </w:p>
        </w:tc>
        <w:tc>
          <w:tcPr>
            <w:tcW w:w="2400" w:type="dxa"/>
          </w:tcPr>
          <w:p>
            <w:pPr>
              <w:spacing w:after="0"/>
              <w:jc w:val="right"/>
            </w:pPr>
            <w:r>
              <w:rPr/>
              <w:t xml:space="preserve">50</w:t>
            </w:r>
          </w:p>
        </w:tc>
        <w:tc>
          <w:tcPr>
            <w:tcW w:w="2400" w:type="dxa"/>
          </w:tcPr>
          <w:p>
            <w:pPr>
              <w:spacing w:after="0"/>
              <w:jc w:val="right"/>
            </w:pPr>
            <w:r>
              <w:rPr/>
              <w:t xml:space="preserve">712.50</w:t>
            </w:r>
          </w:p>
        </w:tc>
      </w:tr>
      <w:tr>
        <w:tc>
          <w:tcPr>
            <w:tcW w:w="4200" w:type="dxa"/>
          </w:tcPr>
          <w:p>
            <w:pPr>
              <w:spacing w:after="0"/>
            </w:pPr>
            <w:r>
              <w:rPr/>
              <w:t xml:space="preserve">Fitting and delivery</w:t>
            </w:r>
          </w:p>
        </w:tc>
        <w:tc>
          <w:tcPr>
            <w:tcW w:w="2400" w:type="dxa"/>
          </w:tcPr>
          <w:p>
            <w:pPr>
              <w:spacing w:after="0"/>
              <w:jc w:val="right"/>
            </w:pPr>
            <w:r>
              <w:rPr/>
              <w:t xml:space="preserve"/>
            </w:r>
          </w:p>
        </w:tc>
        <w:tc>
          <w:tcPr>
            <w:tcW w:w="2400" w:type="dxa"/>
          </w:tcPr>
          <w:p>
            <w:pPr>
              <w:spacing w:after="0"/>
              <w:jc w:val="right"/>
            </w:pPr>
            <w:r>
              <w:rPr/>
              <w:t xml:space="preserve">6,900.00</w:t>
            </w:r>
          </w:p>
        </w:tc>
      </w:tr>
      <w:tr>
        <w:tc>
          <w:tcPr>
            <w:tcW w:w="4200" w:type="dxa"/>
          </w:tcPr>
          <w:p>
            <w:pPr>
              <w:spacing w:after="0"/>
            </w:pPr>
            <w:r>
              <w:rPr>
                <w:b/>
              </w:rPr>
              <w:t xml:space="preserve">Total (VAT excluded)</w:t>
            </w:r>
          </w:p>
        </w:tc>
        <w:tc>
          <w:tcPr>
            <w:tcW w:w="2400" w:type="dxa"/>
          </w:tcPr>
          <w:p>
            <w:pPr>
              <w:spacing w:after="0"/>
              <w:jc w:val="right"/>
            </w:pPr>
            <w:r>
              <w:rPr>
                <w:b/>
              </w:rPr>
              <w:t xml:space="preserve">480</w:t>
            </w:r>
          </w:p>
        </w:tc>
        <w:tc>
          <w:tcPr>
            <w:tcW w:w="2400" w:type="dxa"/>
          </w:tcPr>
          <w:p>
            <w:pPr>
              <w:spacing w:after="0"/>
              <w:jc w:val="right"/>
            </w:pPr>
            <w:r>
              <w:rPr>
                <w:b/>
              </w:rPr>
              <w:t xml:space="preserve">14,196.50</w:t>
            </w:r>
          </w:p>
        </w:tc>
      </w:tr>
    </w:tbl>
    <w:p>
      <w:pPr>
        <w:spacing w:after="200"/>
      </w:pPr>
    </w:p>
    <w:p>
      <w:pPr>
        <w:spacing w:after="160"/>
      </w:pPr>
      <w:r>
        <w:rPr/>
        <w:t xml:space="preserve">The offer is valid for 60 days. </w:t>
      </w:r>
      <w:r>
        <w:rPr>
          <w:i/>
        </w:rPr>
        <w:t xml:space="preserve">Payment: 30% on order, 70% on completion.</w:t>
      </w:r>
    </w:p>
    <w:p>
      <w:r>
        <w:br w:type="page"/>
      </w:r>
    </w:p>
    <w:p>
      <w:pPr>
        <w:spacing w:after="160"/>
      </w:pPr>
      <w:r>
        <w:rPr>
          <w:b/>
          <w:sz w:val="30"/>
        </w:rPr>
        <w:t xml:space="preserve">4. Schedule</w:t>
      </w:r>
    </w:p>
    <w:p>
      <w:pPr>
        <w:spacing w:after="160"/>
      </w:pPr>
      <w:r>
        <w:rPr/>
        <w:t xml:space="preserve">Week 1: delivery and preparation of the floor. Weeks 2–3: reading room. Week 4: children's area and terrace. Week 5: finishing, cleaning and handover.</w:t>
      </w:r>
    </w:p>
    <w:p>
      <w:pPr>
        <w:spacing w:after="160"/>
      </w:pPr>
      <w:r>
        <w:rPr>
          <w:i/>
          <w:color w:val="6A7178"/>
          <w:sz w:val="20"/>
        </w:rPr>
        <w:t xml:space="preserve">Rendered in the browser by docx-preview: page breaks, tables, colours and fonts come from the document itself.</w:t>
      </w:r>
    </w:p>
    <w:sectPr>
      <w:pgSz w:w="11906" w:h="16838"/>
      <w:pgMar w:top="1300" w:right="1300" w:bottom="1300" w:left="1300" w:header="700" w:footer="7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212529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