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C820"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O que devo fazer para adquirir atribuição para atividades de georreferenciamento?</w:t>
      </w:r>
    </w:p>
    <w:p w14:paraId="34D70F40"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Deverá atender a </w:t>
      </w:r>
      <w:hyperlink r:id="rId4" w:tgtFrame="_blank" w:history="1">
        <w:r w:rsidRPr="00C332DA">
          <w:rPr>
            <w:rStyle w:val="Hyperlink"/>
            <w:rFonts w:ascii="Times New Roman" w:hAnsi="Times New Roman" w:cs="Times New Roman"/>
          </w:rPr>
          <w:t>Decisão PL 2087/2004</w:t>
        </w:r>
      </w:hyperlink>
      <w:r w:rsidRPr="00C332DA">
        <w:rPr>
          <w:rFonts w:ascii="Times New Roman" w:hAnsi="Times New Roman" w:cs="Times New Roman"/>
        </w:rPr>
        <w:t xml:space="preserve"> do Confea: “I. Os profissionais habilitados para assumir a responsabilidade técnica dos serviços de determinação das coordenadas dos vértices definidores dos limites dos imóveis rurais para efeito do Cadastro Nacional de Imóveis Rurais - CNIR são aqueles que, por meio de cursos regulares de graduação ou técnico de nível médio, ou por meio de cursos de pós-graduação ou de qualificação/aperfeiçoamento profissional, comprovem que tenham cursado os seguintes conteúdos formativos: a) Topografia aplicada ao </w:t>
      </w:r>
      <w:proofErr w:type="spellStart"/>
      <w:r w:rsidRPr="00C332DA">
        <w:rPr>
          <w:rFonts w:ascii="Times New Roman" w:hAnsi="Times New Roman" w:cs="Times New Roman"/>
        </w:rPr>
        <w:t>georeferrenciamento</w:t>
      </w:r>
      <w:proofErr w:type="spellEnd"/>
      <w:r w:rsidRPr="00C332DA">
        <w:rPr>
          <w:rFonts w:ascii="Times New Roman" w:hAnsi="Times New Roman" w:cs="Times New Roman"/>
        </w:rPr>
        <w:t xml:space="preserve">; b) Cartografia; c) Sistemas de referência; d) Projeções cartográficas; e) Ajustamentos; f) Métodos e medidas de posicionamento geodésico. Os conteúdos formativos não precisam constituir disciplinas, podendo estar incorporados nas ementas das disciplinas onde serão ministrados estes conhecimentos aplicados às diversas modalidades do Sistema; II. Compete às câmaras especializadas procederem à análise curricular; III. Os profissionais que não tenham cursado os conteúdos formativos descritos no inciso I poderão assumir a responsabilidade técnica dos serviços de determinação das coordenadas dos vértices definidores dos limites dos imóveis rurais, para efeito do Cadastro Nacional de Imóveis Rurais - CNIR, mediante solicitação à </w:t>
      </w:r>
      <w:proofErr w:type="gramStart"/>
      <w:r w:rsidRPr="00C332DA">
        <w:rPr>
          <w:rFonts w:ascii="Times New Roman" w:hAnsi="Times New Roman" w:cs="Times New Roman"/>
        </w:rPr>
        <w:t>câmara</w:t>
      </w:r>
      <w:proofErr w:type="gramEnd"/>
      <w:r w:rsidRPr="00C332DA">
        <w:rPr>
          <w:rFonts w:ascii="Times New Roman" w:hAnsi="Times New Roman" w:cs="Times New Roman"/>
        </w:rPr>
        <w:t xml:space="preserve"> especializada competente, comprovando sua experiência profissional específica na área, devidamente atestada por meio da Certidão de Acervo Técnico - CAT.</w:t>
      </w:r>
    </w:p>
    <w:p w14:paraId="3970E9C9"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Considerando a </w:t>
      </w:r>
      <w:hyperlink r:id="rId5" w:tgtFrame="_blank" w:history="1">
        <w:r w:rsidRPr="00C332DA">
          <w:rPr>
            <w:rStyle w:val="Hyperlink"/>
            <w:rFonts w:ascii="Times New Roman" w:hAnsi="Times New Roman" w:cs="Times New Roman"/>
          </w:rPr>
          <w:t>Decisão PL 0745/2007</w:t>
        </w:r>
      </w:hyperlink>
      <w:r w:rsidRPr="00C332DA">
        <w:rPr>
          <w:rFonts w:ascii="Times New Roman" w:hAnsi="Times New Roman" w:cs="Times New Roman"/>
        </w:rPr>
        <w:t>, em atendimento à </w:t>
      </w:r>
      <w:hyperlink r:id="rId6" w:tgtFrame="_blank" w:history="1">
        <w:r w:rsidRPr="00C332DA">
          <w:rPr>
            <w:rStyle w:val="Hyperlink"/>
            <w:rFonts w:ascii="Times New Roman" w:hAnsi="Times New Roman" w:cs="Times New Roman"/>
          </w:rPr>
          <w:t>Decisão PL 2087/2004</w:t>
        </w:r>
      </w:hyperlink>
      <w:r w:rsidRPr="00C332DA">
        <w:rPr>
          <w:rFonts w:ascii="Times New Roman" w:hAnsi="Times New Roman" w:cs="Times New Roman"/>
        </w:rPr>
        <w:t>, foram sugeridos modelos de certidão especificamente: 1) para profissionais que comprovem ter cursado os conteúdos formativos citados na Decisão PL 2087/2004 (Topografia aplicada ao georreferenciamento; Cartografia; Sistemas de referência; Projeções cartográficas; Ajustamentos; Métodos e medidas de posicionamento geodésico), por meio de cursos regulares de graduação ou técnico de nível médio (engenheiros agrimensores, engenheiros cartógrafos, engenheiros geógrafos, engenheiros de geodésia e topografia ou tecnólogos/técnicos da modalidade agrimensura); 2) para profissionais que comprovem ter cursado os conteúdos formativos da Decisão PL 2087/2004 por meio de cursos de pós-graduação ou de qualificação/aperfeiçoamento profissional, que deverão ser reconhecidos pelo MEC, ter no mínimo 360 horas de aula e ter registro no Crea-MG; 3) para profissionais que não tenham cursado os conteúdos formativos descritos e que poderão assumir a responsabilidade técnica pelos serviços de determinação das coordenadas dos vértices definidores dos limites dos imóveis rurais para efeito do Cadastro Nacional de Imóveis Rurais - CNIR, mediante solicitação à câmara especializada competente, comprovando sua experiência profissional específica na área, devidamente atestada por meio da Certidão de Acervo Técnico - CAT;</w:t>
      </w:r>
    </w:p>
    <w:p w14:paraId="3BC58E33"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 xml:space="preserve">A atribuição inicial de competências profissionais ou sua extensão será procedida pelas </w:t>
      </w:r>
      <w:proofErr w:type="gramStart"/>
      <w:r w:rsidRPr="00C332DA">
        <w:rPr>
          <w:rFonts w:ascii="Times New Roman" w:hAnsi="Times New Roman" w:cs="Times New Roman"/>
        </w:rPr>
        <w:t>câmaras</w:t>
      </w:r>
      <w:proofErr w:type="gramEnd"/>
      <w:r w:rsidRPr="00C332DA">
        <w:rPr>
          <w:rFonts w:ascii="Times New Roman" w:hAnsi="Times New Roman" w:cs="Times New Roman"/>
        </w:rPr>
        <w:t xml:space="preserve"> especializadas competentes, após análise do perfil de formação do egresso e deve ser circunscrita ao âmbito dos conteúdos formativos adquiridos em seu curso regular. Considerando a formação e as atribuições do profissional.</w:t>
      </w:r>
    </w:p>
    <w:p w14:paraId="24ED0DA0"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lastRenderedPageBreak/>
        <w:t>A regra básica para conferir ou reconhecer atribuições profissionais é buscar no currículo escolar o conhecimento adquirido em coerência com a titulação alcançada, isto é, confrontando as disciplinas de formação profissional e somente estas, descartando, por seu pequeno significado, as disciplinas que completam conhecimento ou dão apenas entrelaçamento com outras áreas profissionais - CR-102/88.</w:t>
      </w:r>
    </w:p>
    <w:p w14:paraId="11DB6B2A" w14:textId="77777777" w:rsidR="00C06D2F" w:rsidRDefault="00C06D2F">
      <w:pPr>
        <w:rPr>
          <w:rFonts w:ascii="Times New Roman" w:hAnsi="Times New Roman" w:cs="Times New Roman"/>
        </w:rPr>
      </w:pPr>
    </w:p>
    <w:p w14:paraId="7BFDBD8F" w14:textId="2B13F1EE" w:rsidR="00C332DA" w:rsidRDefault="00C332DA">
      <w:pPr>
        <w:rPr>
          <w:rFonts w:ascii="Times New Roman" w:hAnsi="Times New Roman" w:cs="Times New Roman"/>
        </w:rPr>
      </w:pPr>
      <w:r>
        <w:rPr>
          <w:rFonts w:ascii="Times New Roman" w:hAnsi="Times New Roman" w:cs="Times New Roman"/>
        </w:rPr>
        <w:t>Decisão PL 2087/2004</w:t>
      </w:r>
    </w:p>
    <w:p w14:paraId="08C61595" w14:textId="11D7305B" w:rsidR="00C332DA" w:rsidRDefault="00C332DA">
      <w:pPr>
        <w:rPr>
          <w:rFonts w:ascii="Times New Roman" w:hAnsi="Times New Roman" w:cs="Times New Roman"/>
        </w:rPr>
      </w:pPr>
      <w:r w:rsidRPr="00C332DA">
        <w:rPr>
          <w:rFonts w:ascii="Times New Roman" w:hAnsi="Times New Roman" w:cs="Times New Roman"/>
        </w:rPr>
        <w:t>Ref. SESSÃO : Plenária Ordinária 1.324</w:t>
      </w:r>
      <w:r w:rsidRPr="00C332DA">
        <w:rPr>
          <w:rFonts w:ascii="Times New Roman" w:hAnsi="Times New Roman" w:cs="Times New Roman"/>
        </w:rPr>
        <w:br/>
        <w:t>DECISÃO : PL-2087/2004</w:t>
      </w:r>
      <w:r w:rsidRPr="00C332DA">
        <w:rPr>
          <w:rFonts w:ascii="Times New Roman" w:hAnsi="Times New Roman" w:cs="Times New Roman"/>
        </w:rPr>
        <w:br/>
        <w:t>PROTOCOLOS : CF-3886/2003, CF-4473/2003, CF-4751/2003, CF-0041/2004,</w:t>
      </w:r>
      <w:r w:rsidRPr="00C332DA">
        <w:rPr>
          <w:rFonts w:ascii="Times New Roman" w:hAnsi="Times New Roman" w:cs="Times New Roman"/>
        </w:rPr>
        <w:br/>
        <w:t>CF-0255/2004, CF-0268/2004, CF-0359/2004, CF-0932/2004,</w:t>
      </w:r>
      <w:r w:rsidRPr="00C332DA">
        <w:rPr>
          <w:rFonts w:ascii="Times New Roman" w:hAnsi="Times New Roman" w:cs="Times New Roman"/>
        </w:rPr>
        <w:br/>
        <w:t>CF-1251/2004, CF-1518/2004, CF-1987/2004, CF-2487/2004,</w:t>
      </w:r>
      <w:r w:rsidRPr="00C332DA">
        <w:rPr>
          <w:rFonts w:ascii="Times New Roman" w:hAnsi="Times New Roman" w:cs="Times New Roman"/>
        </w:rPr>
        <w:br/>
        <w:t>CF-3047/2004; CF-3346/2004; CF-3601/2004 e CF-2287/2004 (Dossiê)</w:t>
      </w:r>
      <w:r w:rsidRPr="00C332DA">
        <w:rPr>
          <w:rFonts w:ascii="Times New Roman" w:hAnsi="Times New Roman" w:cs="Times New Roman"/>
        </w:rPr>
        <w:br/>
        <w:t>INTERESSADO : Sistema Confea/Crea</w:t>
      </w:r>
      <w:r w:rsidRPr="00C332DA">
        <w:rPr>
          <w:rFonts w:ascii="Times New Roman" w:hAnsi="Times New Roman" w:cs="Times New Roman"/>
        </w:rPr>
        <w:br/>
      </w:r>
      <w:r w:rsidRPr="00C332DA">
        <w:rPr>
          <w:rFonts w:ascii="Times New Roman" w:hAnsi="Times New Roman" w:cs="Times New Roman"/>
        </w:rPr>
        <w:br/>
        <w:t>EMENTA: Reformulação da Decisão PL-0633/2003.</w:t>
      </w:r>
      <w:r w:rsidRPr="00C332DA">
        <w:rPr>
          <w:rFonts w:ascii="Times New Roman" w:hAnsi="Times New Roman" w:cs="Times New Roman"/>
        </w:rPr>
        <w:br/>
        <w:t>DECISÃO</w:t>
      </w:r>
      <w:r w:rsidRPr="00C332DA">
        <w:rPr>
          <w:rFonts w:ascii="Times New Roman" w:hAnsi="Times New Roman" w:cs="Times New Roman"/>
        </w:rPr>
        <w:br/>
        <w:t>O Plenário do Confea, apreciando a Deliberação</w:t>
      </w:r>
      <w:r w:rsidRPr="00C332DA">
        <w:rPr>
          <w:rFonts w:ascii="Times New Roman" w:hAnsi="Times New Roman" w:cs="Times New Roman"/>
        </w:rPr>
        <w:br/>
        <w:t xml:space="preserve">1561/2004-CEP - Comissão de Exercício Profissional, que trata do dossiê em epígrafe, relativo a reformulação da Decisão PL-0633/2003, e considerando consulta do Instituto Nacional de Colonização e Reforma Agrária – INCRA, acerca dos profissionais habilitados a desenvolverem atividades definidas pela Lei 10.267, de 28 de agosto de 2001, no tocante à regularização de propriedades rurais junto ao INCRA; considerando os avanços tecnológicos das profissões do Sistema e os casos de sombreamento constantes, e que a Decisão Plenária PL-0024, de 21 de fevereiro de 2003, definiu os profissionais habilitados a realizar as atividades da consulta em pauta, definindo as disciplinas que dão tal atribuição, proporcionando àqueles que não têm atribuições em sua totalidade, habilitar-se através de curso de educação continuada, aperfeiçoamento, especialização, pós-graduação e ou comprovando experiência profissional específica na área, sobre as atividades atinentes à determinação dos vértices dos limites definidores dos imóveis rurais para fins de inclusão no Cadastro Nacional de Imóveis Rurais – CNIR; considerando que a Decisão PL-0633, de 29 de agosto de 2003, reeditou as conclusões contidas na Decisão PL-0024 de 2003; considerando a tramitação do projeto de resolução que disciplina a concessão de atribuições e títulos aos profissionais do Sistema Confea/Crea, com rito processual definido pela Resolução 1000/2002, do Confea, e em fase de conclusão; considerando os questionamentos sobre a Decisão PL-633, de 2003, inclusive de ordem jurídica; considerando a conveniência de se disciplinar a questão do </w:t>
      </w:r>
      <w:proofErr w:type="spellStart"/>
      <w:r w:rsidRPr="00C332DA">
        <w:rPr>
          <w:rFonts w:ascii="Times New Roman" w:hAnsi="Times New Roman" w:cs="Times New Roman"/>
        </w:rPr>
        <w:t>georeferenciamento</w:t>
      </w:r>
      <w:proofErr w:type="spellEnd"/>
      <w:r w:rsidRPr="00C332DA">
        <w:rPr>
          <w:rFonts w:ascii="Times New Roman" w:hAnsi="Times New Roman" w:cs="Times New Roman"/>
        </w:rPr>
        <w:t xml:space="preserve"> através de ato normativo adequado, DECIDIU: 1) Revogar a Decisão PL-0633, de 2003, a partir desta data. 2) Editar esta decisão com o seguinte teor: I. Os profissionais habilitados para assumir a responsabilidade técnica dos serviços de determinação das coordenadas dos vértices definidores dos limites dos imóveis rurais para efeito do Cadastro Nacional de Imóveis Rurais – CNIR são aqueles </w:t>
      </w:r>
      <w:r w:rsidRPr="00C332DA">
        <w:rPr>
          <w:rFonts w:ascii="Times New Roman" w:hAnsi="Times New Roman" w:cs="Times New Roman"/>
        </w:rPr>
        <w:lastRenderedPageBreak/>
        <w:t xml:space="preserve">que, por meio de cursos regulares de graduação ou técnico de nível médio, ou por meio de cursos de pós-graduação ou de qualificação/aperfeiçoamento profissional, comprovem que tenham cursado os seguintes conteúdos formativos: a) Topografia aplicadas ao </w:t>
      </w:r>
      <w:proofErr w:type="spellStart"/>
      <w:r w:rsidRPr="00C332DA">
        <w:rPr>
          <w:rFonts w:ascii="Times New Roman" w:hAnsi="Times New Roman" w:cs="Times New Roman"/>
        </w:rPr>
        <w:t>georeferenciamento</w:t>
      </w:r>
      <w:proofErr w:type="spellEnd"/>
      <w:r w:rsidRPr="00C332DA">
        <w:rPr>
          <w:rFonts w:ascii="Times New Roman" w:hAnsi="Times New Roman" w:cs="Times New Roman"/>
        </w:rPr>
        <w:t xml:space="preserve">; b) Cartografia; c) Sistemas de referência; d) Projeções cartográficas; e) Ajustamentos; f) Métodos e medidas de posicionamento geodésico. II. Os conteúdos formativos não precisam constituir disciplinas, podendo estar incorporadas nas ementas das disciplinas onde serão ministrados estes conhecimentos aplicados às diversas modalidades do Sistema; III. Compete às câmaras especializadas procederem a análise curricular; IV. Os profissionais que não tenham cursado os conteúdos formativos descritos no inciso I poderão assumir a responsabilidade técnica dos serviços de determinação das coordenadas dos vértices definidores dos limites dos imóveis rurais para efeito do Cadastro Nacional de Imóveis Rurais – CNIR, mediante solicitação à </w:t>
      </w:r>
      <w:proofErr w:type="gramStart"/>
      <w:r w:rsidRPr="00C332DA">
        <w:rPr>
          <w:rFonts w:ascii="Times New Roman" w:hAnsi="Times New Roman" w:cs="Times New Roman"/>
        </w:rPr>
        <w:t>câmara</w:t>
      </w:r>
      <w:proofErr w:type="gramEnd"/>
      <w:r w:rsidRPr="00C332DA">
        <w:rPr>
          <w:rFonts w:ascii="Times New Roman" w:hAnsi="Times New Roman" w:cs="Times New Roman"/>
        </w:rPr>
        <w:t xml:space="preserve"> especializada competente, comprovando sua experiência profissional específica na área, devidamente atestada por meio da Certidão de Acervo Técnico – CAT; V. O Confea e os </w:t>
      </w:r>
      <w:proofErr w:type="spellStart"/>
      <w:r w:rsidRPr="00C332DA">
        <w:rPr>
          <w:rFonts w:ascii="Times New Roman" w:hAnsi="Times New Roman" w:cs="Times New Roman"/>
        </w:rPr>
        <w:t>Creas</w:t>
      </w:r>
      <w:proofErr w:type="spellEnd"/>
      <w:r w:rsidRPr="00C332DA">
        <w:rPr>
          <w:rFonts w:ascii="Times New Roman" w:hAnsi="Times New Roman" w:cs="Times New Roman"/>
        </w:rPr>
        <w:t xml:space="preserve"> deverão adaptar o sistema de verificação de atribuição profissional, com rigorosa avaliação de currículos, cargas horárias e conteúdos formativos que habilitará cada profissional; VI. A atribuição será conferida desde que exista afinidade de habilitação com a modalidade de origem na graduação, estando de acordo com o art. 3º, parágrafo único, da Lei 5.194, de 24 de dezembro de 1966, e serão as seguintes modalidades: Engenheiro Agrimensor (art. 4º da Resolução 218, de 1973); Engenheiro Agrônomo (art. 5º da Resolução 218, de 1973); Engenheiro Cartógrafo, Engenheiro de Geodésica e Topografia, Engenheiro Geógrafo (art. 6º da Resolução 218, de 1973); Engenheiro Civil, Engenheiro de Fortificação e Construção (art. 7º da Resolução 218, de 1973); Engenheiro Florestal (art. 10 </w:t>
      </w:r>
      <w:proofErr w:type="spellStart"/>
      <w:r w:rsidRPr="00C332DA">
        <w:rPr>
          <w:rFonts w:ascii="Times New Roman" w:hAnsi="Times New Roman" w:cs="Times New Roman"/>
        </w:rPr>
        <w:t>da</w:t>
      </w:r>
      <w:proofErr w:type="spellEnd"/>
      <w:r w:rsidRPr="00C332DA">
        <w:rPr>
          <w:rFonts w:ascii="Times New Roman" w:hAnsi="Times New Roman" w:cs="Times New Roman"/>
        </w:rPr>
        <w:br/>
      </w:r>
      <w:r w:rsidRPr="00C332DA">
        <w:rPr>
          <w:rFonts w:ascii="Times New Roman" w:hAnsi="Times New Roman" w:cs="Times New Roman"/>
        </w:rPr>
        <w:br/>
      </w:r>
      <w:r w:rsidRPr="00C332DA">
        <w:rPr>
          <w:rFonts w:ascii="Times New Roman" w:hAnsi="Times New Roman" w:cs="Times New Roman"/>
        </w:rPr>
        <w:br/>
        <w:t>../..</w:t>
      </w:r>
      <w:r w:rsidRPr="00C332DA">
        <w:rPr>
          <w:rFonts w:ascii="Times New Roman" w:hAnsi="Times New Roman" w:cs="Times New Roman"/>
        </w:rPr>
        <w:br/>
        <w:t>Continuação da Decisão PL-2087/2004</w:t>
      </w:r>
      <w:r w:rsidRPr="00C332DA">
        <w:rPr>
          <w:rFonts w:ascii="Times New Roman" w:hAnsi="Times New Roman" w:cs="Times New Roman"/>
        </w:rPr>
        <w:br/>
      </w:r>
      <w:r w:rsidRPr="00C332DA">
        <w:rPr>
          <w:rFonts w:ascii="Times New Roman" w:hAnsi="Times New Roman" w:cs="Times New Roman"/>
        </w:rPr>
        <w:br/>
        <w:t xml:space="preserve">Resolução 218, de 1973); Engenheiro Geólogo (art. 11 da Resolução 218, de 1973); Engenheiro de Minas (art. 14 da Resolução 218, de 1973); Engenheiro de Petróleo (art. 16 da Resolução 218, de 1973); Arquiteto e Urbanista (art. 21 da Resolução 218, de 1973); Engenheiro de Operação - nas especialidades Estradas e Civil (art. 22 da Resolução 218, de 1973); Engenheiro Agrícola (art. 1º da Resolução 256, de 27 de maio de 1978); Geólogo (art. 11 da Resolução 218, de 1973); Geógrafo (Lei 6.664, de 26 de junho de 1979); Técnico de Nível Superior ou Tecnólogo - da área específica (art. 23 da Resolução 218, de 1973); Técnico de Nível Médio em Agrimensura; Técnicos de Nível Médio em Topografia; e Outros Tecnólogos e Técnicos de Nível Médio das áreas acima explicitadas, devendo o profissional anotar estas atribuições junto ao Crea. VII. Os cursos formativos deverão possuir carga horária mínima de 360 horas contemplando as disciplinas citadas no inciso I desta decisão, ministradas em cursos reconhecidos pelo Ministério da Educação; VIII. Ficam garantidos os efeitos da Decisão PL-633, de 2003, aos profissionais que tiverem concluído ou concluírem os cursos disciplinados pela </w:t>
      </w:r>
      <w:r w:rsidRPr="00C332DA">
        <w:rPr>
          <w:rFonts w:ascii="Times New Roman" w:hAnsi="Times New Roman" w:cs="Times New Roman"/>
        </w:rPr>
        <w:lastRenderedPageBreak/>
        <w:t>referida decisão plenária e que, comprovadamente, já tenham sido iniciados em data anterior à presente decisão. Presidiu a Sessão o Eng. Civil WILSON LANG. Votaram favoravelmente os senhores Conselheiros Federais ANJELO DA COSTA NETO, FERNANDO ANTÔNIO SOUZA BEMERGUY, FRANCISCO MACHADO DA SILVA, JOÃO AMÉRICO PEREIRA, JOÃO DE OLIVEIRA SOBRINHO, JOSÉ QUEIROZ DA COSTA FILHO, MANOEL ANTÔNIO DE ALMEIDA DURÉ, MARIA DE NAZARETH DE SOUZA FRANÇA, MARIA HIGINA DO NASCIMENTO, MARIA JOSÉ BALBAKI FETTI, MILTON DA COSTA PINTO JÚNIOR, MOACYR FREITAS DE ALMENDRA GAYOSO JÚNIOR, PAULO CELSO RESENDE RANGEL, RENATO DE MELO ROCHA e WALTER LOGATTI FILHO. Votaram contrariamente os senhores Conselheiros Federais ITAMAR COSTA KALIL, LUIZ ALBERTO FREITAS PEREIRA, MARCOS DE SOUSA e SÉRGIO LUIZ CHAUTARD-.-.-.-.-.-.-.-.-.-.-.-.-.-.-.</w:t>
      </w:r>
      <w:proofErr w:type="gramStart"/>
      <w:r w:rsidRPr="00C332DA">
        <w:rPr>
          <w:rFonts w:ascii="Times New Roman" w:hAnsi="Times New Roman" w:cs="Times New Roman"/>
        </w:rPr>
        <w:t>-.-</w:t>
      </w:r>
      <w:proofErr w:type="gramEnd"/>
      <w:r w:rsidRPr="00C332DA">
        <w:rPr>
          <w:rFonts w:ascii="Times New Roman" w:hAnsi="Times New Roman" w:cs="Times New Roman"/>
        </w:rPr>
        <w:br/>
        <w:t>Cientifique-se e cumpra-se.</w:t>
      </w:r>
      <w:r w:rsidRPr="00C332DA">
        <w:rPr>
          <w:rFonts w:ascii="Times New Roman" w:hAnsi="Times New Roman" w:cs="Times New Roman"/>
        </w:rPr>
        <w:br/>
      </w:r>
      <w:r w:rsidRPr="00C332DA">
        <w:rPr>
          <w:rFonts w:ascii="Times New Roman" w:hAnsi="Times New Roman" w:cs="Times New Roman"/>
        </w:rPr>
        <w:br/>
      </w:r>
      <w:r w:rsidRPr="00C332DA">
        <w:rPr>
          <w:rFonts w:ascii="Times New Roman" w:hAnsi="Times New Roman" w:cs="Times New Roman"/>
        </w:rPr>
        <w:br/>
        <w:t>Brasília, 3 de novembro de 2004.</w:t>
      </w:r>
      <w:r w:rsidRPr="00C332DA">
        <w:rPr>
          <w:rFonts w:ascii="Times New Roman" w:hAnsi="Times New Roman" w:cs="Times New Roman"/>
        </w:rPr>
        <w:br/>
      </w:r>
      <w:r w:rsidRPr="00C332DA">
        <w:rPr>
          <w:rFonts w:ascii="Times New Roman" w:hAnsi="Times New Roman" w:cs="Times New Roman"/>
        </w:rPr>
        <w:br/>
      </w:r>
      <w:r w:rsidRPr="00C332DA">
        <w:rPr>
          <w:rFonts w:ascii="Times New Roman" w:hAnsi="Times New Roman" w:cs="Times New Roman"/>
        </w:rPr>
        <w:br/>
      </w:r>
      <w:r w:rsidRPr="00C332DA">
        <w:rPr>
          <w:rFonts w:ascii="Times New Roman" w:hAnsi="Times New Roman" w:cs="Times New Roman"/>
        </w:rPr>
        <w:br/>
        <w:t xml:space="preserve">Eng. Florestal Fernando Antônio Souza </w:t>
      </w:r>
      <w:proofErr w:type="spellStart"/>
      <w:r w:rsidRPr="00C332DA">
        <w:rPr>
          <w:rFonts w:ascii="Times New Roman" w:hAnsi="Times New Roman" w:cs="Times New Roman"/>
        </w:rPr>
        <w:t>Bemerguy</w:t>
      </w:r>
      <w:proofErr w:type="spellEnd"/>
      <w:r w:rsidRPr="00C332DA">
        <w:rPr>
          <w:rFonts w:ascii="Times New Roman" w:hAnsi="Times New Roman" w:cs="Times New Roman"/>
        </w:rPr>
        <w:br/>
        <w:t>Presidente em Exercício</w:t>
      </w:r>
    </w:p>
    <w:p w14:paraId="1324169C" w14:textId="77777777" w:rsidR="00C332DA" w:rsidRDefault="00C332DA">
      <w:pPr>
        <w:rPr>
          <w:rFonts w:ascii="Times New Roman" w:hAnsi="Times New Roman" w:cs="Times New Roman"/>
        </w:rPr>
      </w:pPr>
    </w:p>
    <w:p w14:paraId="69655A34" w14:textId="042B472B" w:rsidR="00C332DA" w:rsidRDefault="00C332DA">
      <w:pPr>
        <w:rPr>
          <w:rFonts w:ascii="Times New Roman" w:hAnsi="Times New Roman" w:cs="Times New Roman"/>
        </w:rPr>
      </w:pPr>
      <w:r>
        <w:rPr>
          <w:rFonts w:ascii="Times New Roman" w:hAnsi="Times New Roman" w:cs="Times New Roman"/>
        </w:rPr>
        <w:t>Decisão PL 0745/2007</w:t>
      </w:r>
    </w:p>
    <w:p w14:paraId="6547D002"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 xml:space="preserve">Ref. </w:t>
      </w:r>
      <w:proofErr w:type="gramStart"/>
      <w:r w:rsidRPr="00C332DA">
        <w:rPr>
          <w:rFonts w:ascii="Times New Roman" w:hAnsi="Times New Roman" w:cs="Times New Roman"/>
        </w:rPr>
        <w:t>SESSÃO :</w:t>
      </w:r>
      <w:proofErr w:type="gramEnd"/>
      <w:r w:rsidRPr="00C332DA">
        <w:rPr>
          <w:rFonts w:ascii="Times New Roman" w:hAnsi="Times New Roman" w:cs="Times New Roman"/>
        </w:rPr>
        <w:t xml:space="preserve"> Plenária Ordinária 1.344</w:t>
      </w:r>
      <w:r w:rsidRPr="00C332DA">
        <w:rPr>
          <w:rFonts w:ascii="Times New Roman" w:hAnsi="Times New Roman" w:cs="Times New Roman"/>
        </w:rPr>
        <w:br/>
      </w:r>
      <w:proofErr w:type="gramStart"/>
      <w:r w:rsidRPr="00C332DA">
        <w:rPr>
          <w:rFonts w:ascii="Times New Roman" w:hAnsi="Times New Roman" w:cs="Times New Roman"/>
        </w:rPr>
        <w:t>DECISÃO :</w:t>
      </w:r>
      <w:proofErr w:type="gramEnd"/>
      <w:r w:rsidRPr="00C332DA">
        <w:rPr>
          <w:rFonts w:ascii="Times New Roman" w:hAnsi="Times New Roman" w:cs="Times New Roman"/>
        </w:rPr>
        <w:t xml:space="preserve"> PL-0745/2007</w:t>
      </w:r>
      <w:r w:rsidRPr="00C332DA">
        <w:rPr>
          <w:rFonts w:ascii="Times New Roman" w:hAnsi="Times New Roman" w:cs="Times New Roman"/>
        </w:rPr>
        <w:br/>
      </w:r>
      <w:proofErr w:type="gramStart"/>
      <w:r w:rsidRPr="00C332DA">
        <w:rPr>
          <w:rFonts w:ascii="Times New Roman" w:hAnsi="Times New Roman" w:cs="Times New Roman"/>
        </w:rPr>
        <w:t>PROTOCOLO :</w:t>
      </w:r>
      <w:proofErr w:type="gramEnd"/>
      <w:r w:rsidRPr="00C332DA">
        <w:rPr>
          <w:rFonts w:ascii="Times New Roman" w:hAnsi="Times New Roman" w:cs="Times New Roman"/>
        </w:rPr>
        <w:t xml:space="preserve"> CF-1981/2006</w:t>
      </w:r>
      <w:r w:rsidRPr="00C332DA">
        <w:rPr>
          <w:rFonts w:ascii="Times New Roman" w:hAnsi="Times New Roman" w:cs="Times New Roman"/>
        </w:rPr>
        <w:br/>
      </w:r>
      <w:proofErr w:type="gramStart"/>
      <w:r w:rsidRPr="00C332DA">
        <w:rPr>
          <w:rFonts w:ascii="Times New Roman" w:hAnsi="Times New Roman" w:cs="Times New Roman"/>
        </w:rPr>
        <w:t>INTERESSADA :</w:t>
      </w:r>
      <w:proofErr w:type="gramEnd"/>
      <w:r w:rsidRPr="00C332DA">
        <w:rPr>
          <w:rFonts w:ascii="Times New Roman" w:hAnsi="Times New Roman" w:cs="Times New Roman"/>
        </w:rPr>
        <w:t xml:space="preserve"> Coordenadoria de Câmaras Especializadas de Agrimensura - CEEAGRI</w:t>
      </w:r>
    </w:p>
    <w:p w14:paraId="0F03BF7C"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br/>
        <w:t>EMENTA: Modelos de certidão de Georreferenciamento de imóveis rurais.</w:t>
      </w:r>
      <w:r w:rsidRPr="00C332DA">
        <w:rPr>
          <w:rFonts w:ascii="Times New Roman" w:hAnsi="Times New Roman" w:cs="Times New Roman"/>
        </w:rPr>
        <w:br/>
        <w:t>DECISÃO</w:t>
      </w:r>
      <w:r w:rsidRPr="00C332DA">
        <w:rPr>
          <w:rFonts w:ascii="Times New Roman" w:hAnsi="Times New Roman" w:cs="Times New Roman"/>
        </w:rPr>
        <w:br/>
        <w:t xml:space="preserve">O Plenário do Confea, reunido em Brasília de 19 a 21 de setembro de 2007, apreciando a Deliberação nº 255/2007-CEEP, que trata do protocolo em epígrafe, e considerando que a Coordenadoria de Câmaras Especializadas de Agrimensura propôs a uniformização dos modelos de certidão de georreferenciamento de imóveis rurais emitidas pelos </w:t>
      </w:r>
      <w:proofErr w:type="spellStart"/>
      <w:r w:rsidRPr="00C332DA">
        <w:rPr>
          <w:rFonts w:ascii="Times New Roman" w:hAnsi="Times New Roman" w:cs="Times New Roman"/>
        </w:rPr>
        <w:t>Creas</w:t>
      </w:r>
      <w:proofErr w:type="spellEnd"/>
      <w:r w:rsidRPr="00C332DA">
        <w:rPr>
          <w:rFonts w:ascii="Times New Roman" w:hAnsi="Times New Roman" w:cs="Times New Roman"/>
        </w:rPr>
        <w:t xml:space="preserve">; considerando que a então CEP concordou com os modelos da CCEAGRI, no entanto, estes modelos foram aperfeiçoados pelo Departamento de Análise Técnica do Confea visando ao atendimento da Decisão PL-2087/2004, inclusive com a supressão do último parágrafo dos modelos apresentados pela CCEAGRI porquanto os fatos ali citados já são previstos em Lei; considerando que deste modo, </w:t>
      </w:r>
      <w:r w:rsidRPr="00C332DA">
        <w:rPr>
          <w:rFonts w:ascii="Times New Roman" w:hAnsi="Times New Roman" w:cs="Times New Roman"/>
        </w:rPr>
        <w:lastRenderedPageBreak/>
        <w:t xml:space="preserve">foram sugeridos modelos de certidão especificamente: 1) para profissionais que comprovem ter cursado os conteúdos formativos citados na Decisão PL-2087/2004 por meio de cursos regulares de graduação ou Técnico de nível médio; 2) profissionais que comprovem terem cursado os conteúdos formativos na Decisão PL 2087/2004 por meio de cursos de pós-graduação ou de qualificação/aperfeiçoamento profissional; 3) profissionais que não tenham cursado os conteúdos formativos e façam a solicitação à Câmara Especializada competente, comprovando sua experiência profissional específica na área, por meio de Certidão de Acervo Técnico; considerando que a CEEP aprovou os modelos apresentados pela análise técnica e os encaminhou à CCEAGRI para conhecimento e manifestação; considerando que a CCEAGRI não concordou com os modelos apresentados pela CEEP, mantendo os modelos por elas apresentados inicialmente; considerando que a proposta da CEEAGRI é pertinente, pois sugere uma uniformização das certidões emitidas pelos </w:t>
      </w:r>
      <w:proofErr w:type="spellStart"/>
      <w:r w:rsidRPr="00C332DA">
        <w:rPr>
          <w:rFonts w:ascii="Times New Roman" w:hAnsi="Times New Roman" w:cs="Times New Roman"/>
        </w:rPr>
        <w:t>Creas</w:t>
      </w:r>
      <w:proofErr w:type="spellEnd"/>
      <w:r w:rsidRPr="00C332DA">
        <w:rPr>
          <w:rFonts w:ascii="Times New Roman" w:hAnsi="Times New Roman" w:cs="Times New Roman"/>
        </w:rPr>
        <w:t xml:space="preserve"> a profissionais que têm atribuições para executar serviços de georreferenciamento de Imóveis Rurais; considerando que após estudos aprofundados chegou-se a modelos de certidão que estão de acordo com a legislação em vigor e atendem aos objetivos propostos, DECIDIU: 1) Aprovar os modelos em anexo que foram apresentados à CCEAGRI pela CEEP. 2) Determinar aos </w:t>
      </w:r>
      <w:proofErr w:type="spellStart"/>
      <w:r w:rsidRPr="00C332DA">
        <w:rPr>
          <w:rFonts w:ascii="Times New Roman" w:hAnsi="Times New Roman" w:cs="Times New Roman"/>
        </w:rPr>
        <w:t>Creas</w:t>
      </w:r>
      <w:proofErr w:type="spellEnd"/>
      <w:r w:rsidRPr="00C332DA">
        <w:rPr>
          <w:rFonts w:ascii="Times New Roman" w:hAnsi="Times New Roman" w:cs="Times New Roman"/>
        </w:rPr>
        <w:t xml:space="preserve"> a adoção destes modelos em substituição aos atualmente utilizados. Presidiu a Sessão o Engenheiro Mecânico JAQUES SHERIQUE. Votaram favoravelmente os senhores Conselheiros Federais ADMAR BEZERRA ALVES, CLÁUDIO BRANDÃO NINA, CLÁUDIO PEREIRA CALHEIROS, FERNANDO LUIZ BECKMAN PEREIRA, IRACY VIEIRA SANTOS SILVANO, ISACARIAS CARLOS REBOUÇAS, JOÃO DE DEUS COELHO CORREIA, JORGE LUIZ DA ROSA VARGAS, JOSÉ ELIESER DE OLIVEIRA JÚNIOR, OSNI SCHROEDER, PAULO BUBACH, PEDRO IDELANO DE ALENCAR FELÍCIO, PEDRO LOPES DE QUEIRÓS, RICARDO ANTONIO DE ARRUDA VEIGA e VALMIR ANTUNES DA SILVA. Absteve-se de votar o senhor Conselheiro Federal FERNANDO JOSÉ DE MEDEIROS COSTA -.-.-.-.-.-.-.-.-.-.-.-.-.-.-.-.-.-.-.-.-.-.-.-.</w:t>
      </w:r>
    </w:p>
    <w:p w14:paraId="1DD5BAF6"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Cientifique-se e cumpra-se.</w:t>
      </w:r>
    </w:p>
    <w:p w14:paraId="2B722AB6"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br/>
        <w:t>Brasília, 21 de setembro de 2007.</w:t>
      </w:r>
    </w:p>
    <w:p w14:paraId="55DD5C8F" w14:textId="77777777" w:rsidR="00C332DA" w:rsidRPr="00C332DA" w:rsidRDefault="00C332DA" w:rsidP="00C332DA">
      <w:pPr>
        <w:rPr>
          <w:rFonts w:ascii="Times New Roman" w:hAnsi="Times New Roman" w:cs="Times New Roman"/>
        </w:rPr>
      </w:pPr>
      <w:r w:rsidRPr="00C332DA">
        <w:rPr>
          <w:rFonts w:ascii="Times New Roman" w:hAnsi="Times New Roman" w:cs="Times New Roman"/>
        </w:rPr>
        <w:t xml:space="preserve">Eng. </w:t>
      </w:r>
      <w:proofErr w:type="spellStart"/>
      <w:r w:rsidRPr="00C332DA">
        <w:rPr>
          <w:rFonts w:ascii="Times New Roman" w:hAnsi="Times New Roman" w:cs="Times New Roman"/>
        </w:rPr>
        <w:t>Civ</w:t>
      </w:r>
      <w:proofErr w:type="spellEnd"/>
      <w:r w:rsidRPr="00C332DA">
        <w:rPr>
          <w:rFonts w:ascii="Times New Roman" w:hAnsi="Times New Roman" w:cs="Times New Roman"/>
        </w:rPr>
        <w:t>. Marcos Túlio de Melo</w:t>
      </w:r>
      <w:r w:rsidRPr="00C332DA">
        <w:rPr>
          <w:rFonts w:ascii="Times New Roman" w:hAnsi="Times New Roman" w:cs="Times New Roman"/>
        </w:rPr>
        <w:br/>
        <w:t>Presidente</w:t>
      </w:r>
    </w:p>
    <w:p w14:paraId="7950931D" w14:textId="77777777" w:rsidR="00C332DA" w:rsidRDefault="00C332DA">
      <w:pPr>
        <w:rPr>
          <w:rFonts w:ascii="Times New Roman" w:hAnsi="Times New Roman" w:cs="Times New Roman"/>
        </w:rPr>
      </w:pPr>
    </w:p>
    <w:p w14:paraId="2460B10D" w14:textId="77777777" w:rsidR="00C332DA" w:rsidRPr="00C332DA" w:rsidRDefault="00C332DA">
      <w:pPr>
        <w:rPr>
          <w:rFonts w:ascii="Times New Roman" w:hAnsi="Times New Roman" w:cs="Times New Roman"/>
        </w:rPr>
      </w:pPr>
    </w:p>
    <w:sectPr w:rsidR="00C332DA" w:rsidRPr="00C332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A3"/>
    <w:rsid w:val="000B48EF"/>
    <w:rsid w:val="0024324B"/>
    <w:rsid w:val="004E672C"/>
    <w:rsid w:val="005572AB"/>
    <w:rsid w:val="00AA1DA3"/>
    <w:rsid w:val="00C06D2F"/>
    <w:rsid w:val="00C332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2C876"/>
  <w15:chartTrackingRefBased/>
  <w15:docId w15:val="{0FC90905-E931-45A6-84BC-794E82A9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A1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A1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A1D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A1D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A1D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A1D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A1D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A1D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A1DA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A1DA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A1DA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A1DA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A1DA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A1DA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A1DA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A1DA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A1DA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A1DA3"/>
    <w:rPr>
      <w:rFonts w:eastAsiaTheme="majorEastAsia" w:cstheme="majorBidi"/>
      <w:color w:val="272727" w:themeColor="text1" w:themeTint="D8"/>
    </w:rPr>
  </w:style>
  <w:style w:type="paragraph" w:styleId="Ttulo">
    <w:name w:val="Title"/>
    <w:basedOn w:val="Normal"/>
    <w:next w:val="Normal"/>
    <w:link w:val="TtuloChar"/>
    <w:uiPriority w:val="10"/>
    <w:qFormat/>
    <w:rsid w:val="00AA1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A1D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A1DA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A1DA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A1DA3"/>
    <w:pPr>
      <w:spacing w:before="160"/>
      <w:jc w:val="center"/>
    </w:pPr>
    <w:rPr>
      <w:i/>
      <w:iCs/>
      <w:color w:val="404040" w:themeColor="text1" w:themeTint="BF"/>
    </w:rPr>
  </w:style>
  <w:style w:type="character" w:customStyle="1" w:styleId="CitaoChar">
    <w:name w:val="Citação Char"/>
    <w:basedOn w:val="Fontepargpadro"/>
    <w:link w:val="Citao"/>
    <w:uiPriority w:val="29"/>
    <w:rsid w:val="00AA1DA3"/>
    <w:rPr>
      <w:i/>
      <w:iCs/>
      <w:color w:val="404040" w:themeColor="text1" w:themeTint="BF"/>
    </w:rPr>
  </w:style>
  <w:style w:type="paragraph" w:styleId="PargrafodaLista">
    <w:name w:val="List Paragraph"/>
    <w:basedOn w:val="Normal"/>
    <w:uiPriority w:val="34"/>
    <w:qFormat/>
    <w:rsid w:val="00AA1DA3"/>
    <w:pPr>
      <w:ind w:left="720"/>
      <w:contextualSpacing/>
    </w:pPr>
  </w:style>
  <w:style w:type="character" w:styleId="nfaseIntensa">
    <w:name w:val="Intense Emphasis"/>
    <w:basedOn w:val="Fontepargpadro"/>
    <w:uiPriority w:val="21"/>
    <w:qFormat/>
    <w:rsid w:val="00AA1DA3"/>
    <w:rPr>
      <w:i/>
      <w:iCs/>
      <w:color w:val="2F5496" w:themeColor="accent1" w:themeShade="BF"/>
    </w:rPr>
  </w:style>
  <w:style w:type="paragraph" w:styleId="CitaoIntensa">
    <w:name w:val="Intense Quote"/>
    <w:basedOn w:val="Normal"/>
    <w:next w:val="Normal"/>
    <w:link w:val="CitaoIntensaChar"/>
    <w:uiPriority w:val="30"/>
    <w:qFormat/>
    <w:rsid w:val="00AA1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A1DA3"/>
    <w:rPr>
      <w:i/>
      <w:iCs/>
      <w:color w:val="2F5496" w:themeColor="accent1" w:themeShade="BF"/>
    </w:rPr>
  </w:style>
  <w:style w:type="character" w:styleId="RefernciaIntensa">
    <w:name w:val="Intense Reference"/>
    <w:basedOn w:val="Fontepargpadro"/>
    <w:uiPriority w:val="32"/>
    <w:qFormat/>
    <w:rsid w:val="00AA1DA3"/>
    <w:rPr>
      <w:b/>
      <w:bCs/>
      <w:smallCaps/>
      <w:color w:val="2F5496" w:themeColor="accent1" w:themeShade="BF"/>
      <w:spacing w:val="5"/>
    </w:rPr>
  </w:style>
  <w:style w:type="character" w:styleId="Hyperlink">
    <w:name w:val="Hyperlink"/>
    <w:basedOn w:val="Fontepargpadro"/>
    <w:uiPriority w:val="99"/>
    <w:unhideWhenUsed/>
    <w:rsid w:val="00C332DA"/>
    <w:rPr>
      <w:color w:val="0563C1" w:themeColor="hyperlink"/>
      <w:u w:val="single"/>
    </w:rPr>
  </w:style>
  <w:style w:type="character" w:styleId="MenoPendente">
    <w:name w:val="Unresolved Mention"/>
    <w:basedOn w:val="Fontepargpadro"/>
    <w:uiPriority w:val="99"/>
    <w:semiHidden/>
    <w:unhideWhenUsed/>
    <w:rsid w:val="00C33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ormativos.confea.org.br/Ementas/Visualizar?id=23366" TargetMode="External"/><Relationship Id="rId5" Type="http://schemas.openxmlformats.org/officeDocument/2006/relationships/hyperlink" Target="http://normativos.confea.org.br/Ementas/Visualizar?id=38951" TargetMode="External"/><Relationship Id="rId4" Type="http://schemas.openxmlformats.org/officeDocument/2006/relationships/hyperlink" Target="http://normativos.confea.org.br/Ementas/Visualizar?id=2336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2143</Words>
  <Characters>11577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Castro</dc:creator>
  <cp:keywords/>
  <dc:description/>
  <cp:lastModifiedBy>Manoel Castro</cp:lastModifiedBy>
  <cp:revision>2</cp:revision>
  <dcterms:created xsi:type="dcterms:W3CDTF">2026-05-06T19:08:00Z</dcterms:created>
  <dcterms:modified xsi:type="dcterms:W3CDTF">2026-05-06T19:20:00Z</dcterms:modified>
</cp:coreProperties>
</file>