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24"/>
        </w:rPr>
        <w:t>LE505 - Pesquisa Operacional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24"/>
        </w:rPr>
        <w:t>Prof.ª Priscila Rampazzo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8"/>
        </w:rPr>
        <w:t>Universidade Estadual de Campinas</w:t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6"/>
        </w:rPr>
        <w:t>FCA – Faculdade de Ciências Aplicadas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Análise de Eficiência Relativa de Empresas de Petróleo e Gás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por meio da Análise Envoltória de Dados (DEA)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Junho/2026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4"/>
        </w:rPr>
        <w:t>Henrique Arbex Rodrigues Piscopo</w:t>
      </w:r>
      <w:r>
        <w:rPr>
          <w:rFonts w:ascii="Times New Roman" w:hAnsi="Times New Roman"/>
          <w:b/>
          <w:i w:val="0"/>
          <w:sz w:val="24"/>
        </w:rPr>
        <w:t xml:space="preserve">          RA: 284675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Limeira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before="240" w:after="120" w:line="280" w:lineRule="exact"/>
        <w:jc w:val="center"/>
      </w:pPr>
      <w:r>
        <w:rPr>
          <w:rFonts w:ascii="Times New Roman" w:hAnsi="Times New Roman"/>
          <w:b/>
          <w:i w:val="0"/>
          <w:sz w:val="24"/>
        </w:rPr>
        <w:t>RESUMO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presente trabalho aplica a Análise Envoltória de Dados (DEA) para mensurar a eficiência relativa de 22 empresas do setor de petróleo e gás listadas em bolsas internacionais. Foram empregados os modelos CCR (retornos constantes de escala) e BCC (retornos variáveis de escala), ambos com orientação a output, implementados em Python com uso da biblioteca PuLP para resolução dos problemas de programação linear. Os dados financeiros foram coletados via biblioteca yfinance, referentes ao exercício fiscal mais recente disponível, e compreendem três inputs — ativos totais, despesas operacionais e número de funcionários — e dois outputs — receita líquida e EBITDA. Os resultados indicam que 9 das 22 empresas (41%) são eficientes no modelo CCR e 10 (45%) no modelo BCC, com scores médios de 1,0811 e 1,0591, respectivamente. A Equinor (EQNR) e a Petrobras (PBR) emergem como benchmarks dominantes, sendo referenciadas por 12 e 10 DMUs ineficientes no modelo CCR, respectivamente. A Canadian Natural Resources (CNQ) é a empresa mais ineficiente da amostra (θ = 1,2597), seguida da Eni (θ = 1,1942) e da Chevron (θ = 1,1849). Conclui-se que a maioria das grandes empresas integradas opera próximo à fronteira eficiente, com ineficiências moderadas atribuíveis a diferenças de modelo de negócio, escala de operação e contexto regulatório.</w:t>
      </w:r>
    </w:p>
    <w:p>
      <w:pPr>
        <w:spacing w:before="240" w:after="120" w:line="280" w:lineRule="exact"/>
        <w:jc w:val="center"/>
      </w:pPr>
      <w:r>
        <w:rPr>
          <w:rFonts w:ascii="Times New Roman" w:hAnsi="Times New Roman"/>
          <w:b/>
          <w:i w:val="0"/>
          <w:sz w:val="24"/>
        </w:rPr>
        <w:t>INTRODUÇÃO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setor de petróleo e gás é marcado por elevada intensidade de capital, volatilidade de preços e crescentes pressões regulatórias e ambientais. Nesse ambiente, a avaliação comparativa do desempenho das empresas torna-se instrumento estratégico para gestores, investidores e formuladores de políticas públicas. Métodos tradicionais de análise financeira, como indicadores de rentabilidade e retorno sobre ativos, avaliam empresas de forma isolada e são fortemente influenciados por variáveis de preço exógenas ao controle das firmas, limitando a capacidade de identificar ineficiências operacionais genuínas.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Análise Envoltória de Dados (DEA), método não paramétrico desenvolvido por Charnes, Cooper e Rhodes (1978) e expandido por Banker, Charnes e Cooper (1984), oferece uma abordagem comparativa que constrói uma fronteira de melhores práticas a partir das próprias observações da amostra. Por meio da resolução de problemas de programação linear, o DEA identifica quais unidades de decisão (DMUs) operam na fronteira eficiente, quais estão aquém dela e em quanto cada unidade ineficiente precisaria expandir seus outputs para tornar-se eficiente.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trabalho tem por objetivo aplicar os modelos DEA-CCR e DEA-BCC, com orientação a output, para avaliar a eficiência relativa de 22 grandes empresas do setor de petróleo e gás, identificar os benchmarks setoriais e propor metas de melhoria para as unidades ineficientes.</w:t>
      </w:r>
    </w:p>
    <w:p>
      <w:pPr>
        <w:spacing w:before="240" w:after="120" w:line="280" w:lineRule="exact"/>
        <w:jc w:val="center"/>
      </w:pPr>
      <w:r>
        <w:rPr>
          <w:rFonts w:ascii="Times New Roman" w:hAnsi="Times New Roman"/>
          <w:b/>
          <w:i w:val="0"/>
          <w:sz w:val="24"/>
        </w:rPr>
        <w:t>APRESENTAÇÃO DO PROBLEMA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Unidades de Decisão (DMUs). </w:t>
      </w:r>
      <w:r>
        <w:rPr>
          <w:rFonts w:ascii="Times New Roman" w:hAnsi="Times New Roman"/>
          <w:b w:val="0"/>
          <w:i w:val="0"/>
          <w:sz w:val="24"/>
        </w:rPr>
        <w:t>A amostra é composta por 22 empresas do setor de petróleo e gás listadas em bolsas internacionais, abrangendo majors integradas, independentes de exploração, empresas de refino, serviços e midstream. As empresas selecionadas são megacorporações globais com operações em múltiplos países e dados reportados em dólares americanos, o que minimiza distorções de comparação internacional típicas de estudos com unidades puramente domésticas. A composição da amostra é apresentada na Tabela 1.</w:t>
      </w:r>
    </w:p>
    <w:tbl>
      <w:tblPr>
        <w:tblStyle w:val="TableGrid"/>
        <w:tblW w:type="dxa" w:w="9388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Ticker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Empresa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País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Segmento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XOM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ExxonMobil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CVX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Chevron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SHEL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Shell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Reino Unido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BP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BP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Reino Unido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TTE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TotalEnergies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França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COP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ConocoPhillips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Exploração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Petrobras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Brasil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EQNR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Equinor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Noruega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Eni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Itália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OXY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Occidental Petroleum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Exploração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DVN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Devon Energy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Exploração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VLO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Valero Energy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Refino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PSX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Phillips 66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Refino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MPC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Marathon Petroleum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Refino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SLB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SLB (Schlumberger)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Serviços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HAL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Halliburton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Serviços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IMO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Imperial Oil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Canadá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CNQ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Canadian Natural Resources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Canadá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Exploração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SU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Suncor Energy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Canadá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Integrada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BKR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Baker Hughes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Serviços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FTI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TechnipFMC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EUA/França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Serviços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WMB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Williams Companies</w:t>
            </w:r>
          </w:p>
        </w:tc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EUA</w:t>
            </w:r>
          </w:p>
        </w:tc>
        <w:tc>
          <w:tcPr>
            <w:tcW w:type="dxa" w:w="28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Midstream</w:t>
            </w:r>
          </w:p>
        </w:tc>
      </w:tr>
    </w:tbl>
    <w:p/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Tabela 1. </w:t>
      </w:r>
      <w:r>
        <w:rPr>
          <w:rFonts w:ascii="Times New Roman" w:hAnsi="Times New Roman"/>
          <w:b w:val="0"/>
          <w:i w:val="0"/>
          <w:sz w:val="20"/>
        </w:rPr>
        <w:t>Relação das DMUs analisadas, com ticker, empresa, país de origem e segmento de atuação.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Variáveis. </w:t>
      </w:r>
      <w:r>
        <w:rPr>
          <w:rFonts w:ascii="Times New Roman" w:hAnsi="Times New Roman"/>
          <w:b w:val="0"/>
          <w:i w:val="0"/>
          <w:sz w:val="24"/>
        </w:rPr>
        <w:t>A escolha de variáveis seguiu os critérios de disponibilidade, representatividade econômica e ausência de multicolinearidade severa. Foram definidos três inputs e dois outputs, conforme apresentado na Tabela 2.</w:t>
      </w:r>
    </w:p>
    <w:tbl>
      <w:tblPr>
        <w:tblStyle w:val="TableGrid"/>
        <w:tblW w:type="dxa" w:w="9388"/>
        <w:jc w:val="center"/>
        <w:tblLook w:firstColumn="1" w:firstRow="1" w:lastColumn="0" w:lastRow="0" w:noHBand="0" w:noVBand="1" w:val="04A0"/>
      </w:tblPr>
      <w:tblGrid>
        <w:gridCol w:w="3241"/>
        <w:gridCol w:w="3241"/>
        <w:gridCol w:w="3241"/>
      </w:tblGrid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Input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Total Assets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Ativos totais — proxy para capital empregado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Input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Operating Expenses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Despesas operacionais — proxy para custos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Input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Employees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Nº de funcionários — proxy para capital humano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Output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Total Revenue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Receita líquida total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Output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EBITDA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Lucro antes de juros, impostos, depreciação e amortização</w:t>
            </w:r>
          </w:p>
        </w:tc>
      </w:tr>
    </w:tbl>
    <w:p/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Tabela 2. </w:t>
      </w:r>
      <w:r>
        <w:rPr>
          <w:rFonts w:ascii="Times New Roman" w:hAnsi="Times New Roman"/>
          <w:b w:val="0"/>
          <w:i w:val="0"/>
          <w:sz w:val="20"/>
        </w:rPr>
        <w:t>Variáveis utilizadas no modelo DEA, com tipo (input/output) e descrição.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regra prática do DEA recomenda que o número de DMUs seja pelo menos três vezes a soma de inputs e outputs: 3 × (3 + 2) = 15. Com 22 DMUs, a regra é atendida com margem de 7 unidades. Os dados foram coletados via API do Yahoo Finance (biblioteca yfinance, Python), com valores expressos em dólares americanos. Cinco empresas foram removidas por dados incompletos (REP, MRO, HES, YPF, EC).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Limitações. </w:t>
      </w:r>
      <w:r>
        <w:rPr>
          <w:rFonts w:ascii="Times New Roman" w:hAnsi="Times New Roman"/>
          <w:b w:val="0"/>
          <w:i w:val="0"/>
          <w:sz w:val="24"/>
        </w:rPr>
        <w:t>A fonte automática (Yahoo Finance) pode apresentar inconsistências para empresas em bolsas não americanas. Os anos fiscais não são uniformes entre todas as empresas, podendo introduzir viés temporal. A Petrobras (PBR) foi identificada como outlier em três das cinco variáveis, podendo distorcer a fronteira eficiente. A amostra inclui empresas de segmentos distintos, o que reduz parcialmente a homogeneidade das DMUs.</w:t>
      </w:r>
    </w:p>
    <w:p>
      <w:pPr>
        <w:spacing w:before="240" w:after="120" w:line="280" w:lineRule="exact"/>
        <w:jc w:val="center"/>
      </w:pPr>
      <w:r>
        <w:rPr>
          <w:rFonts w:ascii="Times New Roman" w:hAnsi="Times New Roman"/>
          <w:b/>
          <w:i w:val="0"/>
          <w:sz w:val="24"/>
        </w:rPr>
        <w:t>ANÁLISE ENVOLTÓRIA DE DADOS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Introdução ao DEA. </w:t>
      </w:r>
      <w:r>
        <w:rPr>
          <w:rFonts w:ascii="Times New Roman" w:hAnsi="Times New Roman"/>
          <w:b w:val="0"/>
          <w:i w:val="0"/>
          <w:sz w:val="24"/>
        </w:rPr>
        <w:t>A Análise Envoltória de Dados é uma técnica de programação matemática não paramétrica que avalia a eficiência relativa de unidades de decisão que compartilham o mesmo conjunto de inputs e outputs. Ao contrário de métodos paramétricos, o DEA não pressupõe uma forma funcional específica, construindo a fronteira eficiente empiricamente a partir das melhores práticas observadas na amostra. Uma DMU é eficiente quando nenhuma combinação linear das demais consegue produzir mais outputs com os mesmos ou menos inputs.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Modelo CCR. </w:t>
      </w:r>
      <w:r>
        <w:rPr>
          <w:rFonts w:ascii="Times New Roman" w:hAnsi="Times New Roman"/>
          <w:b w:val="0"/>
          <w:i w:val="0"/>
          <w:sz w:val="24"/>
        </w:rPr>
        <w:t>O modelo CCR (Charnes, Cooper e Rhodes, 1978) assume retornos constantes de escala (CRS). Com orientação a output, busca o fator máximo θ pelo qual os outputs da DMU avaliada podem ser expandidos mantendo os inputs fixos: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>max  θ</w:t>
        <w:tab/>
        <w:t>(1)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>s.a.    Σj λj xij ≤ xio ,   ∀ i</w:t>
        <w:tab/>
        <w:t>(2)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 xml:space="preserve">         Σj λj yrj ≥ θ · yro ,  ∀ r</w:t>
        <w:tab/>
        <w:t>(3)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 xml:space="preserve">         λj ≥ 0 ,   ∀ j</w:t>
        <w:tab/>
        <w:t>(4)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onde xij é o valor do input i da DMU j; yrj é o valor do output r da DMU j; λj são os pesos das DMUs de referência; e θ é o score de eficiência. Uma DMU é eficiente quando θ = 1,0; ineficiente quando θ &gt; 1,0.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Modelo BCC. </w:t>
      </w:r>
      <w:r>
        <w:rPr>
          <w:rFonts w:ascii="Times New Roman" w:hAnsi="Times New Roman"/>
          <w:b w:val="0"/>
          <w:i w:val="0"/>
          <w:sz w:val="24"/>
        </w:rPr>
        <w:t>O modelo BCC (Banker, Charnes e Cooper, 1984) admite retornos variáveis de escala (VRS) por meio de uma restrição de convexidade adicional: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>max  θ</w:t>
        <w:tab/>
        <w:t>(5)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>s.a.    Σj λj xij ≤ xio ,   ∀ i</w:t>
        <w:tab/>
        <w:t>(6)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 xml:space="preserve">         Σj λj yrj ≥ θ · yro ,  ∀ r</w:t>
        <w:tab/>
        <w:t>(7)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 xml:space="preserve">         λj ≥ 0 ,   ∀ j</w:t>
        <w:tab/>
        <w:t>(8)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 xml:space="preserve">         Σj λj = 1</w:t>
        <w:tab/>
        <w:t>(9)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restrição (9) garante que cada DMU seja comparada apenas com combinações convexas de outras DMUs de porte similar, eliminando o componente de ineficiência de escala.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Eficiência de Escala. </w:t>
      </w:r>
      <w:r>
        <w:rPr>
          <w:rFonts w:ascii="Times New Roman" w:hAnsi="Times New Roman"/>
          <w:b w:val="0"/>
          <w:i w:val="0"/>
          <w:sz w:val="24"/>
        </w:rPr>
        <w:t>A eficiência de escala (SE) é obtida pela razão entre os scores dos dois modelos:</w:t>
      </w:r>
    </w:p>
    <w:p>
      <w:pPr>
        <w:spacing w:before="40" w:after="40" w:line="280" w:lineRule="exact"/>
        <w:ind w:left="1417"/>
        <w:jc w:val="left"/>
        <w:tabs>
          <w:tab w:val="right" w:pos="9360"/>
        </w:tabs>
      </w:pPr>
      <w:r>
        <w:rPr>
          <w:rFonts w:ascii="Times New Roman" w:hAnsi="Times New Roman"/>
          <w:sz w:val="24"/>
        </w:rPr>
        <w:t>SE = θCCR / θBCC</w:t>
        <w:tab/>
        <w:t>(10)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Quando SE = 1, a DMU opera na escala ótima (CRS). Quando SE &gt; 1, há ineficiência de escala.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Orientação escolhida. </w:t>
      </w:r>
      <w:r>
        <w:rPr>
          <w:rFonts w:ascii="Times New Roman" w:hAnsi="Times New Roman"/>
          <w:b w:val="0"/>
          <w:i w:val="0"/>
          <w:sz w:val="24"/>
        </w:rPr>
        <w:t>Adotou-se a orientação a output pois as empresas do setor operam com estrutura de ativos, força de trabalho e custos operacionais relativamente fixos no curto prazo. A pergunta economicamente mais relevante é quanto mais receita e EBITDA cada empresa poderia gerar com os recursos que já possui, caso operasse sobre a fronteira eficiente.</w:t>
      </w:r>
    </w:p>
    <w:p>
      <w:r>
        <w:br w:type="page"/>
      </w:r>
    </w:p>
    <w:p>
      <w:pPr>
        <w:spacing w:before="240" w:after="120" w:line="280" w:lineRule="exact"/>
        <w:jc w:val="center"/>
      </w:pPr>
      <w:r>
        <w:rPr>
          <w:rFonts w:ascii="Times New Roman" w:hAnsi="Times New Roman"/>
          <w:b/>
          <w:i w:val="0"/>
          <w:sz w:val="24"/>
        </w:rPr>
        <w:t>RESULTADOS E DISCUSSÕES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Análise Exploratória dos Dados. </w:t>
      </w:r>
      <w:r>
        <w:rPr>
          <w:rFonts w:ascii="Times New Roman" w:hAnsi="Times New Roman"/>
          <w:b w:val="0"/>
          <w:i w:val="0"/>
          <w:sz w:val="24"/>
        </w:rPr>
        <w:t>A análise exploratória revelou elevada dispersão nas variáveis, reflexo da heterogeneidade de porte entre as 22 DMUs. Os boxplots das variáveis normalizadas (Figura 5) evidenciam a presença de valores atípicos, especialmente nos outputs. A análise pelo método IQR identificou a Petrobras (PBR) como outlier em três variáveis: Total Assets, Receita Líquida e EBITDA.</w:t>
      </w:r>
    </w:p>
    <w:p>
      <w:pPr>
        <w:spacing w:before="120" w:after="40" w:line="28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040000" cy="2148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Figura 5. </w:t>
      </w:r>
      <w:r>
        <w:rPr>
          <w:rFonts w:ascii="Times New Roman" w:hAnsi="Times New Roman"/>
          <w:b w:val="0"/>
          <w:i w:val="0"/>
          <w:sz w:val="20"/>
        </w:rPr>
        <w:t>Boxplots das variáveis de input e output normalizadas pelo valor máximo da amostra.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matriz de correlação (Figura 6) apresenta alta correlação positiva entre inputs e outputs, esperada pela relação entre porte e capacidade produtiva das empresas.</w:t>
      </w:r>
    </w:p>
    <w:p>
      <w:pPr>
        <w:spacing w:before="120" w:after="40" w:line="28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3960000" cy="3588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8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Figura 6. </w:t>
      </w:r>
      <w:r>
        <w:rPr>
          <w:rFonts w:ascii="Times New Roman" w:hAnsi="Times New Roman"/>
          <w:b w:val="0"/>
          <w:i w:val="0"/>
          <w:sz w:val="20"/>
        </w:rPr>
        <w:t>Matriz de correlação entre as variáveis de input e output.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Scores de Eficiência. </w:t>
      </w:r>
      <w:r>
        <w:rPr>
          <w:rFonts w:ascii="Times New Roman" w:hAnsi="Times New Roman"/>
          <w:b w:val="0"/>
          <w:i w:val="0"/>
          <w:sz w:val="24"/>
        </w:rPr>
        <w:t>Os resultados dos modelos CCR e BCC são apresentados na Tabela 3. No modelo CCR, 9 das 22 DMUs (41%) atingiram a fronteira eficiente (θ = 1,0000), enquanto no BCC esse número sobe para 10 DMUs (45%). O score médio CCR é 1,0811 e o BCC é 1,0591.</w:t>
      </w:r>
    </w:p>
    <w:tbl>
      <w:tblPr>
        <w:tblStyle w:val="TableGrid"/>
        <w:tblW w:type="dxa" w:w="9388"/>
        <w:jc w:val="center"/>
        <w:tblLook w:firstColumn="1" w:firstRow="1" w:lastColumn="0" w:lastRow="0" w:noHBand="0" w:noVBand="1" w:val="04A0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DMU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Empresa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CCR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BCC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Ef. Escala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Efic. CCR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Efic. BCC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XOM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ExxonMobil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1,1023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1,1023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CVX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Chevron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1,1849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1,1281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1,0504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SHEL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Shell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1,1356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1,0188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1,1146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BP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BP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1,1522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1,0686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1,0782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TTE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TotalEnergies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1,1495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1,0854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1,0591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COP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ConocoPhillips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1,0587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1,0585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1,0002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Petrobras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EQNR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Equinor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Eni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1,1942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1,1937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1,0004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OXY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Occidental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1,1281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1,1253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1,0025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DVN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Devon Energy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VLO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Valero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PSX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Phillips 66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MPC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Marathon Petro.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SLB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SLB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1,0976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1,0889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1,0080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HAL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Halliburton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1,0504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1,0488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1,0015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IMO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Imperial Oil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CNQ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Canadian Natural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1,2597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1,2438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1,0128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SU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Suncor Energy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1,1513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1,1336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1,0156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BKR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Baker Hughes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1,1199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1,1077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1,0110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Não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FTI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TechnipFMC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WMB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Williams Cos.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  <w:tc>
          <w:tcPr>
            <w:tcW w:type="dxa" w:w="12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</w:t>
            </w:r>
          </w:p>
        </w:tc>
      </w:tr>
    </w:tbl>
    <w:p/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Tabela 3. </w:t>
      </w:r>
      <w:r>
        <w:rPr>
          <w:rFonts w:ascii="Times New Roman" w:hAnsi="Times New Roman"/>
          <w:b w:val="0"/>
          <w:i w:val="0"/>
          <w:sz w:val="20"/>
        </w:rPr>
        <w:t>Scores de eficiência CCR, BCC e eficiência de escala para as 22 DMUs. Scores iguais a 1,0000 indicam DMU eficiente.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distribuição dos scores é visualizada no histograma da Figura 1.</w:t>
      </w:r>
    </w:p>
    <w:p>
      <w:pPr>
        <w:spacing w:before="120" w:after="40" w:line="28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040000" cy="2473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effici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Figura 1. </w:t>
      </w:r>
      <w:r>
        <w:rPr>
          <w:rFonts w:ascii="Times New Roman" w:hAnsi="Times New Roman"/>
          <w:b w:val="0"/>
          <w:i w:val="0"/>
          <w:sz w:val="20"/>
        </w:rPr>
        <w:t>Distribuição dos scores de eficiência CCR e BCC. A linha vermelha tracejada indica a fronteira eficiente (θ = 1,0).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ranking de eficiência por empresa é apresentado na Figura 2.</w:t>
      </w:r>
    </w:p>
    <w:p>
      <w:pPr>
        <w:spacing w:before="120" w:after="40" w:line="28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040000" cy="3642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effici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Figura 2. </w:t>
      </w:r>
      <w:r>
        <w:rPr>
          <w:rFonts w:ascii="Times New Roman" w:hAnsi="Times New Roman"/>
          <w:b w:val="0"/>
          <w:i w:val="0"/>
          <w:sz w:val="20"/>
        </w:rPr>
        <w:t>Ranking de eficiência das 22 DMUs pelos scores CCR e BCC.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DMUs Eficientes. </w:t>
      </w:r>
      <w:r>
        <w:rPr>
          <w:rFonts w:ascii="Times New Roman" w:hAnsi="Times New Roman"/>
          <w:b w:val="0"/>
          <w:i w:val="0"/>
          <w:sz w:val="24"/>
        </w:rPr>
        <w:t>As empresas que atingiram a fronteira eficiente em cada modelo são sintetizadas na Tabela 4.</w:t>
      </w:r>
    </w:p>
    <w:tbl>
      <w:tblPr>
        <w:tblStyle w:val="TableGrid"/>
        <w:tblW w:type="dxa" w:w="9388"/>
        <w:jc w:val="center"/>
        <w:tblLook w:firstColumn="1" w:firstRow="1" w:lastColumn="0" w:lastRow="0" w:noHBand="0" w:noVBand="1" w:val="04A0"/>
      </w:tblPr>
      <w:tblGrid>
        <w:gridCol w:w="4861"/>
        <w:gridCol w:w="4861"/>
      </w:tblGrid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Modelo</w:t>
            </w:r>
          </w:p>
        </w:tc>
        <w:tc>
          <w:tcPr>
            <w:tcW w:type="dxa" w:w="79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DMUs Eficientes (θ = 1,0000)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CCR</w:t>
            </w:r>
          </w:p>
        </w:tc>
        <w:tc>
          <w:tcPr>
            <w:tcW w:type="dxa" w:w="79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EQNR, DVN, VLO, PSX, MPC, IMO, FTI, WMB (9 empresas)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BCC</w:t>
            </w:r>
          </w:p>
        </w:tc>
        <w:tc>
          <w:tcPr>
            <w:tcW w:type="dxa" w:w="79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XOM, PBR, EQNR, DVN, VLO, PSX, MPC, IMO, FTI, WMB (10 empresas)</w:t>
            </w:r>
          </w:p>
        </w:tc>
      </w:tr>
    </w:tbl>
    <w:p/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Tabela 4. </w:t>
      </w:r>
      <w:r>
        <w:rPr>
          <w:rFonts w:ascii="Times New Roman" w:hAnsi="Times New Roman"/>
          <w:b w:val="0"/>
          <w:i w:val="0"/>
          <w:sz w:val="20"/>
        </w:rPr>
        <w:t>DMUs eficientes nos modelos CCR e BCC. XOM aparece eficiente exclusivamente no BCC, evidenciando ineficiência de escala.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Benchmarks e Lambdas. </w:t>
      </w:r>
      <w:r>
        <w:rPr>
          <w:rFonts w:ascii="Times New Roman" w:hAnsi="Times New Roman"/>
          <w:b w:val="0"/>
          <w:i w:val="0"/>
          <w:sz w:val="24"/>
        </w:rPr>
        <w:t>O scatter plot CCR vs BCC (Figura 3) e o heatmap de benchmarks (Figura 4) evidenciam a estrutura de referências do modelo.</w:t>
      </w:r>
    </w:p>
    <w:p>
      <w:pPr>
        <w:spacing w:before="120" w:after="40" w:line="28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4320000" cy="38309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r_vs_bc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Figura 3. </w:t>
      </w:r>
      <w:r>
        <w:rPr>
          <w:rFonts w:ascii="Times New Roman" w:hAnsi="Times New Roman"/>
          <w:b w:val="0"/>
          <w:i w:val="0"/>
          <w:sz w:val="20"/>
        </w:rPr>
        <w:t>Dispersão entre scores CCR e BCC por DMU. Pontos sobre a diagonal (y = x) indicam ausência de ineficiência de escala.</w:t>
      </w:r>
    </w:p>
    <w:p>
      <w:pPr>
        <w:spacing w:before="120" w:after="40" w:line="28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040000" cy="33898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Figura 4. </w:t>
      </w:r>
      <w:r>
        <w:rPr>
          <w:rFonts w:ascii="Times New Roman" w:hAnsi="Times New Roman"/>
          <w:b w:val="0"/>
          <w:i w:val="0"/>
          <w:sz w:val="20"/>
        </w:rPr>
        <w:t>Heatmap de intensidade dos pesos λ (modelo CCR). Linhas: DMUs ineficientes; Colunas: DMUs eficientes utilizadas como benchmark.</w:t>
      </w:r>
    </w:p>
    <w:tbl>
      <w:tblPr>
        <w:tblStyle w:val="TableGrid"/>
        <w:tblW w:type="dxa" w:w="9388"/>
        <w:jc w:val="center"/>
        <w:tblLook w:firstColumn="1" w:firstRow="1" w:lastColumn="0" w:lastRow="0" w:noHBand="0" w:noVBand="1" w:val="04A0"/>
      </w:tblPr>
      <w:tblGrid>
        <w:gridCol w:w="3241"/>
        <w:gridCol w:w="3241"/>
        <w:gridCol w:w="3241"/>
      </w:tblGrid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DMU Ineficiente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Score CCR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Benchmarks (CCR)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XOM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1,1023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EQNR, IMO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CVX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1,1849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EQNR, IMO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SHEL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1,1356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EQNR, MPC, FTI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BP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1,1522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EQNR, FTI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TTE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1,1495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COP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1,0587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EQNR, DVN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1,1942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OXY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1,1281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WMB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SLB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1,0976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HAL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1,0504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EQNR, FTI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CNQ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1,2597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EQNR, DVN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SU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1,1513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</w:t>
            </w:r>
          </w:p>
        </w:tc>
      </w:tr>
      <w:tr>
        <w:tc>
          <w:tcPr>
            <w:tcW w:type="dxa" w:w="22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BKR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1,1199</w:t>
            </w:r>
          </w:p>
        </w:tc>
        <w:tc>
          <w:tcPr>
            <w:tcW w:type="dxa" w:w="5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PBR, EQNR</w:t>
            </w:r>
          </w:p>
        </w:tc>
      </w:tr>
    </w:tbl>
    <w:p/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Tabela 5. </w:t>
      </w:r>
      <w:r>
        <w:rPr>
          <w:rFonts w:ascii="Times New Roman" w:hAnsi="Times New Roman"/>
          <w:b w:val="0"/>
          <w:i w:val="0"/>
          <w:sz w:val="20"/>
        </w:rPr>
        <w:t>Benchmarks das DMUs ineficientes no modelo CCR. EQNR é referência para 12 das 13 DMUs ineficientes; PBR, para 10.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Equinor (EQNR) é o benchmark dominante, servindo de referência para 12 das 13 DMUs ineficientes no modelo CCR. Seu perfil — alta receita e EBITDA por ativo empregado, com base de funcionários enxuta (aproximadamente 22.000 colaboradores) — representa o padrão de excelência setorial identificado pelo DEA.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Metas de Melhoria. </w:t>
      </w:r>
      <w:r>
        <w:rPr>
          <w:rFonts w:ascii="Times New Roman" w:hAnsi="Times New Roman"/>
          <w:b w:val="0"/>
          <w:i w:val="0"/>
          <w:sz w:val="24"/>
        </w:rPr>
        <w:t>A orientação a output implica que as DMUs ineficientes deveriam expandir receita e EBITDA em (θ − 1) × 100% mantendo os inputs atuais. As metas são apresentadas na Tabela 6 e visualizadas na Figura 7.</w:t>
      </w:r>
    </w:p>
    <w:tbl>
      <w:tblPr>
        <w:tblStyle w:val="TableGrid"/>
        <w:tblW w:type="dxa" w:w="9388"/>
        <w:jc w:val="center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DMU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Score CCR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Receita Atual</w:t>
              <w:br/>
              <w:t>(USD bi)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Meta Receita</w:t>
              <w:br/>
              <w:t>(USD bi)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Aumento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EBITDA Atual</w:t>
              <w:br/>
              <w:t>(USD bi)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Meta EBITDA</w:t>
              <w:br/>
              <w:t>(USD bi)</w:t>
            </w:r>
          </w:p>
        </w:tc>
        <w:tc>
          <w:tcPr>
            <w:tcW w:type="dxa" w:w="9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Aumento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CNQ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1,2597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38,6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48,7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+26,0%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14,8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18,6</w:t>
            </w:r>
          </w:p>
        </w:tc>
        <w:tc>
          <w:tcPr>
            <w:tcW w:type="dxa" w:w="9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+26,0%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 (Eni)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1,1942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84,5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101,0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+19,4%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12,0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14,3</w:t>
            </w:r>
          </w:p>
        </w:tc>
        <w:tc>
          <w:tcPr>
            <w:tcW w:type="dxa" w:w="9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+19,4%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CVX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1,1849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186,0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220,4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+18,5%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37,9</w:t>
            </w:r>
          </w:p>
        </w:tc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44,9</w:t>
            </w:r>
          </w:p>
        </w:tc>
        <w:tc>
          <w:tcPr>
            <w:tcW w:type="dxa" w:w="9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+18,5%</w:t>
            </w:r>
          </w:p>
        </w:tc>
      </w:tr>
    </w:tbl>
    <w:p/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Tabela 6. </w:t>
      </w:r>
      <w:r>
        <w:rPr>
          <w:rFonts w:ascii="Times New Roman" w:hAnsi="Times New Roman"/>
          <w:b w:val="0"/>
          <w:i w:val="0"/>
          <w:sz w:val="20"/>
        </w:rPr>
        <w:t>Metas de melhoria para as três DMUs mais ineficientes no modelo CCR. Valores em bilhões de dólares americanos (USD bi).</w:t>
      </w:r>
    </w:p>
    <w:p>
      <w:pPr>
        <w:spacing w:before="120" w:after="40" w:line="28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040000" cy="17916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targe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Figura 7. </w:t>
      </w:r>
      <w:r>
        <w:rPr>
          <w:rFonts w:ascii="Times New Roman" w:hAnsi="Times New Roman"/>
          <w:b w:val="0"/>
          <w:i w:val="0"/>
          <w:sz w:val="20"/>
        </w:rPr>
        <w:t>Comparação entre outputs atuais e metas para as três DMUs mais ineficientes (CNQ, Eni e Chevron).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Canadian Natural Resources (CNQ), com θ = 1,2597, é a mais ineficiente. Sua ineficiência é majoritariamente estrutural, associada ao modelo de negócio de oil sands, cujo custo de extração é superior ao do petróleo convencional explorado por seus benchmarks. A Eni (E), com θ = 1,1942, apresenta base de ativos e funcionários elevada em relação ao nível de receita. A Chevron (CVX), com θ = 1,1849, não extrai o máximo de receita e EBITDA de sua base de ativos, possivelmente por estratégia conservadora de capital.</w:t>
      </w:r>
    </w:p>
    <w:p>
      <w:pPr>
        <w:spacing w:before="120" w:after="120" w:line="280" w:lineRule="exact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Eficiência de Escala. </w:t>
      </w:r>
      <w:r>
        <w:rPr>
          <w:rFonts w:ascii="Times New Roman" w:hAnsi="Times New Roman"/>
          <w:b w:val="0"/>
          <w:i w:val="0"/>
          <w:sz w:val="24"/>
        </w:rPr>
        <w:t>A eficiência de escala de cada DMU é apresentada na Tabela 7. O caso mais relevante é o da ExxonMobil (XOM), com SE = 1,1023 — a maior da amostra. Seu score CCR cai para 1,0000 no BCC, evidenciando que toda a ineficiência observada no modelo CCR é de natureza escalar, não operacional.</w:t>
      </w:r>
    </w:p>
    <w:tbl>
      <w:tblPr>
        <w:tblStyle w:val="TableGrid"/>
        <w:tblW w:type="dxa" w:w="9388"/>
        <w:jc w:val="center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DMU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Score CCR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Score BCC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Ef. Escala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Retorno de Escala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XOM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1,1023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1,1023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CVX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1,1849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1,1281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1,0504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SHEL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1,1356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1,0188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1,1146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BP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1,1522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1,0686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1,0782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TTE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1,1495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1,0854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1,0591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COP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1,0587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1,0585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1,0002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PBR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EQNR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1,1942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1,1937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1,0004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OXY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1,1281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1,1253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1,0025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DVN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VLO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PSX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MPC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SLB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1,0976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1,0889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1,0080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HAL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1,0504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1,0488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1,0015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IMO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CNQ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1,2597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1,2438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1,0128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SU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1,1513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1,1336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1,0156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BKR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1,1199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1,1077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1,0110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FTI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  <w:tr>
        <w:tc>
          <w:tcPr>
            <w:tcW w:type="dxa" w:w="113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WMB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349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exact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CRS</w:t>
            </w:r>
          </w:p>
        </w:tc>
      </w:tr>
    </w:tbl>
    <w:p/>
    <w:p>
      <w:pPr>
        <w:spacing w:before="40" w:after="200" w:line="240" w:lineRule="exact"/>
        <w:jc w:val="center"/>
      </w:pPr>
      <w:r>
        <w:rPr>
          <w:rFonts w:ascii="Times New Roman" w:hAnsi="Times New Roman"/>
          <w:b/>
          <w:i w:val="0"/>
          <w:sz w:val="20"/>
        </w:rPr>
        <w:t xml:space="preserve">Tabela 7. </w:t>
      </w:r>
      <w:r>
        <w:rPr>
          <w:rFonts w:ascii="Times New Roman" w:hAnsi="Times New Roman"/>
          <w:b w:val="0"/>
          <w:i w:val="0"/>
          <w:sz w:val="20"/>
        </w:rPr>
        <w:t>Eficiência de escala e tipo de retorno de escala para todas as DMUs.</w:t>
      </w:r>
    </w:p>
    <w:p>
      <w:r>
        <w:br w:type="page"/>
      </w:r>
    </w:p>
    <w:p>
      <w:pPr>
        <w:spacing w:before="240" w:after="120" w:line="280" w:lineRule="exact"/>
        <w:jc w:val="center"/>
      </w:pPr>
      <w:r>
        <w:rPr>
          <w:rFonts w:ascii="Times New Roman" w:hAnsi="Times New Roman"/>
          <w:b/>
          <w:i w:val="0"/>
          <w:sz w:val="24"/>
        </w:rPr>
        <w:t>CONCLUSÕES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presente trabalho aplicou os modelos DEA-CCR e DEA-BCC, com orientação a output, para avaliar a eficiência relativa de 22 grandes empresas do setor de petróleo e gás. 41% das DMUs (9/22) são eficientes no CCR e 45% (10/22) no BCC, com scores médios de 1,0811 e 1,0591, respectivamente. A Equinor (EQNR) e a Petrobras (PBR) são os benchmarks dominantes — referências para 12 e 10 DMUs ineficientes, respectivamente. A Canadian Natural Resources (CNQ) é a mais ineficiente (θ = 1,2597), com ineficiência majoritariamente estrutural ligada ao modelo de negócio de oil sands. A ExxonMobil (XOM) apresenta o caso mais didático de ineficiência de escala: operacionalmente eficiente no BCC, mas com SE = 1,1023 no CCR. As grandes majors europeias — Shell, BP, TotalEnergies e Eni — apresentam-se como ineficientes em ambos os modelos, com scores entre 1,02 e 1,19.</w:t>
      </w:r>
    </w:p>
    <w:p>
      <w:pPr>
        <w:spacing w:before="0" w:after="120" w:line="28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trabalhos futuros, recomenda-se a análise de janela temporal (window analysis) para capturar a evolução da eficiência ao longo dos ciclos de preço do petróleo, a inclusão de variáveis ambientais e de governança (ESG) como outputs, e a aplicação de modelos DEA com outputs indesejáveis (emissões de CO₂) para refletir as externalidades do setor.</w:t>
      </w:r>
    </w:p>
    <w:p>
      <w:pPr>
        <w:spacing w:before="240" w:after="120" w:line="280" w:lineRule="exact"/>
        <w:jc w:val="center"/>
      </w:pPr>
      <w:r>
        <w:rPr>
          <w:rFonts w:ascii="Times New Roman" w:hAnsi="Times New Roman"/>
          <w:b/>
          <w:i w:val="0"/>
          <w:sz w:val="24"/>
        </w:rPr>
        <w:t>REFERÊNCIAS BIBLIOGRÁFICAS</w:t>
      </w:r>
    </w:p>
    <w:p>
      <w:pPr>
        <w:spacing w:before="0" w:after="120" w:line="280" w:lineRule="exact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BANKER, R. D.; CHARNES, A.; COOPER, W. W. </w:t>
      </w:r>
      <w:r>
        <w:rPr>
          <w:rFonts w:ascii="Times New Roman" w:hAnsi="Times New Roman"/>
          <w:b w:val="0"/>
          <w:i/>
          <w:sz w:val="24"/>
        </w:rPr>
        <w:t xml:space="preserve">Some models for estimating technical and scale inefficiencies in data envelopment analysis. </w:t>
      </w:r>
      <w:r>
        <w:rPr>
          <w:rFonts w:ascii="Times New Roman" w:hAnsi="Times New Roman"/>
          <w:b w:val="0"/>
          <w:i w:val="0"/>
          <w:sz w:val="24"/>
        </w:rPr>
        <w:t>Management Science</w:t>
      </w:r>
      <w:r>
        <w:rPr>
          <w:rFonts w:ascii="Times New Roman" w:hAnsi="Times New Roman"/>
          <w:b w:val="0"/>
          <w:i w:val="0"/>
          <w:sz w:val="24"/>
        </w:rPr>
        <w:t>, v. 30, n. 9, p. 1078–1092, 1984.</w:t>
      </w:r>
    </w:p>
    <w:p>
      <w:pPr>
        <w:spacing w:before="0" w:after="120" w:line="280" w:lineRule="exact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CHARNES, A.; COOPER, W. W.; RHODES, E. </w:t>
      </w:r>
      <w:r>
        <w:rPr>
          <w:rFonts w:ascii="Times New Roman" w:hAnsi="Times New Roman"/>
          <w:b w:val="0"/>
          <w:i/>
          <w:sz w:val="24"/>
        </w:rPr>
        <w:t xml:space="preserve">Measuring the efficiency of decision making units. </w:t>
      </w:r>
      <w:r>
        <w:rPr>
          <w:rFonts w:ascii="Times New Roman" w:hAnsi="Times New Roman"/>
          <w:b w:val="0"/>
          <w:i w:val="0"/>
          <w:sz w:val="24"/>
        </w:rPr>
        <w:t>European Journal of Operational Research</w:t>
      </w:r>
      <w:r>
        <w:rPr>
          <w:rFonts w:ascii="Times New Roman" w:hAnsi="Times New Roman"/>
          <w:b w:val="0"/>
          <w:i w:val="0"/>
          <w:sz w:val="24"/>
        </w:rPr>
        <w:t>, v. 2, n. 6, p. 429–444, 1978.</w:t>
      </w:r>
    </w:p>
    <w:p>
      <w:pPr>
        <w:spacing w:before="0" w:after="120" w:line="280" w:lineRule="exact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COOPER, W. W.; SEIFORD, L. M.; TONE, K. </w:t>
      </w:r>
      <w:r>
        <w:rPr>
          <w:rFonts w:ascii="Times New Roman" w:hAnsi="Times New Roman"/>
          <w:b w:val="0"/>
          <w:i/>
          <w:sz w:val="24"/>
        </w:rPr>
        <w:t>Data Envelopment Analysis: A Comprehensive Text with Models, Applications, References and DEA-Solver Software</w:t>
      </w:r>
      <w:r>
        <w:rPr>
          <w:rFonts w:ascii="Times New Roman" w:hAnsi="Times New Roman"/>
          <w:b w:val="0"/>
          <w:i w:val="0"/>
          <w:sz w:val="24"/>
        </w:rPr>
        <w:t>. 2. ed. New York: Springer, 2007.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 w:line="280" w:lineRule="exact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LINS, M. P. E.; MEZA, L. A. </w:t>
      </w:r>
      <w:r>
        <w:rPr>
          <w:rFonts w:ascii="Times New Roman" w:hAnsi="Times New Roman"/>
          <w:b w:val="0"/>
          <w:i/>
          <w:sz w:val="24"/>
        </w:rPr>
        <w:t>Análise Envoltória de Dados e Perspectivas de Integração no Ambiente de Apoio à Decisão</w:t>
      </w:r>
      <w:r>
        <w:rPr>
          <w:rFonts w:ascii="Times New Roman" w:hAnsi="Times New Roman"/>
          <w:b w:val="0"/>
          <w:i w:val="0"/>
          <w:sz w:val="24"/>
        </w:rPr>
        <w:t>. Rio de Janeiro: COPPE/UFRJ, 2000.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 w:line="280" w:lineRule="exact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MITCHELL, J. </w:t>
      </w:r>
      <w:r>
        <w:rPr>
          <w:rFonts w:ascii="Times New Roman" w:hAnsi="Times New Roman"/>
          <w:b w:val="0"/>
          <w:i/>
          <w:sz w:val="24"/>
        </w:rPr>
        <w:t>yfinance: Yahoo! Finance market data downloader</w:t>
      </w:r>
      <w:r>
        <w:rPr>
          <w:rFonts w:ascii="Times New Roman" w:hAnsi="Times New Roman"/>
          <w:b w:val="0"/>
          <w:i w:val="0"/>
          <w:sz w:val="24"/>
        </w:rPr>
        <w:t>. Disponível em: https://pypi.org/project/yfinance/. Acesso em: jun. 2025.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 w:line="280" w:lineRule="exact"/>
        <w:ind w:left="709" w:hanging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MITCHELL, S. et al. </w:t>
      </w:r>
      <w:r>
        <w:rPr>
          <w:rFonts w:ascii="Times New Roman" w:hAnsi="Times New Roman"/>
          <w:b w:val="0"/>
          <w:i/>
          <w:sz w:val="24"/>
        </w:rPr>
        <w:t>PuLP: A Linear Programming toolkit for Python</w:t>
      </w:r>
      <w:r>
        <w:rPr>
          <w:rFonts w:ascii="Times New Roman" w:hAnsi="Times New Roman"/>
          <w:b w:val="0"/>
          <w:i w:val="0"/>
          <w:sz w:val="24"/>
        </w:rPr>
        <w:t>. Disponível em: https://pypi.org/project/PuLP/. Acesso em: jun. 2025.</w:t>
      </w:r>
      <w:r>
        <w:rPr>
          <w:rFonts w:ascii="Times New Roman" w:hAnsi="Times New Roman"/>
          <w:b w:val="0"/>
          <w:i w:val="0"/>
          <w:sz w:val="24"/>
        </w:rPr>
      </w:r>
    </w:p>
    <w:sectPr w:rsidR="00FC693F" w:rsidRPr="0006063C" w:rsidSect="00034616">
      <w:pgSz w:w="12240" w:h="15840"/>
      <w:pgMar w:top="1440" w:right="1259" w:bottom="1440" w:left="1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