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val="0"/>
          <w:sz w:val="24"/>
        </w:rPr>
        <w:t>LE505 - Pesquisa Operacional</w:t>
      </w:r>
    </w:p>
    <w:p>
      <w:pPr>
        <w:jc w:val="right"/>
      </w:pPr>
      <w:r>
        <w:rPr>
          <w:rFonts w:ascii="Times New Roman" w:hAnsi="Times New Roman"/>
          <w:b w:val="0"/>
          <w:i w:val="0"/>
          <w:sz w:val="24"/>
        </w:rPr>
        <w:t>Prof.ª Priscila Rampazzo</w:t>
      </w:r>
    </w:p>
    <w:p/>
    <w:p/>
    <w:p/>
    <w:p/>
    <w:p/>
    <w:p/>
    <w:p>
      <w:pPr>
        <w:jc w:val="center"/>
      </w:pPr>
      <w:r>
        <w:rPr>
          <w:rFonts w:ascii="Times New Roman" w:hAnsi="Times New Roman"/>
          <w:b/>
          <w:i w:val="0"/>
          <w:sz w:val="28"/>
        </w:rPr>
        <w:t>Universidade Estadual de Campinas</w:t>
      </w:r>
    </w:p>
    <w:p>
      <w:pPr>
        <w:jc w:val="center"/>
      </w:pPr>
      <w:r>
        <w:rPr>
          <w:rFonts w:ascii="Times New Roman" w:hAnsi="Times New Roman"/>
          <w:b/>
          <w:i w:val="0"/>
          <w:sz w:val="26"/>
        </w:rPr>
        <w:t>FCA – Faculdade de Ciências Aplicadas</w:t>
      </w:r>
    </w:p>
    <w:p/>
    <w:p/>
    <w:p/>
    <w:p/>
    <w:p>
      <w:pPr>
        <w:jc w:val="center"/>
      </w:pPr>
      <w:r>
        <w:rPr>
          <w:rFonts w:ascii="Times New Roman" w:hAnsi="Times New Roman"/>
          <w:b w:val="0"/>
          <w:i w:val="0"/>
          <w:sz w:val="24"/>
        </w:rPr>
        <w:t>Análise de Eficiência Relativa de Empresas de Petróleo e Gás</w:t>
        <w:br/>
        <w:t>por meio da Análise Envoltória de Dados (DEA)</w:t>
      </w:r>
    </w:p>
    <w:p/>
    <w:p/>
    <w:p>
      <w:pPr>
        <w:jc w:val="center"/>
      </w:pPr>
      <w:r>
        <w:rPr>
          <w:rFonts w:ascii="Times New Roman" w:hAnsi="Times New Roman"/>
          <w:b w:val="0"/>
          <w:i w:val="0"/>
          <w:sz w:val="24"/>
        </w:rPr>
        <w:t>Junho/2026</w:t>
      </w:r>
    </w:p>
    <w:p/>
    <w:p/>
    <w:p/>
    <w:p/>
    <w:p>
      <w:pPr>
        <w:jc w:val="both"/>
      </w:pPr>
      <w:r>
        <w:rPr>
          <w:rFonts w:ascii="Times New Roman" w:hAnsi="Times New Roman"/>
          <w:b/>
          <w:i w:val="0"/>
          <w:sz w:val="24"/>
        </w:rPr>
        <w:t>Henrique Arbex Rodrigues Piscopo</w:t>
      </w:r>
      <w:r>
        <w:rPr>
          <w:rFonts w:ascii="Times New Roman" w:hAnsi="Times New Roman"/>
          <w:b/>
          <w:i w:val="0"/>
          <w:sz w:val="24"/>
        </w:rPr>
        <w:t xml:space="preserve">          RA: 284675</w:t>
      </w:r>
    </w:p>
    <w:p/>
    <w:p/>
    <w:p/>
    <w:p/>
    <w:p/>
    <w:p/>
    <w:p>
      <w:pPr>
        <w:jc w:val="center"/>
      </w:pPr>
      <w:r>
        <w:rPr>
          <w:rFonts w:ascii="Times New Roman" w:hAnsi="Times New Roman"/>
          <w:b w:val="0"/>
          <w:i w:val="0"/>
          <w:sz w:val="24"/>
        </w:rPr>
        <w:t>Limeira</w:t>
      </w:r>
    </w:p>
    <w:p>
      <w:pPr>
        <w:jc w:val="center"/>
      </w:pPr>
      <w:r>
        <w:rPr>
          <w:rFonts w:ascii="Times New Roman" w:hAnsi="Times New Roman"/>
          <w:b w:val="0"/>
          <w:i w:val="0"/>
          <w:sz w:val="24"/>
        </w:rPr>
        <w:t>2026</w:t>
      </w:r>
    </w:p>
    <w:p>
      <w:r>
        <w:br w:type="page"/>
      </w:r>
    </w:p>
    <w:p>
      <w:pPr>
        <w:spacing w:before="240" w:after="120"/>
        <w:jc w:val="center"/>
      </w:pPr>
      <w:r>
        <w:rPr>
          <w:rFonts w:ascii="Times New Roman" w:hAnsi="Times New Roman"/>
          <w:b/>
          <w:i w:val="0"/>
          <w:sz w:val="24"/>
        </w:rPr>
        <w:t>RESUMO</w:t>
      </w:r>
    </w:p>
    <w:p>
      <w:pPr>
        <w:spacing w:before="0" w:after="120"/>
        <w:ind w:firstLine="709"/>
        <w:jc w:val="both"/>
      </w:pPr>
      <w:r>
        <w:rPr>
          <w:rFonts w:ascii="Times New Roman" w:hAnsi="Times New Roman"/>
          <w:b w:val="0"/>
          <w:i w:val="0"/>
          <w:sz w:val="24"/>
        </w:rPr>
        <w:t>O presente trabalho aplica a Análise Envoltória de Dados (DEA) para mensurar a eficiência relativa de 22 empresas do setor de petróleo e gás listadas em bolsas internacionais. Foram empregados os modelos CCR (retornos constantes de escala) e BCC (retornos variáveis de escala), ambos com orientação a output, implementados em Python com uso da biblioteca PuLP para resolução dos problemas de programação linear. Os dados financeiros foram coletados via biblioteca yfinance, referentes ao exercício fiscal mais recente disponível, e compreendem três inputs — ativos totais, despesas operacionais e número de funcionários — e dois outputs — receita líquida e EBITDA. Os resultados indicam que 9 das 22 empresas (41%) são eficientes no modelo CCR e 10 (45%) no modelo BCC, com scores médios de 1,0811 e 1,0591, respectivamente. A Equinor (EQNR) e a Petrobras (PBR) emergem como benchmarks dominantes, sendo referenciadas por 12 e 10 DMUs ineficientes no modelo CCR, respectivamente. A Canadian Natural Resources (CNQ) é a empresa mais ineficiente da amostra (θ = 1,2597), seguida da Eni (θ = 1,1942) e da Chevron (θ = 1,1849). Conclui-se que a maioria das grandes empresas integradas do setor opera próximo à fronteira eficiente, com ineficiências moderadas atribuíveis a diferenças de modelo de negócio, escala de operação e contexto regulatório.</w:t>
      </w:r>
    </w:p>
    <w:p>
      <w:pPr>
        <w:spacing w:before="240" w:after="120"/>
        <w:jc w:val="center"/>
      </w:pPr>
      <w:r>
        <w:rPr>
          <w:rFonts w:ascii="Times New Roman" w:hAnsi="Times New Roman"/>
          <w:b/>
          <w:i w:val="0"/>
          <w:sz w:val="24"/>
        </w:rPr>
        <w:t>INTRODUÇÃO</w:t>
      </w:r>
    </w:p>
    <w:p>
      <w:pPr>
        <w:spacing w:before="0" w:after="120"/>
        <w:ind w:firstLine="709"/>
        <w:jc w:val="both"/>
      </w:pPr>
      <w:r>
        <w:rPr>
          <w:rFonts w:ascii="Times New Roman" w:hAnsi="Times New Roman"/>
          <w:b w:val="0"/>
          <w:i w:val="0"/>
          <w:sz w:val="24"/>
        </w:rPr>
        <w:t>O setor de petróleo e gás é marcado por elevada intensidade de capital, volatilidade de preços e crescentes pressões regulatórias e ambientais. Nesse ambiente, a avaliação comparativa do desempenho das empresas torna-se instrumento estratégico para gestores, investidores e formuladores de políticas públicas. Métodos tradicionais de análise financeira, como indicadores de rentabilidade e retorno sobre ativos, avaliam empresas de forma isolada e são fortemente influenciados por variáveis de preço exógenas ao controle das firmas, o que limita a capacidade de identificar ineficiências genuinamente operacionais.</w:t>
      </w:r>
    </w:p>
    <w:p>
      <w:pPr>
        <w:spacing w:before="0" w:after="120"/>
        <w:ind w:firstLine="709"/>
        <w:jc w:val="both"/>
      </w:pPr>
      <w:r>
        <w:rPr>
          <w:rFonts w:ascii="Times New Roman" w:hAnsi="Times New Roman"/>
          <w:b w:val="0"/>
          <w:i w:val="0"/>
          <w:sz w:val="24"/>
        </w:rPr>
        <w:t>A Análise Envoltória de Dados (DEA), método não paramétrico desenvolvido por Charnes, Cooper e Rhodes (1978) e expandido por Banker, Charnes e Cooper (1984), oferece uma abordagem comparativa que constrói uma fronteira de melhores práticas a partir das próprias observações da amostra. Por meio da resolução de problemas de programação linear, o DEA identifica quais unidades de decisão (DMUs) operam na fronteira eficiente, quais estão aquém dela e em quanto cada unidade ineficiente precisaria expandir seus outputs para tornar-se eficiente.</w:t>
      </w:r>
    </w:p>
    <w:p>
      <w:pPr>
        <w:spacing w:before="0" w:after="120"/>
        <w:ind w:firstLine="709"/>
        <w:jc w:val="both"/>
      </w:pPr>
      <w:r>
        <w:rPr>
          <w:rFonts w:ascii="Times New Roman" w:hAnsi="Times New Roman"/>
          <w:b w:val="0"/>
          <w:i w:val="0"/>
          <w:sz w:val="24"/>
        </w:rPr>
        <w:t>Este trabalho tem por objetivo aplicar os modelos DEA-CCR e DEA-BCC, com orientação a output, para avaliar a eficiência relativa de 22 grandes empresas do setor de petróleo e gás, identificar os benchmarks setoriais e propor metas de melhoria para as unidades ineficientes.</w:t>
      </w:r>
    </w:p>
    <w:p>
      <w:pPr>
        <w:spacing w:before="240" w:after="120"/>
        <w:jc w:val="center"/>
      </w:pPr>
      <w:r>
        <w:rPr>
          <w:rFonts w:ascii="Times New Roman" w:hAnsi="Times New Roman"/>
          <w:b/>
          <w:i w:val="0"/>
          <w:sz w:val="24"/>
        </w:rPr>
        <w:t>APRESENTAÇÃO DO PROBLEMA</w:t>
      </w:r>
    </w:p>
    <w:p>
      <w:pPr>
        <w:spacing w:before="120" w:after="0"/>
        <w:ind w:firstLine="709"/>
        <w:jc w:val="both"/>
      </w:pPr>
      <w:r>
        <w:rPr>
          <w:rFonts w:ascii="Times New Roman" w:hAnsi="Times New Roman"/>
          <w:b/>
          <w:i w:val="0"/>
          <w:sz w:val="24"/>
        </w:rPr>
        <w:t xml:space="preserve">Unidades de Decisão (DMUs). </w:t>
      </w:r>
      <w:r>
        <w:rPr>
          <w:rFonts w:ascii="Times New Roman" w:hAnsi="Times New Roman"/>
          <w:b w:val="0"/>
          <w:i w:val="0"/>
          <w:sz w:val="24"/>
        </w:rPr>
        <w:t>A amostra é composta por 22 empresas do setor de petróleo e gás listadas em bolsas internacionais, abrangendo majors integradas, independentes de exploração, empresas de refino, serviços e midstream. As empresas selecionadas são megacorporações globais com operações em múltiplos países e dados reportados em dólares americanos, o que minimiza distorções de comparação internacional típicas de estudos com unidades puramente domésticas. A composição da amostra é apresentada na Tabela 1.</w:t>
      </w:r>
    </w:p>
    <w:tbl>
      <w:tblPr>
        <w:tblStyle w:val="TableGrid"/>
        <w:tblW w:type="auto" w:w="0"/>
        <w:jc w:val="center"/>
        <w:tblLook w:firstColumn="1" w:firstRow="1" w:lastColumn="0" w:lastRow="0" w:noHBand="0" w:noVBand="1" w:val="04A0"/>
      </w:tblPr>
      <w:tblGrid>
        <w:gridCol w:w="2430"/>
        <w:gridCol w:w="2430"/>
        <w:gridCol w:w="2430"/>
        <w:gridCol w:w="2430"/>
      </w:tblGrid>
      <w:tr>
        <w:tc>
          <w:tcPr>
            <w:tcW w:type="dxa" w:w="2430"/>
            <w:vAlign w:val="center"/>
          </w:tcPr>
          <w:p>
            <w:pPr>
              <w:jc w:val="center"/>
            </w:pPr>
            <w:r>
              <w:rPr>
                <w:rFonts w:ascii="Times New Roman" w:hAnsi="Times New Roman"/>
                <w:b/>
                <w:sz w:val="20"/>
              </w:rPr>
              <w:t>Ticker</w:t>
            </w:r>
          </w:p>
        </w:tc>
        <w:tc>
          <w:tcPr>
            <w:tcW w:type="dxa" w:w="2430"/>
            <w:vAlign w:val="center"/>
          </w:tcPr>
          <w:p>
            <w:pPr>
              <w:jc w:val="center"/>
            </w:pPr>
            <w:r>
              <w:rPr>
                <w:rFonts w:ascii="Times New Roman" w:hAnsi="Times New Roman"/>
                <w:b/>
                <w:sz w:val="20"/>
              </w:rPr>
              <w:t>Empresa</w:t>
            </w:r>
          </w:p>
        </w:tc>
        <w:tc>
          <w:tcPr>
            <w:tcW w:type="dxa" w:w="2430"/>
            <w:vAlign w:val="center"/>
          </w:tcPr>
          <w:p>
            <w:pPr>
              <w:jc w:val="center"/>
            </w:pPr>
            <w:r>
              <w:rPr>
                <w:rFonts w:ascii="Times New Roman" w:hAnsi="Times New Roman"/>
                <w:b/>
                <w:sz w:val="20"/>
              </w:rPr>
              <w:t>País</w:t>
            </w:r>
          </w:p>
        </w:tc>
        <w:tc>
          <w:tcPr>
            <w:tcW w:type="dxa" w:w="2430"/>
            <w:vAlign w:val="center"/>
          </w:tcPr>
          <w:p>
            <w:pPr>
              <w:jc w:val="center"/>
            </w:pPr>
            <w:r>
              <w:rPr>
                <w:rFonts w:ascii="Times New Roman" w:hAnsi="Times New Roman"/>
                <w:b/>
                <w:sz w:val="20"/>
              </w:rPr>
              <w:t>Segmento</w:t>
            </w:r>
          </w:p>
        </w:tc>
      </w:tr>
      <w:tr>
        <w:tc>
          <w:tcPr>
            <w:tcW w:type="dxa" w:w="2430"/>
            <w:vAlign w:val="center"/>
          </w:tcPr>
          <w:p>
            <w:pPr>
              <w:jc w:val="center"/>
            </w:pPr>
            <w:r>
              <w:rPr>
                <w:rFonts w:ascii="Times New Roman" w:hAnsi="Times New Roman"/>
                <w:sz w:val="20"/>
              </w:rPr>
              <w:t>XOM</w:t>
            </w:r>
          </w:p>
        </w:tc>
        <w:tc>
          <w:tcPr>
            <w:tcW w:type="dxa" w:w="2430"/>
            <w:vAlign w:val="center"/>
          </w:tcPr>
          <w:p>
            <w:pPr>
              <w:jc w:val="center"/>
            </w:pPr>
            <w:r>
              <w:rPr>
                <w:rFonts w:ascii="Times New Roman" w:hAnsi="Times New Roman"/>
                <w:sz w:val="20"/>
              </w:rPr>
              <w:t>ExxonMobil</w:t>
            </w:r>
          </w:p>
        </w:tc>
        <w:tc>
          <w:tcPr>
            <w:tcW w:type="dxa" w:w="2430"/>
            <w:vAlign w:val="center"/>
          </w:tcPr>
          <w:p>
            <w:pPr>
              <w:jc w:val="center"/>
            </w:pPr>
            <w:r>
              <w:rPr>
                <w:rFonts w:ascii="Times New Roman" w:hAnsi="Times New Roman"/>
                <w:sz w:val="20"/>
              </w:rPr>
              <w:t>EUA</w:t>
            </w:r>
          </w:p>
        </w:tc>
        <w:tc>
          <w:tcPr>
            <w:tcW w:type="dxa" w:w="2430"/>
            <w:vAlign w:val="center"/>
          </w:tcPr>
          <w:p>
            <w:pPr>
              <w:jc w:val="center"/>
            </w:pPr>
            <w:r>
              <w:rPr>
                <w:rFonts w:ascii="Times New Roman" w:hAnsi="Times New Roman"/>
                <w:sz w:val="20"/>
              </w:rPr>
              <w:t>Integrada</w:t>
            </w:r>
          </w:p>
        </w:tc>
      </w:tr>
      <w:tr>
        <w:tc>
          <w:tcPr>
            <w:tcW w:type="dxa" w:w="2430"/>
            <w:vAlign w:val="center"/>
          </w:tcPr>
          <w:p>
            <w:pPr>
              <w:jc w:val="center"/>
            </w:pPr>
            <w:r>
              <w:rPr>
                <w:rFonts w:ascii="Times New Roman" w:hAnsi="Times New Roman"/>
                <w:sz w:val="20"/>
              </w:rPr>
              <w:t>CVX</w:t>
            </w:r>
          </w:p>
        </w:tc>
        <w:tc>
          <w:tcPr>
            <w:tcW w:type="dxa" w:w="2430"/>
            <w:vAlign w:val="center"/>
          </w:tcPr>
          <w:p>
            <w:pPr>
              <w:jc w:val="center"/>
            </w:pPr>
            <w:r>
              <w:rPr>
                <w:rFonts w:ascii="Times New Roman" w:hAnsi="Times New Roman"/>
                <w:sz w:val="20"/>
              </w:rPr>
              <w:t>Chevron</w:t>
            </w:r>
          </w:p>
        </w:tc>
        <w:tc>
          <w:tcPr>
            <w:tcW w:type="dxa" w:w="2430"/>
            <w:vAlign w:val="center"/>
          </w:tcPr>
          <w:p>
            <w:pPr>
              <w:jc w:val="center"/>
            </w:pPr>
            <w:r>
              <w:rPr>
                <w:rFonts w:ascii="Times New Roman" w:hAnsi="Times New Roman"/>
                <w:sz w:val="20"/>
              </w:rPr>
              <w:t>EUA</w:t>
            </w:r>
          </w:p>
        </w:tc>
        <w:tc>
          <w:tcPr>
            <w:tcW w:type="dxa" w:w="2430"/>
            <w:vAlign w:val="center"/>
          </w:tcPr>
          <w:p>
            <w:pPr>
              <w:jc w:val="center"/>
            </w:pPr>
            <w:r>
              <w:rPr>
                <w:rFonts w:ascii="Times New Roman" w:hAnsi="Times New Roman"/>
                <w:sz w:val="20"/>
              </w:rPr>
              <w:t>Integrada</w:t>
            </w:r>
          </w:p>
        </w:tc>
      </w:tr>
      <w:tr>
        <w:tc>
          <w:tcPr>
            <w:tcW w:type="dxa" w:w="2430"/>
            <w:vAlign w:val="center"/>
          </w:tcPr>
          <w:p>
            <w:pPr>
              <w:jc w:val="center"/>
            </w:pPr>
            <w:r>
              <w:rPr>
                <w:rFonts w:ascii="Times New Roman" w:hAnsi="Times New Roman"/>
                <w:sz w:val="20"/>
              </w:rPr>
              <w:t>SHEL</w:t>
            </w:r>
          </w:p>
        </w:tc>
        <w:tc>
          <w:tcPr>
            <w:tcW w:type="dxa" w:w="2430"/>
            <w:vAlign w:val="center"/>
          </w:tcPr>
          <w:p>
            <w:pPr>
              <w:jc w:val="center"/>
            </w:pPr>
            <w:r>
              <w:rPr>
                <w:rFonts w:ascii="Times New Roman" w:hAnsi="Times New Roman"/>
                <w:sz w:val="20"/>
              </w:rPr>
              <w:t>Shell</w:t>
            </w:r>
          </w:p>
        </w:tc>
        <w:tc>
          <w:tcPr>
            <w:tcW w:type="dxa" w:w="2430"/>
            <w:vAlign w:val="center"/>
          </w:tcPr>
          <w:p>
            <w:pPr>
              <w:jc w:val="center"/>
            </w:pPr>
            <w:r>
              <w:rPr>
                <w:rFonts w:ascii="Times New Roman" w:hAnsi="Times New Roman"/>
                <w:sz w:val="20"/>
              </w:rPr>
              <w:t>Reino Unido</w:t>
            </w:r>
          </w:p>
        </w:tc>
        <w:tc>
          <w:tcPr>
            <w:tcW w:type="dxa" w:w="2430"/>
            <w:vAlign w:val="center"/>
          </w:tcPr>
          <w:p>
            <w:pPr>
              <w:jc w:val="center"/>
            </w:pPr>
            <w:r>
              <w:rPr>
                <w:rFonts w:ascii="Times New Roman" w:hAnsi="Times New Roman"/>
                <w:sz w:val="20"/>
              </w:rPr>
              <w:t>Integrada</w:t>
            </w:r>
          </w:p>
        </w:tc>
      </w:tr>
      <w:tr>
        <w:tc>
          <w:tcPr>
            <w:tcW w:type="dxa" w:w="2430"/>
            <w:vAlign w:val="center"/>
          </w:tcPr>
          <w:p>
            <w:pPr>
              <w:jc w:val="center"/>
            </w:pPr>
            <w:r>
              <w:rPr>
                <w:rFonts w:ascii="Times New Roman" w:hAnsi="Times New Roman"/>
                <w:sz w:val="20"/>
              </w:rPr>
              <w:t>BP</w:t>
            </w:r>
          </w:p>
        </w:tc>
        <w:tc>
          <w:tcPr>
            <w:tcW w:type="dxa" w:w="2430"/>
            <w:vAlign w:val="center"/>
          </w:tcPr>
          <w:p>
            <w:pPr>
              <w:jc w:val="center"/>
            </w:pPr>
            <w:r>
              <w:rPr>
                <w:rFonts w:ascii="Times New Roman" w:hAnsi="Times New Roman"/>
                <w:sz w:val="20"/>
              </w:rPr>
              <w:t>BP</w:t>
            </w:r>
          </w:p>
        </w:tc>
        <w:tc>
          <w:tcPr>
            <w:tcW w:type="dxa" w:w="2430"/>
            <w:vAlign w:val="center"/>
          </w:tcPr>
          <w:p>
            <w:pPr>
              <w:jc w:val="center"/>
            </w:pPr>
            <w:r>
              <w:rPr>
                <w:rFonts w:ascii="Times New Roman" w:hAnsi="Times New Roman"/>
                <w:sz w:val="20"/>
              </w:rPr>
              <w:t>Reino Unido</w:t>
            </w:r>
          </w:p>
        </w:tc>
        <w:tc>
          <w:tcPr>
            <w:tcW w:type="dxa" w:w="2430"/>
            <w:vAlign w:val="center"/>
          </w:tcPr>
          <w:p>
            <w:pPr>
              <w:jc w:val="center"/>
            </w:pPr>
            <w:r>
              <w:rPr>
                <w:rFonts w:ascii="Times New Roman" w:hAnsi="Times New Roman"/>
                <w:sz w:val="20"/>
              </w:rPr>
              <w:t>Integrada</w:t>
            </w:r>
          </w:p>
        </w:tc>
      </w:tr>
      <w:tr>
        <w:tc>
          <w:tcPr>
            <w:tcW w:type="dxa" w:w="2430"/>
            <w:vAlign w:val="center"/>
          </w:tcPr>
          <w:p>
            <w:pPr>
              <w:jc w:val="center"/>
            </w:pPr>
            <w:r>
              <w:rPr>
                <w:rFonts w:ascii="Times New Roman" w:hAnsi="Times New Roman"/>
                <w:sz w:val="20"/>
              </w:rPr>
              <w:t>TTE</w:t>
            </w:r>
          </w:p>
        </w:tc>
        <w:tc>
          <w:tcPr>
            <w:tcW w:type="dxa" w:w="2430"/>
            <w:vAlign w:val="center"/>
          </w:tcPr>
          <w:p>
            <w:pPr>
              <w:jc w:val="center"/>
            </w:pPr>
            <w:r>
              <w:rPr>
                <w:rFonts w:ascii="Times New Roman" w:hAnsi="Times New Roman"/>
                <w:sz w:val="20"/>
              </w:rPr>
              <w:t>TotalEnergies</w:t>
            </w:r>
          </w:p>
        </w:tc>
        <w:tc>
          <w:tcPr>
            <w:tcW w:type="dxa" w:w="2430"/>
            <w:vAlign w:val="center"/>
          </w:tcPr>
          <w:p>
            <w:pPr>
              <w:jc w:val="center"/>
            </w:pPr>
            <w:r>
              <w:rPr>
                <w:rFonts w:ascii="Times New Roman" w:hAnsi="Times New Roman"/>
                <w:sz w:val="20"/>
              </w:rPr>
              <w:t>França</w:t>
            </w:r>
          </w:p>
        </w:tc>
        <w:tc>
          <w:tcPr>
            <w:tcW w:type="dxa" w:w="2430"/>
            <w:vAlign w:val="center"/>
          </w:tcPr>
          <w:p>
            <w:pPr>
              <w:jc w:val="center"/>
            </w:pPr>
            <w:r>
              <w:rPr>
                <w:rFonts w:ascii="Times New Roman" w:hAnsi="Times New Roman"/>
                <w:sz w:val="20"/>
              </w:rPr>
              <w:t>Integrada</w:t>
            </w:r>
          </w:p>
        </w:tc>
      </w:tr>
      <w:tr>
        <w:tc>
          <w:tcPr>
            <w:tcW w:type="dxa" w:w="2430"/>
            <w:vAlign w:val="center"/>
          </w:tcPr>
          <w:p>
            <w:pPr>
              <w:jc w:val="center"/>
            </w:pPr>
            <w:r>
              <w:rPr>
                <w:rFonts w:ascii="Times New Roman" w:hAnsi="Times New Roman"/>
                <w:sz w:val="20"/>
              </w:rPr>
              <w:t>COP</w:t>
            </w:r>
          </w:p>
        </w:tc>
        <w:tc>
          <w:tcPr>
            <w:tcW w:type="dxa" w:w="2430"/>
            <w:vAlign w:val="center"/>
          </w:tcPr>
          <w:p>
            <w:pPr>
              <w:jc w:val="center"/>
            </w:pPr>
            <w:r>
              <w:rPr>
                <w:rFonts w:ascii="Times New Roman" w:hAnsi="Times New Roman"/>
                <w:sz w:val="20"/>
              </w:rPr>
              <w:t>ConocoPhillips</w:t>
            </w:r>
          </w:p>
        </w:tc>
        <w:tc>
          <w:tcPr>
            <w:tcW w:type="dxa" w:w="2430"/>
            <w:vAlign w:val="center"/>
          </w:tcPr>
          <w:p>
            <w:pPr>
              <w:jc w:val="center"/>
            </w:pPr>
            <w:r>
              <w:rPr>
                <w:rFonts w:ascii="Times New Roman" w:hAnsi="Times New Roman"/>
                <w:sz w:val="20"/>
              </w:rPr>
              <w:t>EUA</w:t>
            </w:r>
          </w:p>
        </w:tc>
        <w:tc>
          <w:tcPr>
            <w:tcW w:type="dxa" w:w="2430"/>
            <w:vAlign w:val="center"/>
          </w:tcPr>
          <w:p>
            <w:pPr>
              <w:jc w:val="center"/>
            </w:pPr>
            <w:r>
              <w:rPr>
                <w:rFonts w:ascii="Times New Roman" w:hAnsi="Times New Roman"/>
                <w:sz w:val="20"/>
              </w:rPr>
              <w:t>Exploração</w:t>
            </w:r>
          </w:p>
        </w:tc>
      </w:tr>
      <w:tr>
        <w:tc>
          <w:tcPr>
            <w:tcW w:type="dxa" w:w="2430"/>
            <w:vAlign w:val="center"/>
          </w:tcPr>
          <w:p>
            <w:pPr>
              <w:jc w:val="center"/>
            </w:pPr>
            <w:r>
              <w:rPr>
                <w:rFonts w:ascii="Times New Roman" w:hAnsi="Times New Roman"/>
                <w:sz w:val="20"/>
              </w:rPr>
              <w:t>PBR</w:t>
            </w:r>
          </w:p>
        </w:tc>
        <w:tc>
          <w:tcPr>
            <w:tcW w:type="dxa" w:w="2430"/>
            <w:vAlign w:val="center"/>
          </w:tcPr>
          <w:p>
            <w:pPr>
              <w:jc w:val="center"/>
            </w:pPr>
            <w:r>
              <w:rPr>
                <w:rFonts w:ascii="Times New Roman" w:hAnsi="Times New Roman"/>
                <w:sz w:val="20"/>
              </w:rPr>
              <w:t>Petrobras</w:t>
            </w:r>
          </w:p>
        </w:tc>
        <w:tc>
          <w:tcPr>
            <w:tcW w:type="dxa" w:w="2430"/>
            <w:vAlign w:val="center"/>
          </w:tcPr>
          <w:p>
            <w:pPr>
              <w:jc w:val="center"/>
            </w:pPr>
            <w:r>
              <w:rPr>
                <w:rFonts w:ascii="Times New Roman" w:hAnsi="Times New Roman"/>
                <w:sz w:val="20"/>
              </w:rPr>
              <w:t>Brasil</w:t>
            </w:r>
          </w:p>
        </w:tc>
        <w:tc>
          <w:tcPr>
            <w:tcW w:type="dxa" w:w="2430"/>
            <w:vAlign w:val="center"/>
          </w:tcPr>
          <w:p>
            <w:pPr>
              <w:jc w:val="center"/>
            </w:pPr>
            <w:r>
              <w:rPr>
                <w:rFonts w:ascii="Times New Roman" w:hAnsi="Times New Roman"/>
                <w:sz w:val="20"/>
              </w:rPr>
              <w:t>Integrada</w:t>
            </w:r>
          </w:p>
        </w:tc>
      </w:tr>
      <w:tr>
        <w:tc>
          <w:tcPr>
            <w:tcW w:type="dxa" w:w="2430"/>
            <w:vAlign w:val="center"/>
          </w:tcPr>
          <w:p>
            <w:pPr>
              <w:jc w:val="center"/>
            </w:pPr>
            <w:r>
              <w:rPr>
                <w:rFonts w:ascii="Times New Roman" w:hAnsi="Times New Roman"/>
                <w:sz w:val="20"/>
              </w:rPr>
              <w:t>EQNR</w:t>
            </w:r>
          </w:p>
        </w:tc>
        <w:tc>
          <w:tcPr>
            <w:tcW w:type="dxa" w:w="2430"/>
            <w:vAlign w:val="center"/>
          </w:tcPr>
          <w:p>
            <w:pPr>
              <w:jc w:val="center"/>
            </w:pPr>
            <w:r>
              <w:rPr>
                <w:rFonts w:ascii="Times New Roman" w:hAnsi="Times New Roman"/>
                <w:sz w:val="20"/>
              </w:rPr>
              <w:t>Equinor</w:t>
            </w:r>
          </w:p>
        </w:tc>
        <w:tc>
          <w:tcPr>
            <w:tcW w:type="dxa" w:w="2430"/>
            <w:vAlign w:val="center"/>
          </w:tcPr>
          <w:p>
            <w:pPr>
              <w:jc w:val="center"/>
            </w:pPr>
            <w:r>
              <w:rPr>
                <w:rFonts w:ascii="Times New Roman" w:hAnsi="Times New Roman"/>
                <w:sz w:val="20"/>
              </w:rPr>
              <w:t>Noruega</w:t>
            </w:r>
          </w:p>
        </w:tc>
        <w:tc>
          <w:tcPr>
            <w:tcW w:type="dxa" w:w="2430"/>
            <w:vAlign w:val="center"/>
          </w:tcPr>
          <w:p>
            <w:pPr>
              <w:jc w:val="center"/>
            </w:pPr>
            <w:r>
              <w:rPr>
                <w:rFonts w:ascii="Times New Roman" w:hAnsi="Times New Roman"/>
                <w:sz w:val="20"/>
              </w:rPr>
              <w:t>Integrada</w:t>
            </w:r>
          </w:p>
        </w:tc>
      </w:tr>
      <w:tr>
        <w:tc>
          <w:tcPr>
            <w:tcW w:type="dxa" w:w="2430"/>
            <w:vAlign w:val="center"/>
          </w:tcPr>
          <w:p>
            <w:pPr>
              <w:jc w:val="center"/>
            </w:pPr>
            <w:r>
              <w:rPr>
                <w:rFonts w:ascii="Times New Roman" w:hAnsi="Times New Roman"/>
                <w:sz w:val="20"/>
              </w:rPr>
              <w:t>E</w:t>
            </w:r>
          </w:p>
        </w:tc>
        <w:tc>
          <w:tcPr>
            <w:tcW w:type="dxa" w:w="2430"/>
            <w:vAlign w:val="center"/>
          </w:tcPr>
          <w:p>
            <w:pPr>
              <w:jc w:val="center"/>
            </w:pPr>
            <w:r>
              <w:rPr>
                <w:rFonts w:ascii="Times New Roman" w:hAnsi="Times New Roman"/>
                <w:sz w:val="20"/>
              </w:rPr>
              <w:t>Eni</w:t>
            </w:r>
          </w:p>
        </w:tc>
        <w:tc>
          <w:tcPr>
            <w:tcW w:type="dxa" w:w="2430"/>
            <w:vAlign w:val="center"/>
          </w:tcPr>
          <w:p>
            <w:pPr>
              <w:jc w:val="center"/>
            </w:pPr>
            <w:r>
              <w:rPr>
                <w:rFonts w:ascii="Times New Roman" w:hAnsi="Times New Roman"/>
                <w:sz w:val="20"/>
              </w:rPr>
              <w:t>Itália</w:t>
            </w:r>
          </w:p>
        </w:tc>
        <w:tc>
          <w:tcPr>
            <w:tcW w:type="dxa" w:w="2430"/>
            <w:vAlign w:val="center"/>
          </w:tcPr>
          <w:p>
            <w:pPr>
              <w:jc w:val="center"/>
            </w:pPr>
            <w:r>
              <w:rPr>
                <w:rFonts w:ascii="Times New Roman" w:hAnsi="Times New Roman"/>
                <w:sz w:val="20"/>
              </w:rPr>
              <w:t>Integrada</w:t>
            </w:r>
          </w:p>
        </w:tc>
      </w:tr>
      <w:tr>
        <w:tc>
          <w:tcPr>
            <w:tcW w:type="dxa" w:w="2430"/>
            <w:vAlign w:val="center"/>
          </w:tcPr>
          <w:p>
            <w:pPr>
              <w:jc w:val="center"/>
            </w:pPr>
            <w:r>
              <w:rPr>
                <w:rFonts w:ascii="Times New Roman" w:hAnsi="Times New Roman"/>
                <w:sz w:val="20"/>
              </w:rPr>
              <w:t>OXY</w:t>
            </w:r>
          </w:p>
        </w:tc>
        <w:tc>
          <w:tcPr>
            <w:tcW w:type="dxa" w:w="2430"/>
            <w:vAlign w:val="center"/>
          </w:tcPr>
          <w:p>
            <w:pPr>
              <w:jc w:val="center"/>
            </w:pPr>
            <w:r>
              <w:rPr>
                <w:rFonts w:ascii="Times New Roman" w:hAnsi="Times New Roman"/>
                <w:sz w:val="20"/>
              </w:rPr>
              <w:t>Occidental Petroleum</w:t>
            </w:r>
          </w:p>
        </w:tc>
        <w:tc>
          <w:tcPr>
            <w:tcW w:type="dxa" w:w="2430"/>
            <w:vAlign w:val="center"/>
          </w:tcPr>
          <w:p>
            <w:pPr>
              <w:jc w:val="center"/>
            </w:pPr>
            <w:r>
              <w:rPr>
                <w:rFonts w:ascii="Times New Roman" w:hAnsi="Times New Roman"/>
                <w:sz w:val="20"/>
              </w:rPr>
              <w:t>EUA</w:t>
            </w:r>
          </w:p>
        </w:tc>
        <w:tc>
          <w:tcPr>
            <w:tcW w:type="dxa" w:w="2430"/>
            <w:vAlign w:val="center"/>
          </w:tcPr>
          <w:p>
            <w:pPr>
              <w:jc w:val="center"/>
            </w:pPr>
            <w:r>
              <w:rPr>
                <w:rFonts w:ascii="Times New Roman" w:hAnsi="Times New Roman"/>
                <w:sz w:val="20"/>
              </w:rPr>
              <w:t>Exploração</w:t>
            </w:r>
          </w:p>
        </w:tc>
      </w:tr>
      <w:tr>
        <w:tc>
          <w:tcPr>
            <w:tcW w:type="dxa" w:w="2430"/>
            <w:vAlign w:val="center"/>
          </w:tcPr>
          <w:p>
            <w:pPr>
              <w:jc w:val="center"/>
            </w:pPr>
            <w:r>
              <w:rPr>
                <w:rFonts w:ascii="Times New Roman" w:hAnsi="Times New Roman"/>
                <w:sz w:val="20"/>
              </w:rPr>
              <w:t>DVN</w:t>
            </w:r>
          </w:p>
        </w:tc>
        <w:tc>
          <w:tcPr>
            <w:tcW w:type="dxa" w:w="2430"/>
            <w:vAlign w:val="center"/>
          </w:tcPr>
          <w:p>
            <w:pPr>
              <w:jc w:val="center"/>
            </w:pPr>
            <w:r>
              <w:rPr>
                <w:rFonts w:ascii="Times New Roman" w:hAnsi="Times New Roman"/>
                <w:sz w:val="20"/>
              </w:rPr>
              <w:t>Devon Energy</w:t>
            </w:r>
          </w:p>
        </w:tc>
        <w:tc>
          <w:tcPr>
            <w:tcW w:type="dxa" w:w="2430"/>
            <w:vAlign w:val="center"/>
          </w:tcPr>
          <w:p>
            <w:pPr>
              <w:jc w:val="center"/>
            </w:pPr>
            <w:r>
              <w:rPr>
                <w:rFonts w:ascii="Times New Roman" w:hAnsi="Times New Roman"/>
                <w:sz w:val="20"/>
              </w:rPr>
              <w:t>EUA</w:t>
            </w:r>
          </w:p>
        </w:tc>
        <w:tc>
          <w:tcPr>
            <w:tcW w:type="dxa" w:w="2430"/>
            <w:vAlign w:val="center"/>
          </w:tcPr>
          <w:p>
            <w:pPr>
              <w:jc w:val="center"/>
            </w:pPr>
            <w:r>
              <w:rPr>
                <w:rFonts w:ascii="Times New Roman" w:hAnsi="Times New Roman"/>
                <w:sz w:val="20"/>
              </w:rPr>
              <w:t>Exploração</w:t>
            </w:r>
          </w:p>
        </w:tc>
      </w:tr>
      <w:tr>
        <w:tc>
          <w:tcPr>
            <w:tcW w:type="dxa" w:w="2430"/>
            <w:vAlign w:val="center"/>
          </w:tcPr>
          <w:p>
            <w:pPr>
              <w:jc w:val="center"/>
            </w:pPr>
            <w:r>
              <w:rPr>
                <w:rFonts w:ascii="Times New Roman" w:hAnsi="Times New Roman"/>
                <w:sz w:val="20"/>
              </w:rPr>
              <w:t>VLO</w:t>
            </w:r>
          </w:p>
        </w:tc>
        <w:tc>
          <w:tcPr>
            <w:tcW w:type="dxa" w:w="2430"/>
            <w:vAlign w:val="center"/>
          </w:tcPr>
          <w:p>
            <w:pPr>
              <w:jc w:val="center"/>
            </w:pPr>
            <w:r>
              <w:rPr>
                <w:rFonts w:ascii="Times New Roman" w:hAnsi="Times New Roman"/>
                <w:sz w:val="20"/>
              </w:rPr>
              <w:t>Valero Energy</w:t>
            </w:r>
          </w:p>
        </w:tc>
        <w:tc>
          <w:tcPr>
            <w:tcW w:type="dxa" w:w="2430"/>
            <w:vAlign w:val="center"/>
          </w:tcPr>
          <w:p>
            <w:pPr>
              <w:jc w:val="center"/>
            </w:pPr>
            <w:r>
              <w:rPr>
                <w:rFonts w:ascii="Times New Roman" w:hAnsi="Times New Roman"/>
                <w:sz w:val="20"/>
              </w:rPr>
              <w:t>EUA</w:t>
            </w:r>
          </w:p>
        </w:tc>
        <w:tc>
          <w:tcPr>
            <w:tcW w:type="dxa" w:w="2430"/>
            <w:vAlign w:val="center"/>
          </w:tcPr>
          <w:p>
            <w:pPr>
              <w:jc w:val="center"/>
            </w:pPr>
            <w:r>
              <w:rPr>
                <w:rFonts w:ascii="Times New Roman" w:hAnsi="Times New Roman"/>
                <w:sz w:val="20"/>
              </w:rPr>
              <w:t>Refino</w:t>
            </w:r>
          </w:p>
        </w:tc>
      </w:tr>
      <w:tr>
        <w:tc>
          <w:tcPr>
            <w:tcW w:type="dxa" w:w="2430"/>
            <w:vAlign w:val="center"/>
          </w:tcPr>
          <w:p>
            <w:pPr>
              <w:jc w:val="center"/>
            </w:pPr>
            <w:r>
              <w:rPr>
                <w:rFonts w:ascii="Times New Roman" w:hAnsi="Times New Roman"/>
                <w:sz w:val="20"/>
              </w:rPr>
              <w:t>PSX</w:t>
            </w:r>
          </w:p>
        </w:tc>
        <w:tc>
          <w:tcPr>
            <w:tcW w:type="dxa" w:w="2430"/>
            <w:vAlign w:val="center"/>
          </w:tcPr>
          <w:p>
            <w:pPr>
              <w:jc w:val="center"/>
            </w:pPr>
            <w:r>
              <w:rPr>
                <w:rFonts w:ascii="Times New Roman" w:hAnsi="Times New Roman"/>
                <w:sz w:val="20"/>
              </w:rPr>
              <w:t>Phillips 66</w:t>
            </w:r>
          </w:p>
        </w:tc>
        <w:tc>
          <w:tcPr>
            <w:tcW w:type="dxa" w:w="2430"/>
            <w:vAlign w:val="center"/>
          </w:tcPr>
          <w:p>
            <w:pPr>
              <w:jc w:val="center"/>
            </w:pPr>
            <w:r>
              <w:rPr>
                <w:rFonts w:ascii="Times New Roman" w:hAnsi="Times New Roman"/>
                <w:sz w:val="20"/>
              </w:rPr>
              <w:t>EUA</w:t>
            </w:r>
          </w:p>
        </w:tc>
        <w:tc>
          <w:tcPr>
            <w:tcW w:type="dxa" w:w="2430"/>
            <w:vAlign w:val="center"/>
          </w:tcPr>
          <w:p>
            <w:pPr>
              <w:jc w:val="center"/>
            </w:pPr>
            <w:r>
              <w:rPr>
                <w:rFonts w:ascii="Times New Roman" w:hAnsi="Times New Roman"/>
                <w:sz w:val="20"/>
              </w:rPr>
              <w:t>Refino</w:t>
            </w:r>
          </w:p>
        </w:tc>
      </w:tr>
      <w:tr>
        <w:tc>
          <w:tcPr>
            <w:tcW w:type="dxa" w:w="2430"/>
            <w:vAlign w:val="center"/>
          </w:tcPr>
          <w:p>
            <w:pPr>
              <w:jc w:val="center"/>
            </w:pPr>
            <w:r>
              <w:rPr>
                <w:rFonts w:ascii="Times New Roman" w:hAnsi="Times New Roman"/>
                <w:sz w:val="20"/>
              </w:rPr>
              <w:t>MPC</w:t>
            </w:r>
          </w:p>
        </w:tc>
        <w:tc>
          <w:tcPr>
            <w:tcW w:type="dxa" w:w="2430"/>
            <w:vAlign w:val="center"/>
          </w:tcPr>
          <w:p>
            <w:pPr>
              <w:jc w:val="center"/>
            </w:pPr>
            <w:r>
              <w:rPr>
                <w:rFonts w:ascii="Times New Roman" w:hAnsi="Times New Roman"/>
                <w:sz w:val="20"/>
              </w:rPr>
              <w:t>Marathon Petroleum</w:t>
            </w:r>
          </w:p>
        </w:tc>
        <w:tc>
          <w:tcPr>
            <w:tcW w:type="dxa" w:w="2430"/>
            <w:vAlign w:val="center"/>
          </w:tcPr>
          <w:p>
            <w:pPr>
              <w:jc w:val="center"/>
            </w:pPr>
            <w:r>
              <w:rPr>
                <w:rFonts w:ascii="Times New Roman" w:hAnsi="Times New Roman"/>
                <w:sz w:val="20"/>
              </w:rPr>
              <w:t>EUA</w:t>
            </w:r>
          </w:p>
        </w:tc>
        <w:tc>
          <w:tcPr>
            <w:tcW w:type="dxa" w:w="2430"/>
            <w:vAlign w:val="center"/>
          </w:tcPr>
          <w:p>
            <w:pPr>
              <w:jc w:val="center"/>
            </w:pPr>
            <w:r>
              <w:rPr>
                <w:rFonts w:ascii="Times New Roman" w:hAnsi="Times New Roman"/>
                <w:sz w:val="20"/>
              </w:rPr>
              <w:t>Refino</w:t>
            </w:r>
          </w:p>
        </w:tc>
      </w:tr>
      <w:tr>
        <w:tc>
          <w:tcPr>
            <w:tcW w:type="dxa" w:w="2430"/>
            <w:vAlign w:val="center"/>
          </w:tcPr>
          <w:p>
            <w:pPr>
              <w:jc w:val="center"/>
            </w:pPr>
            <w:r>
              <w:rPr>
                <w:rFonts w:ascii="Times New Roman" w:hAnsi="Times New Roman"/>
                <w:sz w:val="20"/>
              </w:rPr>
              <w:t>SLB</w:t>
            </w:r>
          </w:p>
        </w:tc>
        <w:tc>
          <w:tcPr>
            <w:tcW w:type="dxa" w:w="2430"/>
            <w:vAlign w:val="center"/>
          </w:tcPr>
          <w:p>
            <w:pPr>
              <w:jc w:val="center"/>
            </w:pPr>
            <w:r>
              <w:rPr>
                <w:rFonts w:ascii="Times New Roman" w:hAnsi="Times New Roman"/>
                <w:sz w:val="20"/>
              </w:rPr>
              <w:t>SLB (Schlumberger)</w:t>
            </w:r>
          </w:p>
        </w:tc>
        <w:tc>
          <w:tcPr>
            <w:tcW w:type="dxa" w:w="2430"/>
            <w:vAlign w:val="center"/>
          </w:tcPr>
          <w:p>
            <w:pPr>
              <w:jc w:val="center"/>
            </w:pPr>
            <w:r>
              <w:rPr>
                <w:rFonts w:ascii="Times New Roman" w:hAnsi="Times New Roman"/>
                <w:sz w:val="20"/>
              </w:rPr>
              <w:t>EUA</w:t>
            </w:r>
          </w:p>
        </w:tc>
        <w:tc>
          <w:tcPr>
            <w:tcW w:type="dxa" w:w="2430"/>
            <w:vAlign w:val="center"/>
          </w:tcPr>
          <w:p>
            <w:pPr>
              <w:jc w:val="center"/>
            </w:pPr>
            <w:r>
              <w:rPr>
                <w:rFonts w:ascii="Times New Roman" w:hAnsi="Times New Roman"/>
                <w:sz w:val="20"/>
              </w:rPr>
              <w:t>Serviços</w:t>
            </w:r>
          </w:p>
        </w:tc>
      </w:tr>
      <w:tr>
        <w:tc>
          <w:tcPr>
            <w:tcW w:type="dxa" w:w="2430"/>
            <w:vAlign w:val="center"/>
          </w:tcPr>
          <w:p>
            <w:pPr>
              <w:jc w:val="center"/>
            </w:pPr>
            <w:r>
              <w:rPr>
                <w:rFonts w:ascii="Times New Roman" w:hAnsi="Times New Roman"/>
                <w:sz w:val="20"/>
              </w:rPr>
              <w:t>HAL</w:t>
            </w:r>
          </w:p>
        </w:tc>
        <w:tc>
          <w:tcPr>
            <w:tcW w:type="dxa" w:w="2430"/>
            <w:vAlign w:val="center"/>
          </w:tcPr>
          <w:p>
            <w:pPr>
              <w:jc w:val="center"/>
            </w:pPr>
            <w:r>
              <w:rPr>
                <w:rFonts w:ascii="Times New Roman" w:hAnsi="Times New Roman"/>
                <w:sz w:val="20"/>
              </w:rPr>
              <w:t>Halliburton</w:t>
            </w:r>
          </w:p>
        </w:tc>
        <w:tc>
          <w:tcPr>
            <w:tcW w:type="dxa" w:w="2430"/>
            <w:vAlign w:val="center"/>
          </w:tcPr>
          <w:p>
            <w:pPr>
              <w:jc w:val="center"/>
            </w:pPr>
            <w:r>
              <w:rPr>
                <w:rFonts w:ascii="Times New Roman" w:hAnsi="Times New Roman"/>
                <w:sz w:val="20"/>
              </w:rPr>
              <w:t>EUA</w:t>
            </w:r>
          </w:p>
        </w:tc>
        <w:tc>
          <w:tcPr>
            <w:tcW w:type="dxa" w:w="2430"/>
            <w:vAlign w:val="center"/>
          </w:tcPr>
          <w:p>
            <w:pPr>
              <w:jc w:val="center"/>
            </w:pPr>
            <w:r>
              <w:rPr>
                <w:rFonts w:ascii="Times New Roman" w:hAnsi="Times New Roman"/>
                <w:sz w:val="20"/>
              </w:rPr>
              <w:t>Serviços</w:t>
            </w:r>
          </w:p>
        </w:tc>
      </w:tr>
      <w:tr>
        <w:tc>
          <w:tcPr>
            <w:tcW w:type="dxa" w:w="2430"/>
            <w:vAlign w:val="center"/>
          </w:tcPr>
          <w:p>
            <w:pPr>
              <w:jc w:val="center"/>
            </w:pPr>
            <w:r>
              <w:rPr>
                <w:rFonts w:ascii="Times New Roman" w:hAnsi="Times New Roman"/>
                <w:sz w:val="20"/>
              </w:rPr>
              <w:t>IMO</w:t>
            </w:r>
          </w:p>
        </w:tc>
        <w:tc>
          <w:tcPr>
            <w:tcW w:type="dxa" w:w="2430"/>
            <w:vAlign w:val="center"/>
          </w:tcPr>
          <w:p>
            <w:pPr>
              <w:jc w:val="center"/>
            </w:pPr>
            <w:r>
              <w:rPr>
                <w:rFonts w:ascii="Times New Roman" w:hAnsi="Times New Roman"/>
                <w:sz w:val="20"/>
              </w:rPr>
              <w:t>Imperial Oil</w:t>
            </w:r>
          </w:p>
        </w:tc>
        <w:tc>
          <w:tcPr>
            <w:tcW w:type="dxa" w:w="2430"/>
            <w:vAlign w:val="center"/>
          </w:tcPr>
          <w:p>
            <w:pPr>
              <w:jc w:val="center"/>
            </w:pPr>
            <w:r>
              <w:rPr>
                <w:rFonts w:ascii="Times New Roman" w:hAnsi="Times New Roman"/>
                <w:sz w:val="20"/>
              </w:rPr>
              <w:t>Canadá</w:t>
            </w:r>
          </w:p>
        </w:tc>
        <w:tc>
          <w:tcPr>
            <w:tcW w:type="dxa" w:w="2430"/>
            <w:vAlign w:val="center"/>
          </w:tcPr>
          <w:p>
            <w:pPr>
              <w:jc w:val="center"/>
            </w:pPr>
            <w:r>
              <w:rPr>
                <w:rFonts w:ascii="Times New Roman" w:hAnsi="Times New Roman"/>
                <w:sz w:val="20"/>
              </w:rPr>
              <w:t>Integrada</w:t>
            </w:r>
          </w:p>
        </w:tc>
      </w:tr>
      <w:tr>
        <w:tc>
          <w:tcPr>
            <w:tcW w:type="dxa" w:w="2430"/>
            <w:vAlign w:val="center"/>
          </w:tcPr>
          <w:p>
            <w:pPr>
              <w:jc w:val="center"/>
            </w:pPr>
            <w:r>
              <w:rPr>
                <w:rFonts w:ascii="Times New Roman" w:hAnsi="Times New Roman"/>
                <w:sz w:val="20"/>
              </w:rPr>
              <w:t>CNQ</w:t>
            </w:r>
          </w:p>
        </w:tc>
        <w:tc>
          <w:tcPr>
            <w:tcW w:type="dxa" w:w="2430"/>
            <w:vAlign w:val="center"/>
          </w:tcPr>
          <w:p>
            <w:pPr>
              <w:jc w:val="center"/>
            </w:pPr>
            <w:r>
              <w:rPr>
                <w:rFonts w:ascii="Times New Roman" w:hAnsi="Times New Roman"/>
                <w:sz w:val="20"/>
              </w:rPr>
              <w:t>Canadian Natural Resources</w:t>
            </w:r>
          </w:p>
        </w:tc>
        <w:tc>
          <w:tcPr>
            <w:tcW w:type="dxa" w:w="2430"/>
            <w:vAlign w:val="center"/>
          </w:tcPr>
          <w:p>
            <w:pPr>
              <w:jc w:val="center"/>
            </w:pPr>
            <w:r>
              <w:rPr>
                <w:rFonts w:ascii="Times New Roman" w:hAnsi="Times New Roman"/>
                <w:sz w:val="20"/>
              </w:rPr>
              <w:t>Canadá</w:t>
            </w:r>
          </w:p>
        </w:tc>
        <w:tc>
          <w:tcPr>
            <w:tcW w:type="dxa" w:w="2430"/>
            <w:vAlign w:val="center"/>
          </w:tcPr>
          <w:p>
            <w:pPr>
              <w:jc w:val="center"/>
            </w:pPr>
            <w:r>
              <w:rPr>
                <w:rFonts w:ascii="Times New Roman" w:hAnsi="Times New Roman"/>
                <w:sz w:val="20"/>
              </w:rPr>
              <w:t>Exploração</w:t>
            </w:r>
          </w:p>
        </w:tc>
      </w:tr>
      <w:tr>
        <w:tc>
          <w:tcPr>
            <w:tcW w:type="dxa" w:w="2430"/>
            <w:vAlign w:val="center"/>
          </w:tcPr>
          <w:p>
            <w:pPr>
              <w:jc w:val="center"/>
            </w:pPr>
            <w:r>
              <w:rPr>
                <w:rFonts w:ascii="Times New Roman" w:hAnsi="Times New Roman"/>
                <w:sz w:val="20"/>
              </w:rPr>
              <w:t>SU</w:t>
            </w:r>
          </w:p>
        </w:tc>
        <w:tc>
          <w:tcPr>
            <w:tcW w:type="dxa" w:w="2430"/>
            <w:vAlign w:val="center"/>
          </w:tcPr>
          <w:p>
            <w:pPr>
              <w:jc w:val="center"/>
            </w:pPr>
            <w:r>
              <w:rPr>
                <w:rFonts w:ascii="Times New Roman" w:hAnsi="Times New Roman"/>
                <w:sz w:val="20"/>
              </w:rPr>
              <w:t>Suncor Energy</w:t>
            </w:r>
          </w:p>
        </w:tc>
        <w:tc>
          <w:tcPr>
            <w:tcW w:type="dxa" w:w="2430"/>
            <w:vAlign w:val="center"/>
          </w:tcPr>
          <w:p>
            <w:pPr>
              <w:jc w:val="center"/>
            </w:pPr>
            <w:r>
              <w:rPr>
                <w:rFonts w:ascii="Times New Roman" w:hAnsi="Times New Roman"/>
                <w:sz w:val="20"/>
              </w:rPr>
              <w:t>Canadá</w:t>
            </w:r>
          </w:p>
        </w:tc>
        <w:tc>
          <w:tcPr>
            <w:tcW w:type="dxa" w:w="2430"/>
            <w:vAlign w:val="center"/>
          </w:tcPr>
          <w:p>
            <w:pPr>
              <w:jc w:val="center"/>
            </w:pPr>
            <w:r>
              <w:rPr>
                <w:rFonts w:ascii="Times New Roman" w:hAnsi="Times New Roman"/>
                <w:sz w:val="20"/>
              </w:rPr>
              <w:t>Integrada</w:t>
            </w:r>
          </w:p>
        </w:tc>
      </w:tr>
      <w:tr>
        <w:tc>
          <w:tcPr>
            <w:tcW w:type="dxa" w:w="2430"/>
            <w:vAlign w:val="center"/>
          </w:tcPr>
          <w:p>
            <w:pPr>
              <w:jc w:val="center"/>
            </w:pPr>
            <w:r>
              <w:rPr>
                <w:rFonts w:ascii="Times New Roman" w:hAnsi="Times New Roman"/>
                <w:sz w:val="20"/>
              </w:rPr>
              <w:t>BKR</w:t>
            </w:r>
          </w:p>
        </w:tc>
        <w:tc>
          <w:tcPr>
            <w:tcW w:type="dxa" w:w="2430"/>
            <w:vAlign w:val="center"/>
          </w:tcPr>
          <w:p>
            <w:pPr>
              <w:jc w:val="center"/>
            </w:pPr>
            <w:r>
              <w:rPr>
                <w:rFonts w:ascii="Times New Roman" w:hAnsi="Times New Roman"/>
                <w:sz w:val="20"/>
              </w:rPr>
              <w:t>Baker Hughes</w:t>
            </w:r>
          </w:p>
        </w:tc>
        <w:tc>
          <w:tcPr>
            <w:tcW w:type="dxa" w:w="2430"/>
            <w:vAlign w:val="center"/>
          </w:tcPr>
          <w:p>
            <w:pPr>
              <w:jc w:val="center"/>
            </w:pPr>
            <w:r>
              <w:rPr>
                <w:rFonts w:ascii="Times New Roman" w:hAnsi="Times New Roman"/>
                <w:sz w:val="20"/>
              </w:rPr>
              <w:t>EUA</w:t>
            </w:r>
          </w:p>
        </w:tc>
        <w:tc>
          <w:tcPr>
            <w:tcW w:type="dxa" w:w="2430"/>
            <w:vAlign w:val="center"/>
          </w:tcPr>
          <w:p>
            <w:pPr>
              <w:jc w:val="center"/>
            </w:pPr>
            <w:r>
              <w:rPr>
                <w:rFonts w:ascii="Times New Roman" w:hAnsi="Times New Roman"/>
                <w:sz w:val="20"/>
              </w:rPr>
              <w:t>Serviços</w:t>
            </w:r>
          </w:p>
        </w:tc>
      </w:tr>
      <w:tr>
        <w:tc>
          <w:tcPr>
            <w:tcW w:type="dxa" w:w="2430"/>
            <w:vAlign w:val="center"/>
          </w:tcPr>
          <w:p>
            <w:pPr>
              <w:jc w:val="center"/>
            </w:pPr>
            <w:r>
              <w:rPr>
                <w:rFonts w:ascii="Times New Roman" w:hAnsi="Times New Roman"/>
                <w:sz w:val="20"/>
              </w:rPr>
              <w:t>FTI</w:t>
            </w:r>
          </w:p>
        </w:tc>
        <w:tc>
          <w:tcPr>
            <w:tcW w:type="dxa" w:w="2430"/>
            <w:vAlign w:val="center"/>
          </w:tcPr>
          <w:p>
            <w:pPr>
              <w:jc w:val="center"/>
            </w:pPr>
            <w:r>
              <w:rPr>
                <w:rFonts w:ascii="Times New Roman" w:hAnsi="Times New Roman"/>
                <w:sz w:val="20"/>
              </w:rPr>
              <w:t>TechnipFMC</w:t>
            </w:r>
          </w:p>
        </w:tc>
        <w:tc>
          <w:tcPr>
            <w:tcW w:type="dxa" w:w="2430"/>
            <w:vAlign w:val="center"/>
          </w:tcPr>
          <w:p>
            <w:pPr>
              <w:jc w:val="center"/>
            </w:pPr>
            <w:r>
              <w:rPr>
                <w:rFonts w:ascii="Times New Roman" w:hAnsi="Times New Roman"/>
                <w:sz w:val="20"/>
              </w:rPr>
              <w:t>EUA/França</w:t>
            </w:r>
          </w:p>
        </w:tc>
        <w:tc>
          <w:tcPr>
            <w:tcW w:type="dxa" w:w="2430"/>
            <w:vAlign w:val="center"/>
          </w:tcPr>
          <w:p>
            <w:pPr>
              <w:jc w:val="center"/>
            </w:pPr>
            <w:r>
              <w:rPr>
                <w:rFonts w:ascii="Times New Roman" w:hAnsi="Times New Roman"/>
                <w:sz w:val="20"/>
              </w:rPr>
              <w:t>Serviços</w:t>
            </w:r>
          </w:p>
        </w:tc>
      </w:tr>
      <w:tr>
        <w:tc>
          <w:tcPr>
            <w:tcW w:type="dxa" w:w="2430"/>
            <w:vAlign w:val="center"/>
          </w:tcPr>
          <w:p>
            <w:pPr>
              <w:jc w:val="center"/>
            </w:pPr>
            <w:r>
              <w:rPr>
                <w:rFonts w:ascii="Times New Roman" w:hAnsi="Times New Roman"/>
                <w:sz w:val="20"/>
              </w:rPr>
              <w:t>WMB</w:t>
            </w:r>
          </w:p>
        </w:tc>
        <w:tc>
          <w:tcPr>
            <w:tcW w:type="dxa" w:w="2430"/>
            <w:vAlign w:val="center"/>
          </w:tcPr>
          <w:p>
            <w:pPr>
              <w:jc w:val="center"/>
            </w:pPr>
            <w:r>
              <w:rPr>
                <w:rFonts w:ascii="Times New Roman" w:hAnsi="Times New Roman"/>
                <w:sz w:val="20"/>
              </w:rPr>
              <w:t>Williams Companies</w:t>
            </w:r>
          </w:p>
        </w:tc>
        <w:tc>
          <w:tcPr>
            <w:tcW w:type="dxa" w:w="2430"/>
            <w:vAlign w:val="center"/>
          </w:tcPr>
          <w:p>
            <w:pPr>
              <w:jc w:val="center"/>
            </w:pPr>
            <w:r>
              <w:rPr>
                <w:rFonts w:ascii="Times New Roman" w:hAnsi="Times New Roman"/>
                <w:sz w:val="20"/>
              </w:rPr>
              <w:t>EUA</w:t>
            </w:r>
          </w:p>
        </w:tc>
        <w:tc>
          <w:tcPr>
            <w:tcW w:type="dxa" w:w="2430"/>
            <w:vAlign w:val="center"/>
          </w:tcPr>
          <w:p>
            <w:pPr>
              <w:jc w:val="center"/>
            </w:pPr>
            <w:r>
              <w:rPr>
                <w:rFonts w:ascii="Times New Roman" w:hAnsi="Times New Roman"/>
                <w:sz w:val="20"/>
              </w:rPr>
              <w:t>Midstream</w:t>
            </w:r>
          </w:p>
        </w:tc>
      </w:tr>
    </w:tbl>
    <w:p/>
    <w:p>
      <w:pPr>
        <w:spacing w:before="40" w:after="200"/>
        <w:jc w:val="center"/>
      </w:pPr>
      <w:r>
        <w:rPr>
          <w:rFonts w:ascii="Times New Roman" w:hAnsi="Times New Roman"/>
          <w:b/>
          <w:i w:val="0"/>
          <w:sz w:val="20"/>
        </w:rPr>
        <w:t xml:space="preserve">Tabela 1. </w:t>
      </w:r>
      <w:r>
        <w:rPr>
          <w:rFonts w:ascii="Times New Roman" w:hAnsi="Times New Roman"/>
          <w:b w:val="0"/>
          <w:i w:val="0"/>
          <w:sz w:val="20"/>
        </w:rPr>
        <w:t>Relação das DMUs analisadas, com ticker, empresa, país de origem e segmento de atuação.</w:t>
      </w:r>
    </w:p>
    <w:p>
      <w:pPr>
        <w:spacing w:before="120" w:after="0"/>
        <w:ind w:firstLine="709"/>
        <w:jc w:val="both"/>
      </w:pPr>
      <w:r>
        <w:rPr>
          <w:rFonts w:ascii="Times New Roman" w:hAnsi="Times New Roman"/>
          <w:b/>
          <w:i w:val="0"/>
          <w:sz w:val="24"/>
        </w:rPr>
        <w:t xml:space="preserve">Variáveis. </w:t>
      </w:r>
      <w:r>
        <w:rPr>
          <w:rFonts w:ascii="Times New Roman" w:hAnsi="Times New Roman"/>
          <w:b w:val="0"/>
          <w:i w:val="0"/>
          <w:sz w:val="24"/>
        </w:rPr>
        <w:t>A escolha de variáveis seguiu os critérios de disponibilidade, representatividade econômica e ausência de multicolinearidade severa. Foram definidos três inputs e dois outputs, conforme apresentado na Tabela 2.</w:t>
      </w:r>
    </w:p>
    <w:tbl>
      <w:tblPr>
        <w:tblStyle w:val="TableGrid"/>
        <w:tblW w:type="auto" w:w="0"/>
        <w:jc w:val="center"/>
        <w:tblLook w:firstColumn="1" w:firstRow="1" w:lastColumn="0" w:lastRow="0" w:noHBand="0" w:noVBand="1" w:val="04A0"/>
      </w:tblPr>
      <w:tblGrid>
        <w:gridCol w:w="3241"/>
        <w:gridCol w:w="3241"/>
        <w:gridCol w:w="3241"/>
      </w:tblGrid>
      <w:tr>
        <w:tc>
          <w:tcPr>
            <w:tcW w:type="dxa" w:w="3241"/>
            <w:vAlign w:val="center"/>
          </w:tcPr>
          <w:p>
            <w:pPr>
              <w:jc w:val="center"/>
            </w:pPr>
            <w:r>
              <w:rPr>
                <w:rFonts w:ascii="Times New Roman" w:hAnsi="Times New Roman"/>
                <w:b/>
                <w:sz w:val="20"/>
              </w:rPr>
              <w:t>Tipo</w:t>
            </w:r>
          </w:p>
        </w:tc>
        <w:tc>
          <w:tcPr>
            <w:tcW w:type="dxa" w:w="3241"/>
            <w:vAlign w:val="center"/>
          </w:tcPr>
          <w:p>
            <w:pPr>
              <w:jc w:val="center"/>
            </w:pPr>
            <w:r>
              <w:rPr>
                <w:rFonts w:ascii="Times New Roman" w:hAnsi="Times New Roman"/>
                <w:b/>
                <w:sz w:val="20"/>
              </w:rPr>
              <w:t>Variável</w:t>
            </w:r>
          </w:p>
        </w:tc>
        <w:tc>
          <w:tcPr>
            <w:tcW w:type="dxa" w:w="3241"/>
            <w:vAlign w:val="center"/>
          </w:tcPr>
          <w:p>
            <w:pPr>
              <w:jc w:val="center"/>
            </w:pPr>
            <w:r>
              <w:rPr>
                <w:rFonts w:ascii="Times New Roman" w:hAnsi="Times New Roman"/>
                <w:b/>
                <w:sz w:val="20"/>
              </w:rPr>
              <w:t>Descrição</w:t>
            </w:r>
          </w:p>
        </w:tc>
      </w:tr>
      <w:tr>
        <w:tc>
          <w:tcPr>
            <w:tcW w:type="dxa" w:w="3241"/>
            <w:vAlign w:val="center"/>
          </w:tcPr>
          <w:p>
            <w:pPr>
              <w:jc w:val="center"/>
            </w:pPr>
            <w:r>
              <w:rPr>
                <w:rFonts w:ascii="Times New Roman" w:hAnsi="Times New Roman"/>
                <w:sz w:val="20"/>
              </w:rPr>
              <w:t>Input</w:t>
            </w:r>
          </w:p>
        </w:tc>
        <w:tc>
          <w:tcPr>
            <w:tcW w:type="dxa" w:w="3241"/>
            <w:vAlign w:val="center"/>
          </w:tcPr>
          <w:p>
            <w:pPr>
              <w:jc w:val="center"/>
            </w:pPr>
            <w:r>
              <w:rPr>
                <w:rFonts w:ascii="Times New Roman" w:hAnsi="Times New Roman"/>
                <w:sz w:val="20"/>
              </w:rPr>
              <w:t>Total Assets</w:t>
            </w:r>
          </w:p>
        </w:tc>
        <w:tc>
          <w:tcPr>
            <w:tcW w:type="dxa" w:w="3241"/>
            <w:vAlign w:val="center"/>
          </w:tcPr>
          <w:p>
            <w:pPr>
              <w:jc w:val="center"/>
            </w:pPr>
            <w:r>
              <w:rPr>
                <w:rFonts w:ascii="Times New Roman" w:hAnsi="Times New Roman"/>
                <w:sz w:val="20"/>
              </w:rPr>
              <w:t>Ativos totais — proxy para capital empregado</w:t>
            </w:r>
          </w:p>
        </w:tc>
      </w:tr>
      <w:tr>
        <w:tc>
          <w:tcPr>
            <w:tcW w:type="dxa" w:w="3241"/>
            <w:vAlign w:val="center"/>
          </w:tcPr>
          <w:p>
            <w:pPr>
              <w:jc w:val="center"/>
            </w:pPr>
            <w:r>
              <w:rPr>
                <w:rFonts w:ascii="Times New Roman" w:hAnsi="Times New Roman"/>
                <w:sz w:val="20"/>
              </w:rPr>
              <w:t>Input</w:t>
            </w:r>
          </w:p>
        </w:tc>
        <w:tc>
          <w:tcPr>
            <w:tcW w:type="dxa" w:w="3241"/>
            <w:vAlign w:val="center"/>
          </w:tcPr>
          <w:p>
            <w:pPr>
              <w:jc w:val="center"/>
            </w:pPr>
            <w:r>
              <w:rPr>
                <w:rFonts w:ascii="Times New Roman" w:hAnsi="Times New Roman"/>
                <w:sz w:val="20"/>
              </w:rPr>
              <w:t>Operating Expenses</w:t>
            </w:r>
          </w:p>
        </w:tc>
        <w:tc>
          <w:tcPr>
            <w:tcW w:type="dxa" w:w="3241"/>
            <w:vAlign w:val="center"/>
          </w:tcPr>
          <w:p>
            <w:pPr>
              <w:jc w:val="center"/>
            </w:pPr>
            <w:r>
              <w:rPr>
                <w:rFonts w:ascii="Times New Roman" w:hAnsi="Times New Roman"/>
                <w:sz w:val="20"/>
              </w:rPr>
              <w:t>Despesas operacionais — proxy para custos</w:t>
            </w:r>
          </w:p>
        </w:tc>
      </w:tr>
      <w:tr>
        <w:tc>
          <w:tcPr>
            <w:tcW w:type="dxa" w:w="3241"/>
            <w:vAlign w:val="center"/>
          </w:tcPr>
          <w:p>
            <w:pPr>
              <w:jc w:val="center"/>
            </w:pPr>
            <w:r>
              <w:rPr>
                <w:rFonts w:ascii="Times New Roman" w:hAnsi="Times New Roman"/>
                <w:sz w:val="20"/>
              </w:rPr>
              <w:t>Input</w:t>
            </w:r>
          </w:p>
        </w:tc>
        <w:tc>
          <w:tcPr>
            <w:tcW w:type="dxa" w:w="3241"/>
            <w:vAlign w:val="center"/>
          </w:tcPr>
          <w:p>
            <w:pPr>
              <w:jc w:val="center"/>
            </w:pPr>
            <w:r>
              <w:rPr>
                <w:rFonts w:ascii="Times New Roman" w:hAnsi="Times New Roman"/>
                <w:sz w:val="20"/>
              </w:rPr>
              <w:t>Employees</w:t>
            </w:r>
          </w:p>
        </w:tc>
        <w:tc>
          <w:tcPr>
            <w:tcW w:type="dxa" w:w="3241"/>
            <w:vAlign w:val="center"/>
          </w:tcPr>
          <w:p>
            <w:pPr>
              <w:jc w:val="center"/>
            </w:pPr>
            <w:r>
              <w:rPr>
                <w:rFonts w:ascii="Times New Roman" w:hAnsi="Times New Roman"/>
                <w:sz w:val="20"/>
              </w:rPr>
              <w:t>Nº de funcionários — proxy para capital humano</w:t>
            </w:r>
          </w:p>
        </w:tc>
      </w:tr>
      <w:tr>
        <w:tc>
          <w:tcPr>
            <w:tcW w:type="dxa" w:w="3241"/>
            <w:vAlign w:val="center"/>
          </w:tcPr>
          <w:p>
            <w:pPr>
              <w:jc w:val="center"/>
            </w:pPr>
            <w:r>
              <w:rPr>
                <w:rFonts w:ascii="Times New Roman" w:hAnsi="Times New Roman"/>
                <w:sz w:val="20"/>
              </w:rPr>
              <w:t>Output</w:t>
            </w:r>
          </w:p>
        </w:tc>
        <w:tc>
          <w:tcPr>
            <w:tcW w:type="dxa" w:w="3241"/>
            <w:vAlign w:val="center"/>
          </w:tcPr>
          <w:p>
            <w:pPr>
              <w:jc w:val="center"/>
            </w:pPr>
            <w:r>
              <w:rPr>
                <w:rFonts w:ascii="Times New Roman" w:hAnsi="Times New Roman"/>
                <w:sz w:val="20"/>
              </w:rPr>
              <w:t>Total Revenue</w:t>
            </w:r>
          </w:p>
        </w:tc>
        <w:tc>
          <w:tcPr>
            <w:tcW w:type="dxa" w:w="3241"/>
            <w:vAlign w:val="center"/>
          </w:tcPr>
          <w:p>
            <w:pPr>
              <w:jc w:val="center"/>
            </w:pPr>
            <w:r>
              <w:rPr>
                <w:rFonts w:ascii="Times New Roman" w:hAnsi="Times New Roman"/>
                <w:sz w:val="20"/>
              </w:rPr>
              <w:t>Receita líquida total</w:t>
            </w:r>
          </w:p>
        </w:tc>
      </w:tr>
      <w:tr>
        <w:tc>
          <w:tcPr>
            <w:tcW w:type="dxa" w:w="3241"/>
            <w:vAlign w:val="center"/>
          </w:tcPr>
          <w:p>
            <w:pPr>
              <w:jc w:val="center"/>
            </w:pPr>
            <w:r>
              <w:rPr>
                <w:rFonts w:ascii="Times New Roman" w:hAnsi="Times New Roman"/>
                <w:sz w:val="20"/>
              </w:rPr>
              <w:t>Output</w:t>
            </w:r>
          </w:p>
        </w:tc>
        <w:tc>
          <w:tcPr>
            <w:tcW w:type="dxa" w:w="3241"/>
            <w:vAlign w:val="center"/>
          </w:tcPr>
          <w:p>
            <w:pPr>
              <w:jc w:val="center"/>
            </w:pPr>
            <w:r>
              <w:rPr>
                <w:rFonts w:ascii="Times New Roman" w:hAnsi="Times New Roman"/>
                <w:sz w:val="20"/>
              </w:rPr>
              <w:t>EBITDA</w:t>
            </w:r>
          </w:p>
        </w:tc>
        <w:tc>
          <w:tcPr>
            <w:tcW w:type="dxa" w:w="3241"/>
            <w:vAlign w:val="center"/>
          </w:tcPr>
          <w:p>
            <w:pPr>
              <w:jc w:val="center"/>
            </w:pPr>
            <w:r>
              <w:rPr>
                <w:rFonts w:ascii="Times New Roman" w:hAnsi="Times New Roman"/>
                <w:sz w:val="20"/>
              </w:rPr>
              <w:t>Lucro antes de juros, impostos, depreciação e amortização</w:t>
            </w:r>
          </w:p>
        </w:tc>
      </w:tr>
    </w:tbl>
    <w:p/>
    <w:p>
      <w:pPr>
        <w:spacing w:before="40" w:after="200"/>
        <w:jc w:val="center"/>
      </w:pPr>
      <w:r>
        <w:rPr>
          <w:rFonts w:ascii="Times New Roman" w:hAnsi="Times New Roman"/>
          <w:b/>
          <w:i w:val="0"/>
          <w:sz w:val="20"/>
        </w:rPr>
        <w:t xml:space="preserve">Tabela 2. </w:t>
      </w:r>
      <w:r>
        <w:rPr>
          <w:rFonts w:ascii="Times New Roman" w:hAnsi="Times New Roman"/>
          <w:b w:val="0"/>
          <w:i w:val="0"/>
          <w:sz w:val="20"/>
        </w:rPr>
        <w:t>Variáveis utilizadas no modelo DEA, com tipo (input/output) e descrição.</w:t>
      </w:r>
    </w:p>
    <w:p>
      <w:pPr>
        <w:spacing w:before="0" w:after="120"/>
        <w:ind w:firstLine="709"/>
        <w:jc w:val="both"/>
      </w:pPr>
      <w:r>
        <w:rPr>
          <w:rFonts w:ascii="Times New Roman" w:hAnsi="Times New Roman"/>
          <w:b w:val="0"/>
          <w:i w:val="0"/>
          <w:sz w:val="24"/>
        </w:rPr>
        <w:t>A regra prática do DEA recomenda que o número de DMUs seja pelo menos três vezes a soma de inputs e outputs: 3 × (3 + 2) = 15. Com 22 DMUs, a regra é atendida com margem de 7 unidades, conferindo adequada capacidade discriminatória ao modelo. Os dados foram coletados via API do Yahoo Finance (biblioteca yfinance, Python), com valores expressos em dólares americanos. Cinco empresas inicialmente selecionadas foram removidas da amostra por apresentarem dados incompletos (REP, MRO, HES, YPF, EC).</w:t>
      </w:r>
    </w:p>
    <w:p>
      <w:pPr>
        <w:spacing w:before="120" w:after="0"/>
        <w:ind w:firstLine="709"/>
        <w:jc w:val="both"/>
      </w:pPr>
      <w:r>
        <w:rPr>
          <w:rFonts w:ascii="Times New Roman" w:hAnsi="Times New Roman"/>
          <w:b/>
          <w:i w:val="0"/>
          <w:sz w:val="24"/>
        </w:rPr>
        <w:t xml:space="preserve">Limitações. </w:t>
      </w:r>
      <w:r>
        <w:rPr>
          <w:rFonts w:ascii="Times New Roman" w:hAnsi="Times New Roman"/>
          <w:b w:val="0"/>
          <w:i w:val="0"/>
          <w:sz w:val="24"/>
        </w:rPr>
        <w:t>Algumas limitações metodológicas devem ser reconhecidas. A fonte de dados automática (Yahoo Finance) pode apresentar inconsistências para empresas listadas em bolsas não americanas. Os anos fiscais não são uniformes entre todas as empresas, podendo introduzir viés temporal. A Petrobras (PBR) foi identificada como outlier em três das cinco variáveis na análise exploratória, podendo distorcer a fronteira eficiente. Adicionalmente, a amostra inclui empresas de segmentos distintos, o que reduz parcialmente a homogeneidade das DMUs.</w:t>
      </w:r>
    </w:p>
    <w:p>
      <w:pPr>
        <w:spacing w:before="240" w:after="120"/>
        <w:jc w:val="center"/>
      </w:pPr>
      <w:r>
        <w:rPr>
          <w:rFonts w:ascii="Times New Roman" w:hAnsi="Times New Roman"/>
          <w:b/>
          <w:i w:val="0"/>
          <w:sz w:val="24"/>
        </w:rPr>
        <w:t>ANÁLISE ENVOLTÓRIA DE DADOS</w:t>
      </w:r>
    </w:p>
    <w:p>
      <w:pPr>
        <w:spacing w:before="120" w:after="0"/>
        <w:ind w:firstLine="709"/>
        <w:jc w:val="both"/>
      </w:pPr>
      <w:r>
        <w:rPr>
          <w:rFonts w:ascii="Times New Roman" w:hAnsi="Times New Roman"/>
          <w:b/>
          <w:i w:val="0"/>
          <w:sz w:val="24"/>
        </w:rPr>
        <w:t xml:space="preserve">Introdução ao DEA. </w:t>
      </w:r>
      <w:r>
        <w:rPr>
          <w:rFonts w:ascii="Times New Roman" w:hAnsi="Times New Roman"/>
          <w:b w:val="0"/>
          <w:i w:val="0"/>
          <w:sz w:val="24"/>
        </w:rPr>
        <w:t>A Análise Envoltória de Dados é uma técnica de programação matemática não paramétrica que avalia a eficiência relativa de unidades de decisão que compartilham o mesmo conjunto de inputs e outputs. Ao contrário de métodos paramétricos, o DEA não pressupõe uma forma funcional específica para a relação entre inputs e outputs, construindo a fronteira eficiente empiricamente a partir das melhores práticas observadas na amostra. Uma DMU é considerada eficiente quando nenhuma combinação linear das demais DMUs consegue produzir mais outputs com os mesmos ou menos inputs.</w:t>
      </w:r>
    </w:p>
    <w:p>
      <w:pPr>
        <w:spacing w:before="120" w:after="0"/>
        <w:ind w:firstLine="709"/>
        <w:jc w:val="both"/>
      </w:pPr>
      <w:r>
        <w:rPr>
          <w:rFonts w:ascii="Times New Roman" w:hAnsi="Times New Roman"/>
          <w:b/>
          <w:i w:val="0"/>
          <w:sz w:val="24"/>
        </w:rPr>
        <w:t xml:space="preserve">Modelo CCR. </w:t>
      </w:r>
      <w:r>
        <w:rPr>
          <w:rFonts w:ascii="Times New Roman" w:hAnsi="Times New Roman"/>
          <w:b w:val="0"/>
          <w:i w:val="0"/>
          <w:sz w:val="24"/>
        </w:rPr>
        <w:t>O modelo CCR (Charnes, Cooper e Rhodes, 1978) assume retornos constantes de escala (CRS). Com orientação a output, busca o fator máximo θ pelo qual os outputs da DMU avaliada podem ser expandidos, mantendo os inputs fixos. Formalmente:</w:t>
      </w:r>
    </w:p>
    <w:p>
      <w:pPr>
        <w:spacing w:before="0" w:after="0"/>
        <w:ind w:left="1701"/>
        <w:jc w:val="left"/>
      </w:pPr>
      <w:r>
        <w:rPr>
          <w:rFonts w:ascii="Times New Roman" w:hAnsi="Times New Roman"/>
          <w:b w:val="0"/>
          <w:i w:val="0"/>
          <w:sz w:val="24"/>
        </w:rPr>
        <w:t>max  θ                                            (1)</w:t>
      </w:r>
    </w:p>
    <w:p>
      <w:pPr>
        <w:spacing w:before="0" w:after="0"/>
        <w:ind w:left="1701"/>
        <w:jc w:val="left"/>
      </w:pPr>
      <w:r>
        <w:rPr>
          <w:rFonts w:ascii="Times New Roman" w:hAnsi="Times New Roman"/>
          <w:b w:val="0"/>
          <w:i w:val="0"/>
          <w:sz w:val="24"/>
        </w:rPr>
        <w:t>s.a.   Σⱼ λⱼ xᵢⱼ ≤ xᵢₒ,   ∀ i                     (2)</w:t>
      </w:r>
    </w:p>
    <w:p>
      <w:pPr>
        <w:spacing w:before="0" w:after="0"/>
        <w:ind w:left="1701"/>
        <w:jc w:val="left"/>
      </w:pPr>
      <w:r>
        <w:rPr>
          <w:rFonts w:ascii="Times New Roman" w:hAnsi="Times New Roman"/>
          <w:b w:val="0"/>
          <w:i w:val="0"/>
          <w:sz w:val="24"/>
        </w:rPr>
        <w:t xml:space="preserve">        Σⱼ λⱼ yᵣⱼ ≥ θ · yᵣₒ,  ∀ r                 (3)</w:t>
      </w:r>
    </w:p>
    <w:p>
      <w:pPr>
        <w:spacing w:before="0" w:after="0"/>
        <w:ind w:left="1701"/>
        <w:jc w:val="left"/>
      </w:pPr>
      <w:r>
        <w:rPr>
          <w:rFonts w:ascii="Times New Roman" w:hAnsi="Times New Roman"/>
          <w:b w:val="0"/>
          <w:i w:val="0"/>
          <w:sz w:val="24"/>
        </w:rPr>
        <w:t xml:space="preserve">        λⱼ ≥ 0,   ∀ j                             (4)</w:t>
      </w:r>
    </w:p>
    <w:p>
      <w:pPr>
        <w:spacing w:before="0" w:after="120"/>
        <w:ind w:firstLine="709"/>
        <w:jc w:val="both"/>
      </w:pPr>
      <w:r>
        <w:rPr>
          <w:rFonts w:ascii="Times New Roman" w:hAnsi="Times New Roman"/>
          <w:b w:val="0"/>
          <w:i w:val="0"/>
          <w:sz w:val="24"/>
        </w:rPr>
        <w:t>onde xᵢⱼ é o valor do input i da DMU j; yᵣⱼ é o valor do output r da DMU j; λⱼ são os pesos das DMUs de referência; e θ é o score de eficiência. Uma DMU é eficiente quando θ = 1,0; ineficiente quando θ &gt; 1,0, indicando que os outputs poderiam ser expandidos pelo fator θ mantendo os inputs constantes.</w:t>
      </w:r>
    </w:p>
    <w:p>
      <w:pPr>
        <w:spacing w:before="120" w:after="0"/>
        <w:ind w:firstLine="709"/>
        <w:jc w:val="both"/>
      </w:pPr>
      <w:r>
        <w:rPr>
          <w:rFonts w:ascii="Times New Roman" w:hAnsi="Times New Roman"/>
          <w:b/>
          <w:i w:val="0"/>
          <w:sz w:val="24"/>
        </w:rPr>
        <w:t xml:space="preserve">Modelo BCC. </w:t>
      </w:r>
      <w:r>
        <w:rPr>
          <w:rFonts w:ascii="Times New Roman" w:hAnsi="Times New Roman"/>
          <w:b w:val="0"/>
          <w:i w:val="0"/>
          <w:sz w:val="24"/>
        </w:rPr>
        <w:t>O modelo BCC (Banker, Charnes e Cooper, 1984) admite retornos variáveis de escala (VRS) por meio de uma restrição de convexidade adicional. A formulação é idêntica ao CCR com a inclusão de:</w:t>
      </w:r>
    </w:p>
    <w:p>
      <w:pPr>
        <w:spacing w:before="0" w:after="0"/>
        <w:ind w:left="1701"/>
        <w:jc w:val="left"/>
      </w:pPr>
      <w:r>
        <w:rPr>
          <w:rFonts w:ascii="Times New Roman" w:hAnsi="Times New Roman"/>
          <w:b w:val="0"/>
          <w:i w:val="0"/>
          <w:sz w:val="24"/>
        </w:rPr>
        <w:t>max  θ                                            (5)</w:t>
      </w:r>
    </w:p>
    <w:p>
      <w:pPr>
        <w:spacing w:before="0" w:after="0"/>
        <w:ind w:left="1701"/>
        <w:jc w:val="left"/>
      </w:pPr>
      <w:r>
        <w:rPr>
          <w:rFonts w:ascii="Times New Roman" w:hAnsi="Times New Roman"/>
          <w:b w:val="0"/>
          <w:i w:val="0"/>
          <w:sz w:val="24"/>
        </w:rPr>
        <w:t>s.a.   Σⱼ λⱼ xᵢⱼ ≤ xᵢₒ,   ∀ i                     (6)</w:t>
      </w:r>
    </w:p>
    <w:p>
      <w:pPr>
        <w:spacing w:before="0" w:after="0"/>
        <w:ind w:left="1701"/>
        <w:jc w:val="left"/>
      </w:pPr>
      <w:r>
        <w:rPr>
          <w:rFonts w:ascii="Times New Roman" w:hAnsi="Times New Roman"/>
          <w:b w:val="0"/>
          <w:i w:val="0"/>
          <w:sz w:val="24"/>
        </w:rPr>
        <w:t xml:space="preserve">        Σⱼ λⱼ yᵣⱼ ≥ θ · yᵣₒ,  ∀ r                 (7)</w:t>
      </w:r>
    </w:p>
    <w:p>
      <w:pPr>
        <w:spacing w:before="0" w:after="0"/>
        <w:ind w:left="1701"/>
        <w:jc w:val="left"/>
      </w:pPr>
      <w:r>
        <w:rPr>
          <w:rFonts w:ascii="Times New Roman" w:hAnsi="Times New Roman"/>
          <w:b w:val="0"/>
          <w:i w:val="0"/>
          <w:sz w:val="24"/>
        </w:rPr>
        <w:t xml:space="preserve">        λⱼ ≥ 0,   ∀ j                             (8)</w:t>
      </w:r>
    </w:p>
    <w:p>
      <w:pPr>
        <w:spacing w:before="0" w:after="0"/>
        <w:ind w:left="1701"/>
        <w:jc w:val="left"/>
      </w:pPr>
      <w:r>
        <w:rPr>
          <w:rFonts w:ascii="Times New Roman" w:hAnsi="Times New Roman"/>
          <w:b w:val="0"/>
          <w:i w:val="0"/>
          <w:sz w:val="24"/>
        </w:rPr>
        <w:t xml:space="preserve">        Σⱼ λⱼ = 1                                 (9)</w:t>
      </w:r>
    </w:p>
    <w:p>
      <w:pPr>
        <w:spacing w:before="0" w:after="120"/>
        <w:ind w:firstLine="709"/>
        <w:jc w:val="both"/>
      </w:pPr>
      <w:r>
        <w:rPr>
          <w:rFonts w:ascii="Times New Roman" w:hAnsi="Times New Roman"/>
          <w:b w:val="0"/>
          <w:i w:val="0"/>
          <w:sz w:val="24"/>
        </w:rPr>
        <w:t>A restrição (9) garante que cada DMU seja comparada apenas com combinações convexas de outras DMUs de porte similar, eliminando o componente de ineficiência de escala.</w:t>
      </w:r>
    </w:p>
    <w:p>
      <w:pPr>
        <w:spacing w:before="120" w:after="0"/>
        <w:ind w:firstLine="709"/>
        <w:jc w:val="both"/>
      </w:pPr>
      <w:r>
        <w:rPr>
          <w:rFonts w:ascii="Times New Roman" w:hAnsi="Times New Roman"/>
          <w:b/>
          <w:i w:val="0"/>
          <w:sz w:val="24"/>
        </w:rPr>
        <w:t xml:space="preserve">Eficiência de Escala. </w:t>
      </w:r>
      <w:r>
        <w:rPr>
          <w:rFonts w:ascii="Times New Roman" w:hAnsi="Times New Roman"/>
          <w:b w:val="0"/>
          <w:i w:val="0"/>
          <w:sz w:val="24"/>
        </w:rPr>
        <w:t>A eficiência de escala (SE) é obtida pela razão entre os scores dos dois modelos:</w:t>
      </w:r>
    </w:p>
    <w:p>
      <w:pPr>
        <w:ind w:left="1701"/>
        <w:jc w:val="left"/>
      </w:pPr>
      <w:r>
        <w:rPr>
          <w:rFonts w:ascii="Times New Roman" w:hAnsi="Times New Roman"/>
          <w:b w:val="0"/>
          <w:i w:val="0"/>
          <w:sz w:val="24"/>
        </w:rPr>
        <w:t>SE = θ_CCR / θ_BCC                                (10)</w:t>
      </w:r>
    </w:p>
    <w:p>
      <w:pPr>
        <w:spacing w:before="0" w:after="120"/>
        <w:ind w:firstLine="709"/>
        <w:jc w:val="both"/>
      </w:pPr>
      <w:r>
        <w:rPr>
          <w:rFonts w:ascii="Times New Roman" w:hAnsi="Times New Roman"/>
          <w:b w:val="0"/>
          <w:i w:val="0"/>
          <w:sz w:val="24"/>
        </w:rPr>
        <w:t>Quando SE = 1, a DMU opera na escala ótima (CRS). Quando SE &gt; 1, há ineficiência de escala — a DMU operaria de forma mais eficiente em tamanho diferente do atual.</w:t>
      </w:r>
    </w:p>
    <w:p>
      <w:pPr>
        <w:spacing w:before="120" w:after="0"/>
        <w:ind w:firstLine="709"/>
        <w:jc w:val="both"/>
      </w:pPr>
      <w:r>
        <w:rPr>
          <w:rFonts w:ascii="Times New Roman" w:hAnsi="Times New Roman"/>
          <w:b/>
          <w:i w:val="0"/>
          <w:sz w:val="24"/>
        </w:rPr>
        <w:t xml:space="preserve">Orientação escolhida. </w:t>
      </w:r>
      <w:r>
        <w:rPr>
          <w:rFonts w:ascii="Times New Roman" w:hAnsi="Times New Roman"/>
          <w:b w:val="0"/>
          <w:i w:val="0"/>
          <w:sz w:val="24"/>
        </w:rPr>
        <w:t>Adotou-se a orientação a output neste estudo, pois as empresas do setor operam com estrutura de ativos, força de trabalho e custos operacionais relativamente fixos no curto e médio prazo. A pergunta economicamente mais relevante é quanto mais receita e EBITDA cada empresa poderia gerar com os recursos que já possui, caso operasse sobre a fronteira eficiente.</w:t>
      </w:r>
    </w:p>
    <w:p>
      <w:r>
        <w:br w:type="page"/>
      </w:r>
    </w:p>
    <w:p>
      <w:pPr>
        <w:spacing w:before="240" w:after="120"/>
        <w:jc w:val="center"/>
      </w:pPr>
      <w:r>
        <w:rPr>
          <w:rFonts w:ascii="Times New Roman" w:hAnsi="Times New Roman"/>
          <w:b/>
          <w:i w:val="0"/>
          <w:sz w:val="24"/>
        </w:rPr>
        <w:t>RESULTADOS E DISCUSSÕES</w:t>
      </w:r>
    </w:p>
    <w:p>
      <w:pPr>
        <w:spacing w:before="120" w:after="0"/>
        <w:ind w:firstLine="709"/>
        <w:jc w:val="both"/>
      </w:pPr>
      <w:r>
        <w:rPr>
          <w:rFonts w:ascii="Times New Roman" w:hAnsi="Times New Roman"/>
          <w:b/>
          <w:i w:val="0"/>
          <w:sz w:val="24"/>
        </w:rPr>
        <w:t xml:space="preserve">Análise Exploratória dos Dados. </w:t>
      </w:r>
      <w:r>
        <w:rPr>
          <w:rFonts w:ascii="Times New Roman" w:hAnsi="Times New Roman"/>
          <w:b w:val="0"/>
          <w:i w:val="0"/>
          <w:sz w:val="24"/>
        </w:rPr>
        <w:t>A análise exploratória revelou elevada dispersão nas variáveis, reflexo da heterogeneidade de porte entre as 22 DMUs. Os boxplots das variáveis normalizadas (Figura 5) evidenciam a presença de valores atípicos, especialmente nos outputs.</w:t>
      </w:r>
    </w:p>
    <w:p>
      <w:pPr>
        <w:spacing w:before="120"/>
        <w:jc w:val="center"/>
      </w:pPr>
      <w:r>
        <w:drawing>
          <wp:inline xmlns:a="http://schemas.openxmlformats.org/drawingml/2006/main" xmlns:pic="http://schemas.openxmlformats.org/drawingml/2006/picture">
            <wp:extent cx="5040000" cy="2148593"/>
            <wp:docPr id="1" name="Picture 1"/>
            <wp:cNvGraphicFramePr>
              <a:graphicFrameLocks noChangeAspect="1"/>
            </wp:cNvGraphicFramePr>
            <a:graphic>
              <a:graphicData uri="http://schemas.openxmlformats.org/drawingml/2006/picture">
                <pic:pic>
                  <pic:nvPicPr>
                    <pic:cNvPr id="0" name="boxplots.png"/>
                    <pic:cNvPicPr/>
                  </pic:nvPicPr>
                  <pic:blipFill>
                    <a:blip r:embed="rId9"/>
                    <a:stretch>
                      <a:fillRect/>
                    </a:stretch>
                  </pic:blipFill>
                  <pic:spPr>
                    <a:xfrm>
                      <a:off x="0" y="0"/>
                      <a:ext cx="5040000" cy="2148593"/>
                    </a:xfrm>
                    <a:prstGeom prst="rect"/>
                  </pic:spPr>
                </pic:pic>
              </a:graphicData>
            </a:graphic>
          </wp:inline>
        </w:drawing>
      </w:r>
    </w:p>
    <w:p>
      <w:pPr>
        <w:spacing w:before="40" w:after="200"/>
        <w:jc w:val="center"/>
      </w:pPr>
      <w:r>
        <w:rPr>
          <w:rFonts w:ascii="Times New Roman" w:hAnsi="Times New Roman"/>
          <w:b/>
          <w:i w:val="0"/>
          <w:sz w:val="20"/>
        </w:rPr>
        <w:t xml:space="preserve">Figura 5. </w:t>
      </w:r>
      <w:r>
        <w:rPr>
          <w:rFonts w:ascii="Times New Roman" w:hAnsi="Times New Roman"/>
          <w:b w:val="0"/>
          <w:i w:val="0"/>
          <w:sz w:val="20"/>
        </w:rPr>
        <w:t>Boxplots das variáveis de input e output normalizadas pelo valor máximo da amostra.</w:t>
      </w:r>
    </w:p>
    <w:p>
      <w:pPr>
        <w:spacing w:before="0" w:after="120"/>
        <w:ind w:firstLine="709"/>
        <w:jc w:val="both"/>
      </w:pPr>
      <w:r>
        <w:rPr>
          <w:rFonts w:ascii="Times New Roman" w:hAnsi="Times New Roman"/>
          <w:b w:val="0"/>
          <w:i w:val="0"/>
          <w:sz w:val="24"/>
        </w:rPr>
        <w:t>A matriz de correlação (Figura 6) apresenta alta correlação positiva entre inputs e outputs, esperada pela relação entre porte e capacidade produtiva das empresas. A análise pelo método IQR identificou a Petrobras (PBR) como outlier em três variáveis: Total Assets, Receita Líquida e EBITDA. Seu porte desproporcionalmente elevado em relação à mediana da amostra pode favorecer artificialmente seu posicionamento como benchmark.</w:t>
      </w:r>
    </w:p>
    <w:p>
      <w:pPr>
        <w:spacing w:before="120"/>
        <w:jc w:val="center"/>
      </w:pPr>
      <w:r>
        <w:drawing>
          <wp:inline xmlns:a="http://schemas.openxmlformats.org/drawingml/2006/main" xmlns:pic="http://schemas.openxmlformats.org/drawingml/2006/picture">
            <wp:extent cx="3960000" cy="3588967"/>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0"/>
                    <a:stretch>
                      <a:fillRect/>
                    </a:stretch>
                  </pic:blipFill>
                  <pic:spPr>
                    <a:xfrm>
                      <a:off x="0" y="0"/>
                      <a:ext cx="3960000" cy="3588967"/>
                    </a:xfrm>
                    <a:prstGeom prst="rect"/>
                  </pic:spPr>
                </pic:pic>
              </a:graphicData>
            </a:graphic>
          </wp:inline>
        </w:drawing>
      </w:r>
    </w:p>
    <w:p>
      <w:pPr>
        <w:spacing w:before="40" w:after="200"/>
        <w:jc w:val="center"/>
      </w:pPr>
      <w:r>
        <w:rPr>
          <w:rFonts w:ascii="Times New Roman" w:hAnsi="Times New Roman"/>
          <w:b/>
          <w:i w:val="0"/>
          <w:sz w:val="20"/>
        </w:rPr>
        <w:t xml:space="preserve">Figura 6. </w:t>
      </w:r>
      <w:r>
        <w:rPr>
          <w:rFonts w:ascii="Times New Roman" w:hAnsi="Times New Roman"/>
          <w:b w:val="0"/>
          <w:i w:val="0"/>
          <w:sz w:val="20"/>
        </w:rPr>
        <w:t>Matriz de correlação entre as variáveis de input e output.</w:t>
      </w:r>
    </w:p>
    <w:p>
      <w:pPr>
        <w:spacing w:before="120" w:after="0"/>
        <w:ind w:firstLine="709"/>
        <w:jc w:val="both"/>
      </w:pPr>
      <w:r>
        <w:rPr>
          <w:rFonts w:ascii="Times New Roman" w:hAnsi="Times New Roman"/>
          <w:b/>
          <w:i w:val="0"/>
          <w:sz w:val="24"/>
        </w:rPr>
        <w:t xml:space="preserve">Scores de Eficiência. </w:t>
      </w:r>
      <w:r>
        <w:rPr>
          <w:rFonts w:ascii="Times New Roman" w:hAnsi="Times New Roman"/>
          <w:b w:val="0"/>
          <w:i w:val="0"/>
          <w:sz w:val="24"/>
        </w:rPr>
        <w:t>Os resultados dos modelos CCR e BCC são apresentados na Tabela 3. No modelo CCR, 9 das 22 DMUs (41%) atingiram a fronteira eficiente (θ = 1,0000), enquanto no BCC esse número sobe para 10 DMUs (45%). O score médio CCR é 1,0811 e o BCC é 1,0591, indicando que as DMUs ineficientes precisariam expandir seus outputs em aproximadamente 8,1% e 5,9%, respectivamente, para atingir a fronteira.</w:t>
      </w:r>
    </w:p>
    <w:tbl>
      <w:tblPr>
        <w:tblStyle w:val="TableGrid"/>
        <w:tblW w:type="auto" w:w="0"/>
        <w:jc w:val="center"/>
        <w:tblLook w:firstColumn="1" w:firstRow="1" w:lastColumn="0" w:lastRow="0" w:noHBand="0" w:noVBand="1" w:val="04A0"/>
      </w:tblPr>
      <w:tblGrid>
        <w:gridCol w:w="1389"/>
        <w:gridCol w:w="1389"/>
        <w:gridCol w:w="1389"/>
        <w:gridCol w:w="1389"/>
        <w:gridCol w:w="1389"/>
        <w:gridCol w:w="1389"/>
        <w:gridCol w:w="1389"/>
      </w:tblGrid>
      <w:tr>
        <w:tc>
          <w:tcPr>
            <w:tcW w:type="dxa" w:w="1389"/>
            <w:vAlign w:val="center"/>
          </w:tcPr>
          <w:p>
            <w:pPr>
              <w:jc w:val="center"/>
            </w:pPr>
            <w:r>
              <w:rPr>
                <w:rFonts w:ascii="Times New Roman" w:hAnsi="Times New Roman"/>
                <w:b/>
                <w:sz w:val="20"/>
              </w:rPr>
              <w:t>DMU</w:t>
            </w:r>
          </w:p>
        </w:tc>
        <w:tc>
          <w:tcPr>
            <w:tcW w:type="dxa" w:w="1389"/>
            <w:vAlign w:val="center"/>
          </w:tcPr>
          <w:p>
            <w:pPr>
              <w:jc w:val="center"/>
            </w:pPr>
            <w:r>
              <w:rPr>
                <w:rFonts w:ascii="Times New Roman" w:hAnsi="Times New Roman"/>
                <w:b/>
                <w:sz w:val="20"/>
              </w:rPr>
              <w:t>Empresa</w:t>
            </w:r>
          </w:p>
        </w:tc>
        <w:tc>
          <w:tcPr>
            <w:tcW w:type="dxa" w:w="1389"/>
            <w:vAlign w:val="center"/>
          </w:tcPr>
          <w:p>
            <w:pPr>
              <w:jc w:val="center"/>
            </w:pPr>
            <w:r>
              <w:rPr>
                <w:rFonts w:ascii="Times New Roman" w:hAnsi="Times New Roman"/>
                <w:b/>
                <w:sz w:val="20"/>
              </w:rPr>
              <w:t>CCR</w:t>
            </w:r>
          </w:p>
        </w:tc>
        <w:tc>
          <w:tcPr>
            <w:tcW w:type="dxa" w:w="1389"/>
            <w:vAlign w:val="center"/>
          </w:tcPr>
          <w:p>
            <w:pPr>
              <w:jc w:val="center"/>
            </w:pPr>
            <w:r>
              <w:rPr>
                <w:rFonts w:ascii="Times New Roman" w:hAnsi="Times New Roman"/>
                <w:b/>
                <w:sz w:val="20"/>
              </w:rPr>
              <w:t>BCC</w:t>
            </w:r>
          </w:p>
        </w:tc>
        <w:tc>
          <w:tcPr>
            <w:tcW w:type="dxa" w:w="1389"/>
            <w:vAlign w:val="center"/>
          </w:tcPr>
          <w:p>
            <w:pPr>
              <w:jc w:val="center"/>
            </w:pPr>
            <w:r>
              <w:rPr>
                <w:rFonts w:ascii="Times New Roman" w:hAnsi="Times New Roman"/>
                <w:b/>
                <w:sz w:val="20"/>
              </w:rPr>
              <w:t>Ef. Escala</w:t>
            </w:r>
          </w:p>
        </w:tc>
        <w:tc>
          <w:tcPr>
            <w:tcW w:type="dxa" w:w="1389"/>
            <w:vAlign w:val="center"/>
          </w:tcPr>
          <w:p>
            <w:pPr>
              <w:jc w:val="center"/>
            </w:pPr>
            <w:r>
              <w:rPr>
                <w:rFonts w:ascii="Times New Roman" w:hAnsi="Times New Roman"/>
                <w:b/>
                <w:sz w:val="20"/>
              </w:rPr>
              <w:t>Efic. CCR</w:t>
            </w:r>
          </w:p>
        </w:tc>
        <w:tc>
          <w:tcPr>
            <w:tcW w:type="dxa" w:w="1389"/>
            <w:vAlign w:val="center"/>
          </w:tcPr>
          <w:p>
            <w:pPr>
              <w:jc w:val="center"/>
            </w:pPr>
            <w:r>
              <w:rPr>
                <w:rFonts w:ascii="Times New Roman" w:hAnsi="Times New Roman"/>
                <w:b/>
                <w:sz w:val="20"/>
              </w:rPr>
              <w:t>Efic. BCC</w:t>
            </w:r>
          </w:p>
        </w:tc>
      </w:tr>
      <w:tr>
        <w:tc>
          <w:tcPr>
            <w:tcW w:type="dxa" w:w="1389"/>
            <w:vAlign w:val="center"/>
          </w:tcPr>
          <w:p>
            <w:pPr>
              <w:jc w:val="center"/>
            </w:pPr>
            <w:r>
              <w:rPr>
                <w:rFonts w:ascii="Times New Roman" w:hAnsi="Times New Roman"/>
                <w:sz w:val="20"/>
              </w:rPr>
              <w:t>XOM</w:t>
            </w:r>
          </w:p>
        </w:tc>
        <w:tc>
          <w:tcPr>
            <w:tcW w:type="dxa" w:w="1389"/>
            <w:vAlign w:val="center"/>
          </w:tcPr>
          <w:p>
            <w:pPr>
              <w:jc w:val="center"/>
            </w:pPr>
            <w:r>
              <w:rPr>
                <w:rFonts w:ascii="Times New Roman" w:hAnsi="Times New Roman"/>
                <w:sz w:val="20"/>
              </w:rPr>
              <w:t>ExxonMobil</w:t>
            </w:r>
          </w:p>
        </w:tc>
        <w:tc>
          <w:tcPr>
            <w:tcW w:type="dxa" w:w="1389"/>
            <w:vAlign w:val="center"/>
          </w:tcPr>
          <w:p>
            <w:pPr>
              <w:jc w:val="center"/>
            </w:pPr>
            <w:r>
              <w:rPr>
                <w:rFonts w:ascii="Times New Roman" w:hAnsi="Times New Roman"/>
                <w:sz w:val="20"/>
              </w:rPr>
              <w:t>1,1023</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1,1023</w:t>
            </w:r>
          </w:p>
        </w:tc>
        <w:tc>
          <w:tcPr>
            <w:tcW w:type="dxa" w:w="1389"/>
            <w:vAlign w:val="center"/>
          </w:tcPr>
          <w:p>
            <w:pPr>
              <w:jc w:val="center"/>
            </w:pPr>
            <w:r>
              <w:rPr>
                <w:rFonts w:ascii="Times New Roman" w:hAnsi="Times New Roman"/>
                <w:sz w:val="20"/>
              </w:rPr>
              <w:t>Não</w:t>
            </w:r>
          </w:p>
        </w:tc>
        <w:tc>
          <w:tcPr>
            <w:tcW w:type="dxa" w:w="1389"/>
            <w:vAlign w:val="center"/>
          </w:tcPr>
          <w:p>
            <w:pPr>
              <w:jc w:val="center"/>
            </w:pPr>
            <w:r>
              <w:rPr>
                <w:rFonts w:ascii="Times New Roman" w:hAnsi="Times New Roman"/>
                <w:sz w:val="20"/>
              </w:rPr>
              <w:t>Sim</w:t>
            </w:r>
          </w:p>
        </w:tc>
      </w:tr>
      <w:tr>
        <w:tc>
          <w:tcPr>
            <w:tcW w:type="dxa" w:w="1389"/>
            <w:vAlign w:val="center"/>
          </w:tcPr>
          <w:p>
            <w:pPr>
              <w:jc w:val="center"/>
            </w:pPr>
            <w:r>
              <w:rPr>
                <w:rFonts w:ascii="Times New Roman" w:hAnsi="Times New Roman"/>
                <w:sz w:val="20"/>
              </w:rPr>
              <w:t>CVX</w:t>
            </w:r>
          </w:p>
        </w:tc>
        <w:tc>
          <w:tcPr>
            <w:tcW w:type="dxa" w:w="1389"/>
            <w:vAlign w:val="center"/>
          </w:tcPr>
          <w:p>
            <w:pPr>
              <w:jc w:val="center"/>
            </w:pPr>
            <w:r>
              <w:rPr>
                <w:rFonts w:ascii="Times New Roman" w:hAnsi="Times New Roman"/>
                <w:sz w:val="20"/>
              </w:rPr>
              <w:t>Chevron</w:t>
            </w:r>
          </w:p>
        </w:tc>
        <w:tc>
          <w:tcPr>
            <w:tcW w:type="dxa" w:w="1389"/>
            <w:vAlign w:val="center"/>
          </w:tcPr>
          <w:p>
            <w:pPr>
              <w:jc w:val="center"/>
            </w:pPr>
            <w:r>
              <w:rPr>
                <w:rFonts w:ascii="Times New Roman" w:hAnsi="Times New Roman"/>
                <w:sz w:val="20"/>
              </w:rPr>
              <w:t>1,1849</w:t>
            </w:r>
          </w:p>
        </w:tc>
        <w:tc>
          <w:tcPr>
            <w:tcW w:type="dxa" w:w="1389"/>
            <w:vAlign w:val="center"/>
          </w:tcPr>
          <w:p>
            <w:pPr>
              <w:jc w:val="center"/>
            </w:pPr>
            <w:r>
              <w:rPr>
                <w:rFonts w:ascii="Times New Roman" w:hAnsi="Times New Roman"/>
                <w:sz w:val="20"/>
              </w:rPr>
              <w:t>1,1281</w:t>
            </w:r>
          </w:p>
        </w:tc>
        <w:tc>
          <w:tcPr>
            <w:tcW w:type="dxa" w:w="1389"/>
            <w:vAlign w:val="center"/>
          </w:tcPr>
          <w:p>
            <w:pPr>
              <w:jc w:val="center"/>
            </w:pPr>
            <w:r>
              <w:rPr>
                <w:rFonts w:ascii="Times New Roman" w:hAnsi="Times New Roman"/>
                <w:sz w:val="20"/>
              </w:rPr>
              <w:t>1,0504</w:t>
            </w:r>
          </w:p>
        </w:tc>
        <w:tc>
          <w:tcPr>
            <w:tcW w:type="dxa" w:w="1389"/>
            <w:vAlign w:val="center"/>
          </w:tcPr>
          <w:p>
            <w:pPr>
              <w:jc w:val="center"/>
            </w:pPr>
            <w:r>
              <w:rPr>
                <w:rFonts w:ascii="Times New Roman" w:hAnsi="Times New Roman"/>
                <w:sz w:val="20"/>
              </w:rPr>
              <w:t>Não</w:t>
            </w:r>
          </w:p>
        </w:tc>
        <w:tc>
          <w:tcPr>
            <w:tcW w:type="dxa" w:w="1389"/>
            <w:vAlign w:val="center"/>
          </w:tcPr>
          <w:p>
            <w:pPr>
              <w:jc w:val="center"/>
            </w:pPr>
            <w:r>
              <w:rPr>
                <w:rFonts w:ascii="Times New Roman" w:hAnsi="Times New Roman"/>
                <w:sz w:val="20"/>
              </w:rPr>
              <w:t>Não</w:t>
            </w:r>
          </w:p>
        </w:tc>
      </w:tr>
      <w:tr>
        <w:tc>
          <w:tcPr>
            <w:tcW w:type="dxa" w:w="1389"/>
            <w:vAlign w:val="center"/>
          </w:tcPr>
          <w:p>
            <w:pPr>
              <w:jc w:val="center"/>
            </w:pPr>
            <w:r>
              <w:rPr>
                <w:rFonts w:ascii="Times New Roman" w:hAnsi="Times New Roman"/>
                <w:sz w:val="20"/>
              </w:rPr>
              <w:t>SHEL</w:t>
            </w:r>
          </w:p>
        </w:tc>
        <w:tc>
          <w:tcPr>
            <w:tcW w:type="dxa" w:w="1389"/>
            <w:vAlign w:val="center"/>
          </w:tcPr>
          <w:p>
            <w:pPr>
              <w:jc w:val="center"/>
            </w:pPr>
            <w:r>
              <w:rPr>
                <w:rFonts w:ascii="Times New Roman" w:hAnsi="Times New Roman"/>
                <w:sz w:val="20"/>
              </w:rPr>
              <w:t>Shell</w:t>
            </w:r>
          </w:p>
        </w:tc>
        <w:tc>
          <w:tcPr>
            <w:tcW w:type="dxa" w:w="1389"/>
            <w:vAlign w:val="center"/>
          </w:tcPr>
          <w:p>
            <w:pPr>
              <w:jc w:val="center"/>
            </w:pPr>
            <w:r>
              <w:rPr>
                <w:rFonts w:ascii="Times New Roman" w:hAnsi="Times New Roman"/>
                <w:sz w:val="20"/>
              </w:rPr>
              <w:t>1,1356</w:t>
            </w:r>
          </w:p>
        </w:tc>
        <w:tc>
          <w:tcPr>
            <w:tcW w:type="dxa" w:w="1389"/>
            <w:vAlign w:val="center"/>
          </w:tcPr>
          <w:p>
            <w:pPr>
              <w:jc w:val="center"/>
            </w:pPr>
            <w:r>
              <w:rPr>
                <w:rFonts w:ascii="Times New Roman" w:hAnsi="Times New Roman"/>
                <w:sz w:val="20"/>
              </w:rPr>
              <w:t>1,0188</w:t>
            </w:r>
          </w:p>
        </w:tc>
        <w:tc>
          <w:tcPr>
            <w:tcW w:type="dxa" w:w="1389"/>
            <w:vAlign w:val="center"/>
          </w:tcPr>
          <w:p>
            <w:pPr>
              <w:jc w:val="center"/>
            </w:pPr>
            <w:r>
              <w:rPr>
                <w:rFonts w:ascii="Times New Roman" w:hAnsi="Times New Roman"/>
                <w:sz w:val="20"/>
              </w:rPr>
              <w:t>1,1146</w:t>
            </w:r>
          </w:p>
        </w:tc>
        <w:tc>
          <w:tcPr>
            <w:tcW w:type="dxa" w:w="1389"/>
            <w:vAlign w:val="center"/>
          </w:tcPr>
          <w:p>
            <w:pPr>
              <w:jc w:val="center"/>
            </w:pPr>
            <w:r>
              <w:rPr>
                <w:rFonts w:ascii="Times New Roman" w:hAnsi="Times New Roman"/>
                <w:sz w:val="20"/>
              </w:rPr>
              <w:t>Não</w:t>
            </w:r>
          </w:p>
        </w:tc>
        <w:tc>
          <w:tcPr>
            <w:tcW w:type="dxa" w:w="1389"/>
            <w:vAlign w:val="center"/>
          </w:tcPr>
          <w:p>
            <w:pPr>
              <w:jc w:val="center"/>
            </w:pPr>
            <w:r>
              <w:rPr>
                <w:rFonts w:ascii="Times New Roman" w:hAnsi="Times New Roman"/>
                <w:sz w:val="20"/>
              </w:rPr>
              <w:t>Não</w:t>
            </w:r>
          </w:p>
        </w:tc>
      </w:tr>
      <w:tr>
        <w:tc>
          <w:tcPr>
            <w:tcW w:type="dxa" w:w="1389"/>
            <w:vAlign w:val="center"/>
          </w:tcPr>
          <w:p>
            <w:pPr>
              <w:jc w:val="center"/>
            </w:pPr>
            <w:r>
              <w:rPr>
                <w:rFonts w:ascii="Times New Roman" w:hAnsi="Times New Roman"/>
                <w:sz w:val="20"/>
              </w:rPr>
              <w:t>BP</w:t>
            </w:r>
          </w:p>
        </w:tc>
        <w:tc>
          <w:tcPr>
            <w:tcW w:type="dxa" w:w="1389"/>
            <w:vAlign w:val="center"/>
          </w:tcPr>
          <w:p>
            <w:pPr>
              <w:jc w:val="center"/>
            </w:pPr>
            <w:r>
              <w:rPr>
                <w:rFonts w:ascii="Times New Roman" w:hAnsi="Times New Roman"/>
                <w:sz w:val="20"/>
              </w:rPr>
              <w:t>BP</w:t>
            </w:r>
          </w:p>
        </w:tc>
        <w:tc>
          <w:tcPr>
            <w:tcW w:type="dxa" w:w="1389"/>
            <w:vAlign w:val="center"/>
          </w:tcPr>
          <w:p>
            <w:pPr>
              <w:jc w:val="center"/>
            </w:pPr>
            <w:r>
              <w:rPr>
                <w:rFonts w:ascii="Times New Roman" w:hAnsi="Times New Roman"/>
                <w:sz w:val="20"/>
              </w:rPr>
              <w:t>1,1522</w:t>
            </w:r>
          </w:p>
        </w:tc>
        <w:tc>
          <w:tcPr>
            <w:tcW w:type="dxa" w:w="1389"/>
            <w:vAlign w:val="center"/>
          </w:tcPr>
          <w:p>
            <w:pPr>
              <w:jc w:val="center"/>
            </w:pPr>
            <w:r>
              <w:rPr>
                <w:rFonts w:ascii="Times New Roman" w:hAnsi="Times New Roman"/>
                <w:sz w:val="20"/>
              </w:rPr>
              <w:t>1,0686</w:t>
            </w:r>
          </w:p>
        </w:tc>
        <w:tc>
          <w:tcPr>
            <w:tcW w:type="dxa" w:w="1389"/>
            <w:vAlign w:val="center"/>
          </w:tcPr>
          <w:p>
            <w:pPr>
              <w:jc w:val="center"/>
            </w:pPr>
            <w:r>
              <w:rPr>
                <w:rFonts w:ascii="Times New Roman" w:hAnsi="Times New Roman"/>
                <w:sz w:val="20"/>
              </w:rPr>
              <w:t>1,0782</w:t>
            </w:r>
          </w:p>
        </w:tc>
        <w:tc>
          <w:tcPr>
            <w:tcW w:type="dxa" w:w="1389"/>
            <w:vAlign w:val="center"/>
          </w:tcPr>
          <w:p>
            <w:pPr>
              <w:jc w:val="center"/>
            </w:pPr>
            <w:r>
              <w:rPr>
                <w:rFonts w:ascii="Times New Roman" w:hAnsi="Times New Roman"/>
                <w:sz w:val="20"/>
              </w:rPr>
              <w:t>Não</w:t>
            </w:r>
          </w:p>
        </w:tc>
        <w:tc>
          <w:tcPr>
            <w:tcW w:type="dxa" w:w="1389"/>
            <w:vAlign w:val="center"/>
          </w:tcPr>
          <w:p>
            <w:pPr>
              <w:jc w:val="center"/>
            </w:pPr>
            <w:r>
              <w:rPr>
                <w:rFonts w:ascii="Times New Roman" w:hAnsi="Times New Roman"/>
                <w:sz w:val="20"/>
              </w:rPr>
              <w:t>Não</w:t>
            </w:r>
          </w:p>
        </w:tc>
      </w:tr>
      <w:tr>
        <w:tc>
          <w:tcPr>
            <w:tcW w:type="dxa" w:w="1389"/>
            <w:vAlign w:val="center"/>
          </w:tcPr>
          <w:p>
            <w:pPr>
              <w:jc w:val="center"/>
            </w:pPr>
            <w:r>
              <w:rPr>
                <w:rFonts w:ascii="Times New Roman" w:hAnsi="Times New Roman"/>
                <w:sz w:val="20"/>
              </w:rPr>
              <w:t>TTE</w:t>
            </w:r>
          </w:p>
        </w:tc>
        <w:tc>
          <w:tcPr>
            <w:tcW w:type="dxa" w:w="1389"/>
            <w:vAlign w:val="center"/>
          </w:tcPr>
          <w:p>
            <w:pPr>
              <w:jc w:val="center"/>
            </w:pPr>
            <w:r>
              <w:rPr>
                <w:rFonts w:ascii="Times New Roman" w:hAnsi="Times New Roman"/>
                <w:sz w:val="20"/>
              </w:rPr>
              <w:t>TotalEnergies</w:t>
            </w:r>
          </w:p>
        </w:tc>
        <w:tc>
          <w:tcPr>
            <w:tcW w:type="dxa" w:w="1389"/>
            <w:vAlign w:val="center"/>
          </w:tcPr>
          <w:p>
            <w:pPr>
              <w:jc w:val="center"/>
            </w:pPr>
            <w:r>
              <w:rPr>
                <w:rFonts w:ascii="Times New Roman" w:hAnsi="Times New Roman"/>
                <w:sz w:val="20"/>
              </w:rPr>
              <w:t>1,1495</w:t>
            </w:r>
          </w:p>
        </w:tc>
        <w:tc>
          <w:tcPr>
            <w:tcW w:type="dxa" w:w="1389"/>
            <w:vAlign w:val="center"/>
          </w:tcPr>
          <w:p>
            <w:pPr>
              <w:jc w:val="center"/>
            </w:pPr>
            <w:r>
              <w:rPr>
                <w:rFonts w:ascii="Times New Roman" w:hAnsi="Times New Roman"/>
                <w:sz w:val="20"/>
              </w:rPr>
              <w:t>1,0854</w:t>
            </w:r>
          </w:p>
        </w:tc>
        <w:tc>
          <w:tcPr>
            <w:tcW w:type="dxa" w:w="1389"/>
            <w:vAlign w:val="center"/>
          </w:tcPr>
          <w:p>
            <w:pPr>
              <w:jc w:val="center"/>
            </w:pPr>
            <w:r>
              <w:rPr>
                <w:rFonts w:ascii="Times New Roman" w:hAnsi="Times New Roman"/>
                <w:sz w:val="20"/>
              </w:rPr>
              <w:t>1,0591</w:t>
            </w:r>
          </w:p>
        </w:tc>
        <w:tc>
          <w:tcPr>
            <w:tcW w:type="dxa" w:w="1389"/>
            <w:vAlign w:val="center"/>
          </w:tcPr>
          <w:p>
            <w:pPr>
              <w:jc w:val="center"/>
            </w:pPr>
            <w:r>
              <w:rPr>
                <w:rFonts w:ascii="Times New Roman" w:hAnsi="Times New Roman"/>
                <w:sz w:val="20"/>
              </w:rPr>
              <w:t>Não</w:t>
            </w:r>
          </w:p>
        </w:tc>
        <w:tc>
          <w:tcPr>
            <w:tcW w:type="dxa" w:w="1389"/>
            <w:vAlign w:val="center"/>
          </w:tcPr>
          <w:p>
            <w:pPr>
              <w:jc w:val="center"/>
            </w:pPr>
            <w:r>
              <w:rPr>
                <w:rFonts w:ascii="Times New Roman" w:hAnsi="Times New Roman"/>
                <w:sz w:val="20"/>
              </w:rPr>
              <w:t>Não</w:t>
            </w:r>
          </w:p>
        </w:tc>
      </w:tr>
      <w:tr>
        <w:tc>
          <w:tcPr>
            <w:tcW w:type="dxa" w:w="1389"/>
            <w:vAlign w:val="center"/>
          </w:tcPr>
          <w:p>
            <w:pPr>
              <w:jc w:val="center"/>
            </w:pPr>
            <w:r>
              <w:rPr>
                <w:rFonts w:ascii="Times New Roman" w:hAnsi="Times New Roman"/>
                <w:sz w:val="20"/>
              </w:rPr>
              <w:t>COP</w:t>
            </w:r>
          </w:p>
        </w:tc>
        <w:tc>
          <w:tcPr>
            <w:tcW w:type="dxa" w:w="1389"/>
            <w:vAlign w:val="center"/>
          </w:tcPr>
          <w:p>
            <w:pPr>
              <w:jc w:val="center"/>
            </w:pPr>
            <w:r>
              <w:rPr>
                <w:rFonts w:ascii="Times New Roman" w:hAnsi="Times New Roman"/>
                <w:sz w:val="20"/>
              </w:rPr>
              <w:t>ConocoPhillips</w:t>
            </w:r>
          </w:p>
        </w:tc>
        <w:tc>
          <w:tcPr>
            <w:tcW w:type="dxa" w:w="1389"/>
            <w:vAlign w:val="center"/>
          </w:tcPr>
          <w:p>
            <w:pPr>
              <w:jc w:val="center"/>
            </w:pPr>
            <w:r>
              <w:rPr>
                <w:rFonts w:ascii="Times New Roman" w:hAnsi="Times New Roman"/>
                <w:sz w:val="20"/>
              </w:rPr>
              <w:t>1,0587</w:t>
            </w:r>
          </w:p>
        </w:tc>
        <w:tc>
          <w:tcPr>
            <w:tcW w:type="dxa" w:w="1389"/>
            <w:vAlign w:val="center"/>
          </w:tcPr>
          <w:p>
            <w:pPr>
              <w:jc w:val="center"/>
            </w:pPr>
            <w:r>
              <w:rPr>
                <w:rFonts w:ascii="Times New Roman" w:hAnsi="Times New Roman"/>
                <w:sz w:val="20"/>
              </w:rPr>
              <w:t>1,0585</w:t>
            </w:r>
          </w:p>
        </w:tc>
        <w:tc>
          <w:tcPr>
            <w:tcW w:type="dxa" w:w="1389"/>
            <w:vAlign w:val="center"/>
          </w:tcPr>
          <w:p>
            <w:pPr>
              <w:jc w:val="center"/>
            </w:pPr>
            <w:r>
              <w:rPr>
                <w:rFonts w:ascii="Times New Roman" w:hAnsi="Times New Roman"/>
                <w:sz w:val="20"/>
              </w:rPr>
              <w:t>1,0002</w:t>
            </w:r>
          </w:p>
        </w:tc>
        <w:tc>
          <w:tcPr>
            <w:tcW w:type="dxa" w:w="1389"/>
            <w:vAlign w:val="center"/>
          </w:tcPr>
          <w:p>
            <w:pPr>
              <w:jc w:val="center"/>
            </w:pPr>
            <w:r>
              <w:rPr>
                <w:rFonts w:ascii="Times New Roman" w:hAnsi="Times New Roman"/>
                <w:sz w:val="20"/>
              </w:rPr>
              <w:t>Não</w:t>
            </w:r>
          </w:p>
        </w:tc>
        <w:tc>
          <w:tcPr>
            <w:tcW w:type="dxa" w:w="1389"/>
            <w:vAlign w:val="center"/>
          </w:tcPr>
          <w:p>
            <w:pPr>
              <w:jc w:val="center"/>
            </w:pPr>
            <w:r>
              <w:rPr>
                <w:rFonts w:ascii="Times New Roman" w:hAnsi="Times New Roman"/>
                <w:sz w:val="20"/>
              </w:rPr>
              <w:t>Não</w:t>
            </w:r>
          </w:p>
        </w:tc>
      </w:tr>
      <w:tr>
        <w:tc>
          <w:tcPr>
            <w:tcW w:type="dxa" w:w="1389"/>
            <w:vAlign w:val="center"/>
          </w:tcPr>
          <w:p>
            <w:pPr>
              <w:jc w:val="center"/>
            </w:pPr>
            <w:r>
              <w:rPr>
                <w:rFonts w:ascii="Times New Roman" w:hAnsi="Times New Roman"/>
                <w:sz w:val="20"/>
              </w:rPr>
              <w:t>PBR</w:t>
            </w:r>
          </w:p>
        </w:tc>
        <w:tc>
          <w:tcPr>
            <w:tcW w:type="dxa" w:w="1389"/>
            <w:vAlign w:val="center"/>
          </w:tcPr>
          <w:p>
            <w:pPr>
              <w:jc w:val="center"/>
            </w:pPr>
            <w:r>
              <w:rPr>
                <w:rFonts w:ascii="Times New Roman" w:hAnsi="Times New Roman"/>
                <w:sz w:val="20"/>
              </w:rPr>
              <w:t>Petrobras</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Sim</w:t>
            </w:r>
          </w:p>
        </w:tc>
        <w:tc>
          <w:tcPr>
            <w:tcW w:type="dxa" w:w="1389"/>
            <w:vAlign w:val="center"/>
          </w:tcPr>
          <w:p>
            <w:pPr>
              <w:jc w:val="center"/>
            </w:pPr>
            <w:r>
              <w:rPr>
                <w:rFonts w:ascii="Times New Roman" w:hAnsi="Times New Roman"/>
                <w:sz w:val="20"/>
              </w:rPr>
              <w:t>Sim</w:t>
            </w:r>
          </w:p>
        </w:tc>
      </w:tr>
      <w:tr>
        <w:tc>
          <w:tcPr>
            <w:tcW w:type="dxa" w:w="1389"/>
            <w:vAlign w:val="center"/>
          </w:tcPr>
          <w:p>
            <w:pPr>
              <w:jc w:val="center"/>
            </w:pPr>
            <w:r>
              <w:rPr>
                <w:rFonts w:ascii="Times New Roman" w:hAnsi="Times New Roman"/>
                <w:sz w:val="20"/>
              </w:rPr>
              <w:t>EQNR</w:t>
            </w:r>
          </w:p>
        </w:tc>
        <w:tc>
          <w:tcPr>
            <w:tcW w:type="dxa" w:w="1389"/>
            <w:vAlign w:val="center"/>
          </w:tcPr>
          <w:p>
            <w:pPr>
              <w:jc w:val="center"/>
            </w:pPr>
            <w:r>
              <w:rPr>
                <w:rFonts w:ascii="Times New Roman" w:hAnsi="Times New Roman"/>
                <w:sz w:val="20"/>
              </w:rPr>
              <w:t>Equinor</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Sim</w:t>
            </w:r>
          </w:p>
        </w:tc>
        <w:tc>
          <w:tcPr>
            <w:tcW w:type="dxa" w:w="1389"/>
            <w:vAlign w:val="center"/>
          </w:tcPr>
          <w:p>
            <w:pPr>
              <w:jc w:val="center"/>
            </w:pPr>
            <w:r>
              <w:rPr>
                <w:rFonts w:ascii="Times New Roman" w:hAnsi="Times New Roman"/>
                <w:sz w:val="20"/>
              </w:rPr>
              <w:t>Sim</w:t>
            </w:r>
          </w:p>
        </w:tc>
      </w:tr>
      <w:tr>
        <w:tc>
          <w:tcPr>
            <w:tcW w:type="dxa" w:w="1389"/>
            <w:vAlign w:val="center"/>
          </w:tcPr>
          <w:p>
            <w:pPr>
              <w:jc w:val="center"/>
            </w:pPr>
            <w:r>
              <w:rPr>
                <w:rFonts w:ascii="Times New Roman" w:hAnsi="Times New Roman"/>
                <w:sz w:val="20"/>
              </w:rPr>
              <w:t>E</w:t>
            </w:r>
          </w:p>
        </w:tc>
        <w:tc>
          <w:tcPr>
            <w:tcW w:type="dxa" w:w="1389"/>
            <w:vAlign w:val="center"/>
          </w:tcPr>
          <w:p>
            <w:pPr>
              <w:jc w:val="center"/>
            </w:pPr>
            <w:r>
              <w:rPr>
                <w:rFonts w:ascii="Times New Roman" w:hAnsi="Times New Roman"/>
                <w:sz w:val="20"/>
              </w:rPr>
              <w:t>Eni</w:t>
            </w:r>
          </w:p>
        </w:tc>
        <w:tc>
          <w:tcPr>
            <w:tcW w:type="dxa" w:w="1389"/>
            <w:vAlign w:val="center"/>
          </w:tcPr>
          <w:p>
            <w:pPr>
              <w:jc w:val="center"/>
            </w:pPr>
            <w:r>
              <w:rPr>
                <w:rFonts w:ascii="Times New Roman" w:hAnsi="Times New Roman"/>
                <w:sz w:val="20"/>
              </w:rPr>
              <w:t>1,1942</w:t>
            </w:r>
          </w:p>
        </w:tc>
        <w:tc>
          <w:tcPr>
            <w:tcW w:type="dxa" w:w="1389"/>
            <w:vAlign w:val="center"/>
          </w:tcPr>
          <w:p>
            <w:pPr>
              <w:jc w:val="center"/>
            </w:pPr>
            <w:r>
              <w:rPr>
                <w:rFonts w:ascii="Times New Roman" w:hAnsi="Times New Roman"/>
                <w:sz w:val="20"/>
              </w:rPr>
              <w:t>1,1937</w:t>
            </w:r>
          </w:p>
        </w:tc>
        <w:tc>
          <w:tcPr>
            <w:tcW w:type="dxa" w:w="1389"/>
            <w:vAlign w:val="center"/>
          </w:tcPr>
          <w:p>
            <w:pPr>
              <w:jc w:val="center"/>
            </w:pPr>
            <w:r>
              <w:rPr>
                <w:rFonts w:ascii="Times New Roman" w:hAnsi="Times New Roman"/>
                <w:sz w:val="20"/>
              </w:rPr>
              <w:t>1,0004</w:t>
            </w:r>
          </w:p>
        </w:tc>
        <w:tc>
          <w:tcPr>
            <w:tcW w:type="dxa" w:w="1389"/>
            <w:vAlign w:val="center"/>
          </w:tcPr>
          <w:p>
            <w:pPr>
              <w:jc w:val="center"/>
            </w:pPr>
            <w:r>
              <w:rPr>
                <w:rFonts w:ascii="Times New Roman" w:hAnsi="Times New Roman"/>
                <w:sz w:val="20"/>
              </w:rPr>
              <w:t>Não</w:t>
            </w:r>
          </w:p>
        </w:tc>
        <w:tc>
          <w:tcPr>
            <w:tcW w:type="dxa" w:w="1389"/>
            <w:vAlign w:val="center"/>
          </w:tcPr>
          <w:p>
            <w:pPr>
              <w:jc w:val="center"/>
            </w:pPr>
            <w:r>
              <w:rPr>
                <w:rFonts w:ascii="Times New Roman" w:hAnsi="Times New Roman"/>
                <w:sz w:val="20"/>
              </w:rPr>
              <w:t>Não</w:t>
            </w:r>
          </w:p>
        </w:tc>
      </w:tr>
      <w:tr>
        <w:tc>
          <w:tcPr>
            <w:tcW w:type="dxa" w:w="1389"/>
            <w:vAlign w:val="center"/>
          </w:tcPr>
          <w:p>
            <w:pPr>
              <w:jc w:val="center"/>
            </w:pPr>
            <w:r>
              <w:rPr>
                <w:rFonts w:ascii="Times New Roman" w:hAnsi="Times New Roman"/>
                <w:sz w:val="20"/>
              </w:rPr>
              <w:t>OXY</w:t>
            </w:r>
          </w:p>
        </w:tc>
        <w:tc>
          <w:tcPr>
            <w:tcW w:type="dxa" w:w="1389"/>
            <w:vAlign w:val="center"/>
          </w:tcPr>
          <w:p>
            <w:pPr>
              <w:jc w:val="center"/>
            </w:pPr>
            <w:r>
              <w:rPr>
                <w:rFonts w:ascii="Times New Roman" w:hAnsi="Times New Roman"/>
                <w:sz w:val="20"/>
              </w:rPr>
              <w:t>Occidental</w:t>
            </w:r>
          </w:p>
        </w:tc>
        <w:tc>
          <w:tcPr>
            <w:tcW w:type="dxa" w:w="1389"/>
            <w:vAlign w:val="center"/>
          </w:tcPr>
          <w:p>
            <w:pPr>
              <w:jc w:val="center"/>
            </w:pPr>
            <w:r>
              <w:rPr>
                <w:rFonts w:ascii="Times New Roman" w:hAnsi="Times New Roman"/>
                <w:sz w:val="20"/>
              </w:rPr>
              <w:t>1,1281</w:t>
            </w:r>
          </w:p>
        </w:tc>
        <w:tc>
          <w:tcPr>
            <w:tcW w:type="dxa" w:w="1389"/>
            <w:vAlign w:val="center"/>
          </w:tcPr>
          <w:p>
            <w:pPr>
              <w:jc w:val="center"/>
            </w:pPr>
            <w:r>
              <w:rPr>
                <w:rFonts w:ascii="Times New Roman" w:hAnsi="Times New Roman"/>
                <w:sz w:val="20"/>
              </w:rPr>
              <w:t>1,1253</w:t>
            </w:r>
          </w:p>
        </w:tc>
        <w:tc>
          <w:tcPr>
            <w:tcW w:type="dxa" w:w="1389"/>
            <w:vAlign w:val="center"/>
          </w:tcPr>
          <w:p>
            <w:pPr>
              <w:jc w:val="center"/>
            </w:pPr>
            <w:r>
              <w:rPr>
                <w:rFonts w:ascii="Times New Roman" w:hAnsi="Times New Roman"/>
                <w:sz w:val="20"/>
              </w:rPr>
              <w:t>1,0025</w:t>
            </w:r>
          </w:p>
        </w:tc>
        <w:tc>
          <w:tcPr>
            <w:tcW w:type="dxa" w:w="1389"/>
            <w:vAlign w:val="center"/>
          </w:tcPr>
          <w:p>
            <w:pPr>
              <w:jc w:val="center"/>
            </w:pPr>
            <w:r>
              <w:rPr>
                <w:rFonts w:ascii="Times New Roman" w:hAnsi="Times New Roman"/>
                <w:sz w:val="20"/>
              </w:rPr>
              <w:t>Não</w:t>
            </w:r>
          </w:p>
        </w:tc>
        <w:tc>
          <w:tcPr>
            <w:tcW w:type="dxa" w:w="1389"/>
            <w:vAlign w:val="center"/>
          </w:tcPr>
          <w:p>
            <w:pPr>
              <w:jc w:val="center"/>
            </w:pPr>
            <w:r>
              <w:rPr>
                <w:rFonts w:ascii="Times New Roman" w:hAnsi="Times New Roman"/>
                <w:sz w:val="20"/>
              </w:rPr>
              <w:t>Não</w:t>
            </w:r>
          </w:p>
        </w:tc>
      </w:tr>
      <w:tr>
        <w:tc>
          <w:tcPr>
            <w:tcW w:type="dxa" w:w="1389"/>
            <w:vAlign w:val="center"/>
          </w:tcPr>
          <w:p>
            <w:pPr>
              <w:jc w:val="center"/>
            </w:pPr>
            <w:r>
              <w:rPr>
                <w:rFonts w:ascii="Times New Roman" w:hAnsi="Times New Roman"/>
                <w:sz w:val="20"/>
              </w:rPr>
              <w:t>DVN</w:t>
            </w:r>
          </w:p>
        </w:tc>
        <w:tc>
          <w:tcPr>
            <w:tcW w:type="dxa" w:w="1389"/>
            <w:vAlign w:val="center"/>
          </w:tcPr>
          <w:p>
            <w:pPr>
              <w:jc w:val="center"/>
            </w:pPr>
            <w:r>
              <w:rPr>
                <w:rFonts w:ascii="Times New Roman" w:hAnsi="Times New Roman"/>
                <w:sz w:val="20"/>
              </w:rPr>
              <w:t>Devon Energy</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Sim</w:t>
            </w:r>
          </w:p>
        </w:tc>
        <w:tc>
          <w:tcPr>
            <w:tcW w:type="dxa" w:w="1389"/>
            <w:vAlign w:val="center"/>
          </w:tcPr>
          <w:p>
            <w:pPr>
              <w:jc w:val="center"/>
            </w:pPr>
            <w:r>
              <w:rPr>
                <w:rFonts w:ascii="Times New Roman" w:hAnsi="Times New Roman"/>
                <w:sz w:val="20"/>
              </w:rPr>
              <w:t>Sim</w:t>
            </w:r>
          </w:p>
        </w:tc>
      </w:tr>
      <w:tr>
        <w:tc>
          <w:tcPr>
            <w:tcW w:type="dxa" w:w="1389"/>
            <w:vAlign w:val="center"/>
          </w:tcPr>
          <w:p>
            <w:pPr>
              <w:jc w:val="center"/>
            </w:pPr>
            <w:r>
              <w:rPr>
                <w:rFonts w:ascii="Times New Roman" w:hAnsi="Times New Roman"/>
                <w:sz w:val="20"/>
              </w:rPr>
              <w:t>VLO</w:t>
            </w:r>
          </w:p>
        </w:tc>
        <w:tc>
          <w:tcPr>
            <w:tcW w:type="dxa" w:w="1389"/>
            <w:vAlign w:val="center"/>
          </w:tcPr>
          <w:p>
            <w:pPr>
              <w:jc w:val="center"/>
            </w:pPr>
            <w:r>
              <w:rPr>
                <w:rFonts w:ascii="Times New Roman" w:hAnsi="Times New Roman"/>
                <w:sz w:val="20"/>
              </w:rPr>
              <w:t>Valero</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Sim</w:t>
            </w:r>
          </w:p>
        </w:tc>
        <w:tc>
          <w:tcPr>
            <w:tcW w:type="dxa" w:w="1389"/>
            <w:vAlign w:val="center"/>
          </w:tcPr>
          <w:p>
            <w:pPr>
              <w:jc w:val="center"/>
            </w:pPr>
            <w:r>
              <w:rPr>
                <w:rFonts w:ascii="Times New Roman" w:hAnsi="Times New Roman"/>
                <w:sz w:val="20"/>
              </w:rPr>
              <w:t>Sim</w:t>
            </w:r>
          </w:p>
        </w:tc>
      </w:tr>
      <w:tr>
        <w:tc>
          <w:tcPr>
            <w:tcW w:type="dxa" w:w="1389"/>
            <w:vAlign w:val="center"/>
          </w:tcPr>
          <w:p>
            <w:pPr>
              <w:jc w:val="center"/>
            </w:pPr>
            <w:r>
              <w:rPr>
                <w:rFonts w:ascii="Times New Roman" w:hAnsi="Times New Roman"/>
                <w:sz w:val="20"/>
              </w:rPr>
              <w:t>PSX</w:t>
            </w:r>
          </w:p>
        </w:tc>
        <w:tc>
          <w:tcPr>
            <w:tcW w:type="dxa" w:w="1389"/>
            <w:vAlign w:val="center"/>
          </w:tcPr>
          <w:p>
            <w:pPr>
              <w:jc w:val="center"/>
            </w:pPr>
            <w:r>
              <w:rPr>
                <w:rFonts w:ascii="Times New Roman" w:hAnsi="Times New Roman"/>
                <w:sz w:val="20"/>
              </w:rPr>
              <w:t>Phillips 66</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Sim</w:t>
            </w:r>
          </w:p>
        </w:tc>
        <w:tc>
          <w:tcPr>
            <w:tcW w:type="dxa" w:w="1389"/>
            <w:vAlign w:val="center"/>
          </w:tcPr>
          <w:p>
            <w:pPr>
              <w:jc w:val="center"/>
            </w:pPr>
            <w:r>
              <w:rPr>
                <w:rFonts w:ascii="Times New Roman" w:hAnsi="Times New Roman"/>
                <w:sz w:val="20"/>
              </w:rPr>
              <w:t>Sim</w:t>
            </w:r>
          </w:p>
        </w:tc>
      </w:tr>
      <w:tr>
        <w:tc>
          <w:tcPr>
            <w:tcW w:type="dxa" w:w="1389"/>
            <w:vAlign w:val="center"/>
          </w:tcPr>
          <w:p>
            <w:pPr>
              <w:jc w:val="center"/>
            </w:pPr>
            <w:r>
              <w:rPr>
                <w:rFonts w:ascii="Times New Roman" w:hAnsi="Times New Roman"/>
                <w:sz w:val="20"/>
              </w:rPr>
              <w:t>MPC</w:t>
            </w:r>
          </w:p>
        </w:tc>
        <w:tc>
          <w:tcPr>
            <w:tcW w:type="dxa" w:w="1389"/>
            <w:vAlign w:val="center"/>
          </w:tcPr>
          <w:p>
            <w:pPr>
              <w:jc w:val="center"/>
            </w:pPr>
            <w:r>
              <w:rPr>
                <w:rFonts w:ascii="Times New Roman" w:hAnsi="Times New Roman"/>
                <w:sz w:val="20"/>
              </w:rPr>
              <w:t>Marathon Petro.</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Sim</w:t>
            </w:r>
          </w:p>
        </w:tc>
        <w:tc>
          <w:tcPr>
            <w:tcW w:type="dxa" w:w="1389"/>
            <w:vAlign w:val="center"/>
          </w:tcPr>
          <w:p>
            <w:pPr>
              <w:jc w:val="center"/>
            </w:pPr>
            <w:r>
              <w:rPr>
                <w:rFonts w:ascii="Times New Roman" w:hAnsi="Times New Roman"/>
                <w:sz w:val="20"/>
              </w:rPr>
              <w:t>Sim</w:t>
            </w:r>
          </w:p>
        </w:tc>
      </w:tr>
      <w:tr>
        <w:tc>
          <w:tcPr>
            <w:tcW w:type="dxa" w:w="1389"/>
            <w:vAlign w:val="center"/>
          </w:tcPr>
          <w:p>
            <w:pPr>
              <w:jc w:val="center"/>
            </w:pPr>
            <w:r>
              <w:rPr>
                <w:rFonts w:ascii="Times New Roman" w:hAnsi="Times New Roman"/>
                <w:sz w:val="20"/>
              </w:rPr>
              <w:t>SLB</w:t>
            </w:r>
          </w:p>
        </w:tc>
        <w:tc>
          <w:tcPr>
            <w:tcW w:type="dxa" w:w="1389"/>
            <w:vAlign w:val="center"/>
          </w:tcPr>
          <w:p>
            <w:pPr>
              <w:jc w:val="center"/>
            </w:pPr>
            <w:r>
              <w:rPr>
                <w:rFonts w:ascii="Times New Roman" w:hAnsi="Times New Roman"/>
                <w:sz w:val="20"/>
              </w:rPr>
              <w:t>SLB</w:t>
            </w:r>
          </w:p>
        </w:tc>
        <w:tc>
          <w:tcPr>
            <w:tcW w:type="dxa" w:w="1389"/>
            <w:vAlign w:val="center"/>
          </w:tcPr>
          <w:p>
            <w:pPr>
              <w:jc w:val="center"/>
            </w:pPr>
            <w:r>
              <w:rPr>
                <w:rFonts w:ascii="Times New Roman" w:hAnsi="Times New Roman"/>
                <w:sz w:val="20"/>
              </w:rPr>
              <w:t>1,0976</w:t>
            </w:r>
          </w:p>
        </w:tc>
        <w:tc>
          <w:tcPr>
            <w:tcW w:type="dxa" w:w="1389"/>
            <w:vAlign w:val="center"/>
          </w:tcPr>
          <w:p>
            <w:pPr>
              <w:jc w:val="center"/>
            </w:pPr>
            <w:r>
              <w:rPr>
                <w:rFonts w:ascii="Times New Roman" w:hAnsi="Times New Roman"/>
                <w:sz w:val="20"/>
              </w:rPr>
              <w:t>1,0889</w:t>
            </w:r>
          </w:p>
        </w:tc>
        <w:tc>
          <w:tcPr>
            <w:tcW w:type="dxa" w:w="1389"/>
            <w:vAlign w:val="center"/>
          </w:tcPr>
          <w:p>
            <w:pPr>
              <w:jc w:val="center"/>
            </w:pPr>
            <w:r>
              <w:rPr>
                <w:rFonts w:ascii="Times New Roman" w:hAnsi="Times New Roman"/>
                <w:sz w:val="20"/>
              </w:rPr>
              <w:t>1,0080</w:t>
            </w:r>
          </w:p>
        </w:tc>
        <w:tc>
          <w:tcPr>
            <w:tcW w:type="dxa" w:w="1389"/>
            <w:vAlign w:val="center"/>
          </w:tcPr>
          <w:p>
            <w:pPr>
              <w:jc w:val="center"/>
            </w:pPr>
            <w:r>
              <w:rPr>
                <w:rFonts w:ascii="Times New Roman" w:hAnsi="Times New Roman"/>
                <w:sz w:val="20"/>
              </w:rPr>
              <w:t>Não</w:t>
            </w:r>
          </w:p>
        </w:tc>
        <w:tc>
          <w:tcPr>
            <w:tcW w:type="dxa" w:w="1389"/>
            <w:vAlign w:val="center"/>
          </w:tcPr>
          <w:p>
            <w:pPr>
              <w:jc w:val="center"/>
            </w:pPr>
            <w:r>
              <w:rPr>
                <w:rFonts w:ascii="Times New Roman" w:hAnsi="Times New Roman"/>
                <w:sz w:val="20"/>
              </w:rPr>
              <w:t>Não</w:t>
            </w:r>
          </w:p>
        </w:tc>
      </w:tr>
      <w:tr>
        <w:tc>
          <w:tcPr>
            <w:tcW w:type="dxa" w:w="1389"/>
            <w:vAlign w:val="center"/>
          </w:tcPr>
          <w:p>
            <w:pPr>
              <w:jc w:val="center"/>
            </w:pPr>
            <w:r>
              <w:rPr>
                <w:rFonts w:ascii="Times New Roman" w:hAnsi="Times New Roman"/>
                <w:sz w:val="20"/>
              </w:rPr>
              <w:t>HAL</w:t>
            </w:r>
          </w:p>
        </w:tc>
        <w:tc>
          <w:tcPr>
            <w:tcW w:type="dxa" w:w="1389"/>
            <w:vAlign w:val="center"/>
          </w:tcPr>
          <w:p>
            <w:pPr>
              <w:jc w:val="center"/>
            </w:pPr>
            <w:r>
              <w:rPr>
                <w:rFonts w:ascii="Times New Roman" w:hAnsi="Times New Roman"/>
                <w:sz w:val="20"/>
              </w:rPr>
              <w:t>Halliburton</w:t>
            </w:r>
          </w:p>
        </w:tc>
        <w:tc>
          <w:tcPr>
            <w:tcW w:type="dxa" w:w="1389"/>
            <w:vAlign w:val="center"/>
          </w:tcPr>
          <w:p>
            <w:pPr>
              <w:jc w:val="center"/>
            </w:pPr>
            <w:r>
              <w:rPr>
                <w:rFonts w:ascii="Times New Roman" w:hAnsi="Times New Roman"/>
                <w:sz w:val="20"/>
              </w:rPr>
              <w:t>1,0504</w:t>
            </w:r>
          </w:p>
        </w:tc>
        <w:tc>
          <w:tcPr>
            <w:tcW w:type="dxa" w:w="1389"/>
            <w:vAlign w:val="center"/>
          </w:tcPr>
          <w:p>
            <w:pPr>
              <w:jc w:val="center"/>
            </w:pPr>
            <w:r>
              <w:rPr>
                <w:rFonts w:ascii="Times New Roman" w:hAnsi="Times New Roman"/>
                <w:sz w:val="20"/>
              </w:rPr>
              <w:t>1,0488</w:t>
            </w:r>
          </w:p>
        </w:tc>
        <w:tc>
          <w:tcPr>
            <w:tcW w:type="dxa" w:w="1389"/>
            <w:vAlign w:val="center"/>
          </w:tcPr>
          <w:p>
            <w:pPr>
              <w:jc w:val="center"/>
            </w:pPr>
            <w:r>
              <w:rPr>
                <w:rFonts w:ascii="Times New Roman" w:hAnsi="Times New Roman"/>
                <w:sz w:val="20"/>
              </w:rPr>
              <w:t>1,0015</w:t>
            </w:r>
          </w:p>
        </w:tc>
        <w:tc>
          <w:tcPr>
            <w:tcW w:type="dxa" w:w="1389"/>
            <w:vAlign w:val="center"/>
          </w:tcPr>
          <w:p>
            <w:pPr>
              <w:jc w:val="center"/>
            </w:pPr>
            <w:r>
              <w:rPr>
                <w:rFonts w:ascii="Times New Roman" w:hAnsi="Times New Roman"/>
                <w:sz w:val="20"/>
              </w:rPr>
              <w:t>Não</w:t>
            </w:r>
          </w:p>
        </w:tc>
        <w:tc>
          <w:tcPr>
            <w:tcW w:type="dxa" w:w="1389"/>
            <w:vAlign w:val="center"/>
          </w:tcPr>
          <w:p>
            <w:pPr>
              <w:jc w:val="center"/>
            </w:pPr>
            <w:r>
              <w:rPr>
                <w:rFonts w:ascii="Times New Roman" w:hAnsi="Times New Roman"/>
                <w:sz w:val="20"/>
              </w:rPr>
              <w:t>Não</w:t>
            </w:r>
          </w:p>
        </w:tc>
      </w:tr>
      <w:tr>
        <w:tc>
          <w:tcPr>
            <w:tcW w:type="dxa" w:w="1389"/>
            <w:vAlign w:val="center"/>
          </w:tcPr>
          <w:p>
            <w:pPr>
              <w:jc w:val="center"/>
            </w:pPr>
            <w:r>
              <w:rPr>
                <w:rFonts w:ascii="Times New Roman" w:hAnsi="Times New Roman"/>
                <w:sz w:val="20"/>
              </w:rPr>
              <w:t>IMO</w:t>
            </w:r>
          </w:p>
        </w:tc>
        <w:tc>
          <w:tcPr>
            <w:tcW w:type="dxa" w:w="1389"/>
            <w:vAlign w:val="center"/>
          </w:tcPr>
          <w:p>
            <w:pPr>
              <w:jc w:val="center"/>
            </w:pPr>
            <w:r>
              <w:rPr>
                <w:rFonts w:ascii="Times New Roman" w:hAnsi="Times New Roman"/>
                <w:sz w:val="20"/>
              </w:rPr>
              <w:t>Imperial Oil</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Sim</w:t>
            </w:r>
          </w:p>
        </w:tc>
        <w:tc>
          <w:tcPr>
            <w:tcW w:type="dxa" w:w="1389"/>
            <w:vAlign w:val="center"/>
          </w:tcPr>
          <w:p>
            <w:pPr>
              <w:jc w:val="center"/>
            </w:pPr>
            <w:r>
              <w:rPr>
                <w:rFonts w:ascii="Times New Roman" w:hAnsi="Times New Roman"/>
                <w:sz w:val="20"/>
              </w:rPr>
              <w:t>Sim</w:t>
            </w:r>
          </w:p>
        </w:tc>
      </w:tr>
      <w:tr>
        <w:tc>
          <w:tcPr>
            <w:tcW w:type="dxa" w:w="1389"/>
            <w:vAlign w:val="center"/>
          </w:tcPr>
          <w:p>
            <w:pPr>
              <w:jc w:val="center"/>
            </w:pPr>
            <w:r>
              <w:rPr>
                <w:rFonts w:ascii="Times New Roman" w:hAnsi="Times New Roman"/>
                <w:sz w:val="20"/>
              </w:rPr>
              <w:t>CNQ</w:t>
            </w:r>
          </w:p>
        </w:tc>
        <w:tc>
          <w:tcPr>
            <w:tcW w:type="dxa" w:w="1389"/>
            <w:vAlign w:val="center"/>
          </w:tcPr>
          <w:p>
            <w:pPr>
              <w:jc w:val="center"/>
            </w:pPr>
            <w:r>
              <w:rPr>
                <w:rFonts w:ascii="Times New Roman" w:hAnsi="Times New Roman"/>
                <w:sz w:val="20"/>
              </w:rPr>
              <w:t>Canadian Natural</w:t>
            </w:r>
          </w:p>
        </w:tc>
        <w:tc>
          <w:tcPr>
            <w:tcW w:type="dxa" w:w="1389"/>
            <w:vAlign w:val="center"/>
          </w:tcPr>
          <w:p>
            <w:pPr>
              <w:jc w:val="center"/>
            </w:pPr>
            <w:r>
              <w:rPr>
                <w:rFonts w:ascii="Times New Roman" w:hAnsi="Times New Roman"/>
                <w:sz w:val="20"/>
              </w:rPr>
              <w:t>1,2597</w:t>
            </w:r>
          </w:p>
        </w:tc>
        <w:tc>
          <w:tcPr>
            <w:tcW w:type="dxa" w:w="1389"/>
            <w:vAlign w:val="center"/>
          </w:tcPr>
          <w:p>
            <w:pPr>
              <w:jc w:val="center"/>
            </w:pPr>
            <w:r>
              <w:rPr>
                <w:rFonts w:ascii="Times New Roman" w:hAnsi="Times New Roman"/>
                <w:sz w:val="20"/>
              </w:rPr>
              <w:t>1,2438</w:t>
            </w:r>
          </w:p>
        </w:tc>
        <w:tc>
          <w:tcPr>
            <w:tcW w:type="dxa" w:w="1389"/>
            <w:vAlign w:val="center"/>
          </w:tcPr>
          <w:p>
            <w:pPr>
              <w:jc w:val="center"/>
            </w:pPr>
            <w:r>
              <w:rPr>
                <w:rFonts w:ascii="Times New Roman" w:hAnsi="Times New Roman"/>
                <w:sz w:val="20"/>
              </w:rPr>
              <w:t>1,0128</w:t>
            </w:r>
          </w:p>
        </w:tc>
        <w:tc>
          <w:tcPr>
            <w:tcW w:type="dxa" w:w="1389"/>
            <w:vAlign w:val="center"/>
          </w:tcPr>
          <w:p>
            <w:pPr>
              <w:jc w:val="center"/>
            </w:pPr>
            <w:r>
              <w:rPr>
                <w:rFonts w:ascii="Times New Roman" w:hAnsi="Times New Roman"/>
                <w:sz w:val="20"/>
              </w:rPr>
              <w:t>Não</w:t>
            </w:r>
          </w:p>
        </w:tc>
        <w:tc>
          <w:tcPr>
            <w:tcW w:type="dxa" w:w="1389"/>
            <w:vAlign w:val="center"/>
          </w:tcPr>
          <w:p>
            <w:pPr>
              <w:jc w:val="center"/>
            </w:pPr>
            <w:r>
              <w:rPr>
                <w:rFonts w:ascii="Times New Roman" w:hAnsi="Times New Roman"/>
                <w:sz w:val="20"/>
              </w:rPr>
              <w:t>Não</w:t>
            </w:r>
          </w:p>
        </w:tc>
      </w:tr>
      <w:tr>
        <w:tc>
          <w:tcPr>
            <w:tcW w:type="dxa" w:w="1389"/>
            <w:vAlign w:val="center"/>
          </w:tcPr>
          <w:p>
            <w:pPr>
              <w:jc w:val="center"/>
            </w:pPr>
            <w:r>
              <w:rPr>
                <w:rFonts w:ascii="Times New Roman" w:hAnsi="Times New Roman"/>
                <w:sz w:val="20"/>
              </w:rPr>
              <w:t>SU</w:t>
            </w:r>
          </w:p>
        </w:tc>
        <w:tc>
          <w:tcPr>
            <w:tcW w:type="dxa" w:w="1389"/>
            <w:vAlign w:val="center"/>
          </w:tcPr>
          <w:p>
            <w:pPr>
              <w:jc w:val="center"/>
            </w:pPr>
            <w:r>
              <w:rPr>
                <w:rFonts w:ascii="Times New Roman" w:hAnsi="Times New Roman"/>
                <w:sz w:val="20"/>
              </w:rPr>
              <w:t>Suncor Energy</w:t>
            </w:r>
          </w:p>
        </w:tc>
        <w:tc>
          <w:tcPr>
            <w:tcW w:type="dxa" w:w="1389"/>
            <w:vAlign w:val="center"/>
          </w:tcPr>
          <w:p>
            <w:pPr>
              <w:jc w:val="center"/>
            </w:pPr>
            <w:r>
              <w:rPr>
                <w:rFonts w:ascii="Times New Roman" w:hAnsi="Times New Roman"/>
                <w:sz w:val="20"/>
              </w:rPr>
              <w:t>1,1513</w:t>
            </w:r>
          </w:p>
        </w:tc>
        <w:tc>
          <w:tcPr>
            <w:tcW w:type="dxa" w:w="1389"/>
            <w:vAlign w:val="center"/>
          </w:tcPr>
          <w:p>
            <w:pPr>
              <w:jc w:val="center"/>
            </w:pPr>
            <w:r>
              <w:rPr>
                <w:rFonts w:ascii="Times New Roman" w:hAnsi="Times New Roman"/>
                <w:sz w:val="20"/>
              </w:rPr>
              <w:t>1,1336</w:t>
            </w:r>
          </w:p>
        </w:tc>
        <w:tc>
          <w:tcPr>
            <w:tcW w:type="dxa" w:w="1389"/>
            <w:vAlign w:val="center"/>
          </w:tcPr>
          <w:p>
            <w:pPr>
              <w:jc w:val="center"/>
            </w:pPr>
            <w:r>
              <w:rPr>
                <w:rFonts w:ascii="Times New Roman" w:hAnsi="Times New Roman"/>
                <w:sz w:val="20"/>
              </w:rPr>
              <w:t>1,0156</w:t>
            </w:r>
          </w:p>
        </w:tc>
        <w:tc>
          <w:tcPr>
            <w:tcW w:type="dxa" w:w="1389"/>
            <w:vAlign w:val="center"/>
          </w:tcPr>
          <w:p>
            <w:pPr>
              <w:jc w:val="center"/>
            </w:pPr>
            <w:r>
              <w:rPr>
                <w:rFonts w:ascii="Times New Roman" w:hAnsi="Times New Roman"/>
                <w:sz w:val="20"/>
              </w:rPr>
              <w:t>Não</w:t>
            </w:r>
          </w:p>
        </w:tc>
        <w:tc>
          <w:tcPr>
            <w:tcW w:type="dxa" w:w="1389"/>
            <w:vAlign w:val="center"/>
          </w:tcPr>
          <w:p>
            <w:pPr>
              <w:jc w:val="center"/>
            </w:pPr>
            <w:r>
              <w:rPr>
                <w:rFonts w:ascii="Times New Roman" w:hAnsi="Times New Roman"/>
                <w:sz w:val="20"/>
              </w:rPr>
              <w:t>Não</w:t>
            </w:r>
          </w:p>
        </w:tc>
      </w:tr>
      <w:tr>
        <w:tc>
          <w:tcPr>
            <w:tcW w:type="dxa" w:w="1389"/>
            <w:vAlign w:val="center"/>
          </w:tcPr>
          <w:p>
            <w:pPr>
              <w:jc w:val="center"/>
            </w:pPr>
            <w:r>
              <w:rPr>
                <w:rFonts w:ascii="Times New Roman" w:hAnsi="Times New Roman"/>
                <w:sz w:val="20"/>
              </w:rPr>
              <w:t>BKR</w:t>
            </w:r>
          </w:p>
        </w:tc>
        <w:tc>
          <w:tcPr>
            <w:tcW w:type="dxa" w:w="1389"/>
            <w:vAlign w:val="center"/>
          </w:tcPr>
          <w:p>
            <w:pPr>
              <w:jc w:val="center"/>
            </w:pPr>
            <w:r>
              <w:rPr>
                <w:rFonts w:ascii="Times New Roman" w:hAnsi="Times New Roman"/>
                <w:sz w:val="20"/>
              </w:rPr>
              <w:t>Baker Hughes</w:t>
            </w:r>
          </w:p>
        </w:tc>
        <w:tc>
          <w:tcPr>
            <w:tcW w:type="dxa" w:w="1389"/>
            <w:vAlign w:val="center"/>
          </w:tcPr>
          <w:p>
            <w:pPr>
              <w:jc w:val="center"/>
            </w:pPr>
            <w:r>
              <w:rPr>
                <w:rFonts w:ascii="Times New Roman" w:hAnsi="Times New Roman"/>
                <w:sz w:val="20"/>
              </w:rPr>
              <w:t>1,1199</w:t>
            </w:r>
          </w:p>
        </w:tc>
        <w:tc>
          <w:tcPr>
            <w:tcW w:type="dxa" w:w="1389"/>
            <w:vAlign w:val="center"/>
          </w:tcPr>
          <w:p>
            <w:pPr>
              <w:jc w:val="center"/>
            </w:pPr>
            <w:r>
              <w:rPr>
                <w:rFonts w:ascii="Times New Roman" w:hAnsi="Times New Roman"/>
                <w:sz w:val="20"/>
              </w:rPr>
              <w:t>1,1077</w:t>
            </w:r>
          </w:p>
        </w:tc>
        <w:tc>
          <w:tcPr>
            <w:tcW w:type="dxa" w:w="1389"/>
            <w:vAlign w:val="center"/>
          </w:tcPr>
          <w:p>
            <w:pPr>
              <w:jc w:val="center"/>
            </w:pPr>
            <w:r>
              <w:rPr>
                <w:rFonts w:ascii="Times New Roman" w:hAnsi="Times New Roman"/>
                <w:sz w:val="20"/>
              </w:rPr>
              <w:t>1,0110</w:t>
            </w:r>
          </w:p>
        </w:tc>
        <w:tc>
          <w:tcPr>
            <w:tcW w:type="dxa" w:w="1389"/>
            <w:vAlign w:val="center"/>
          </w:tcPr>
          <w:p>
            <w:pPr>
              <w:jc w:val="center"/>
            </w:pPr>
            <w:r>
              <w:rPr>
                <w:rFonts w:ascii="Times New Roman" w:hAnsi="Times New Roman"/>
                <w:sz w:val="20"/>
              </w:rPr>
              <w:t>Não</w:t>
            </w:r>
          </w:p>
        </w:tc>
        <w:tc>
          <w:tcPr>
            <w:tcW w:type="dxa" w:w="1389"/>
            <w:vAlign w:val="center"/>
          </w:tcPr>
          <w:p>
            <w:pPr>
              <w:jc w:val="center"/>
            </w:pPr>
            <w:r>
              <w:rPr>
                <w:rFonts w:ascii="Times New Roman" w:hAnsi="Times New Roman"/>
                <w:sz w:val="20"/>
              </w:rPr>
              <w:t>Não</w:t>
            </w:r>
          </w:p>
        </w:tc>
      </w:tr>
      <w:tr>
        <w:tc>
          <w:tcPr>
            <w:tcW w:type="dxa" w:w="1389"/>
            <w:vAlign w:val="center"/>
          </w:tcPr>
          <w:p>
            <w:pPr>
              <w:jc w:val="center"/>
            </w:pPr>
            <w:r>
              <w:rPr>
                <w:rFonts w:ascii="Times New Roman" w:hAnsi="Times New Roman"/>
                <w:sz w:val="20"/>
              </w:rPr>
              <w:t>FTI</w:t>
            </w:r>
          </w:p>
        </w:tc>
        <w:tc>
          <w:tcPr>
            <w:tcW w:type="dxa" w:w="1389"/>
            <w:vAlign w:val="center"/>
          </w:tcPr>
          <w:p>
            <w:pPr>
              <w:jc w:val="center"/>
            </w:pPr>
            <w:r>
              <w:rPr>
                <w:rFonts w:ascii="Times New Roman" w:hAnsi="Times New Roman"/>
                <w:sz w:val="20"/>
              </w:rPr>
              <w:t>TechnipFMC</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Sim</w:t>
            </w:r>
          </w:p>
        </w:tc>
        <w:tc>
          <w:tcPr>
            <w:tcW w:type="dxa" w:w="1389"/>
            <w:vAlign w:val="center"/>
          </w:tcPr>
          <w:p>
            <w:pPr>
              <w:jc w:val="center"/>
            </w:pPr>
            <w:r>
              <w:rPr>
                <w:rFonts w:ascii="Times New Roman" w:hAnsi="Times New Roman"/>
                <w:sz w:val="20"/>
              </w:rPr>
              <w:t>Sim</w:t>
            </w:r>
          </w:p>
        </w:tc>
      </w:tr>
      <w:tr>
        <w:tc>
          <w:tcPr>
            <w:tcW w:type="dxa" w:w="1389"/>
            <w:vAlign w:val="center"/>
          </w:tcPr>
          <w:p>
            <w:pPr>
              <w:jc w:val="center"/>
            </w:pPr>
            <w:r>
              <w:rPr>
                <w:rFonts w:ascii="Times New Roman" w:hAnsi="Times New Roman"/>
                <w:sz w:val="20"/>
              </w:rPr>
              <w:t>WMB</w:t>
            </w:r>
          </w:p>
        </w:tc>
        <w:tc>
          <w:tcPr>
            <w:tcW w:type="dxa" w:w="1389"/>
            <w:vAlign w:val="center"/>
          </w:tcPr>
          <w:p>
            <w:pPr>
              <w:jc w:val="center"/>
            </w:pPr>
            <w:r>
              <w:rPr>
                <w:rFonts w:ascii="Times New Roman" w:hAnsi="Times New Roman"/>
                <w:sz w:val="20"/>
              </w:rPr>
              <w:t>Williams Cos.</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1,0000</w:t>
            </w:r>
          </w:p>
        </w:tc>
        <w:tc>
          <w:tcPr>
            <w:tcW w:type="dxa" w:w="1389"/>
            <w:vAlign w:val="center"/>
          </w:tcPr>
          <w:p>
            <w:pPr>
              <w:jc w:val="center"/>
            </w:pPr>
            <w:r>
              <w:rPr>
                <w:rFonts w:ascii="Times New Roman" w:hAnsi="Times New Roman"/>
                <w:sz w:val="20"/>
              </w:rPr>
              <w:t>Sim</w:t>
            </w:r>
          </w:p>
        </w:tc>
        <w:tc>
          <w:tcPr>
            <w:tcW w:type="dxa" w:w="1389"/>
            <w:vAlign w:val="center"/>
          </w:tcPr>
          <w:p>
            <w:pPr>
              <w:jc w:val="center"/>
            </w:pPr>
            <w:r>
              <w:rPr>
                <w:rFonts w:ascii="Times New Roman" w:hAnsi="Times New Roman"/>
                <w:sz w:val="20"/>
              </w:rPr>
              <w:t>Sim</w:t>
            </w:r>
          </w:p>
        </w:tc>
      </w:tr>
    </w:tbl>
    <w:p/>
    <w:p>
      <w:pPr>
        <w:spacing w:before="40" w:after="200"/>
        <w:jc w:val="center"/>
      </w:pPr>
      <w:r>
        <w:rPr>
          <w:rFonts w:ascii="Times New Roman" w:hAnsi="Times New Roman"/>
          <w:b/>
          <w:i w:val="0"/>
          <w:sz w:val="20"/>
        </w:rPr>
        <w:t xml:space="preserve">Tabela 3. </w:t>
      </w:r>
      <w:r>
        <w:rPr>
          <w:rFonts w:ascii="Times New Roman" w:hAnsi="Times New Roman"/>
          <w:b w:val="0"/>
          <w:i w:val="0"/>
          <w:sz w:val="20"/>
        </w:rPr>
        <w:t>Scores de eficiência CCR, BCC e eficiência de escala para as 22 DMUs. Scores iguais a 1,0000 indicam DMU eficiente.</w:t>
      </w:r>
    </w:p>
    <w:p>
      <w:pPr>
        <w:spacing w:before="0" w:after="120"/>
        <w:ind w:firstLine="709"/>
        <w:jc w:val="both"/>
      </w:pPr>
      <w:r>
        <w:rPr>
          <w:rFonts w:ascii="Times New Roman" w:hAnsi="Times New Roman"/>
          <w:b w:val="0"/>
          <w:i w:val="0"/>
          <w:sz w:val="24"/>
        </w:rPr>
        <w:t>A distribuição dos scores é visualizada no histograma da Figura 1, que evidencia a concentração de DMUs na fronteira eficiente (θ = 1,0) e a cauda direita de ineficiências moderadas, com CNQ se destacando como caso extremo.</w:t>
      </w:r>
    </w:p>
    <w:p>
      <w:pPr>
        <w:spacing w:before="120"/>
        <w:jc w:val="center"/>
      </w:pPr>
      <w:r>
        <w:drawing>
          <wp:inline xmlns:a="http://schemas.openxmlformats.org/drawingml/2006/main" xmlns:pic="http://schemas.openxmlformats.org/drawingml/2006/picture">
            <wp:extent cx="5040000" cy="2473871"/>
            <wp:docPr id="3" name="Picture 3"/>
            <wp:cNvGraphicFramePr>
              <a:graphicFrameLocks noChangeAspect="1"/>
            </wp:cNvGraphicFramePr>
            <a:graphic>
              <a:graphicData uri="http://schemas.openxmlformats.org/drawingml/2006/picture">
                <pic:pic>
                  <pic:nvPicPr>
                    <pic:cNvPr id="0" name="histogram_efficiency.png"/>
                    <pic:cNvPicPr/>
                  </pic:nvPicPr>
                  <pic:blipFill>
                    <a:blip r:embed="rId11"/>
                    <a:stretch>
                      <a:fillRect/>
                    </a:stretch>
                  </pic:blipFill>
                  <pic:spPr>
                    <a:xfrm>
                      <a:off x="0" y="0"/>
                      <a:ext cx="5040000" cy="2473871"/>
                    </a:xfrm>
                    <a:prstGeom prst="rect"/>
                  </pic:spPr>
                </pic:pic>
              </a:graphicData>
            </a:graphic>
          </wp:inline>
        </w:drawing>
      </w:r>
    </w:p>
    <w:p>
      <w:pPr>
        <w:spacing w:before="40" w:after="200"/>
        <w:jc w:val="center"/>
      </w:pPr>
      <w:r>
        <w:rPr>
          <w:rFonts w:ascii="Times New Roman" w:hAnsi="Times New Roman"/>
          <w:b/>
          <w:i w:val="0"/>
          <w:sz w:val="20"/>
        </w:rPr>
        <w:t xml:space="preserve">Figura 1. </w:t>
      </w:r>
      <w:r>
        <w:rPr>
          <w:rFonts w:ascii="Times New Roman" w:hAnsi="Times New Roman"/>
          <w:b w:val="0"/>
          <w:i w:val="0"/>
          <w:sz w:val="20"/>
        </w:rPr>
        <w:t>Distribuição dos scores de eficiência CCR e BCC. A linha vertical vermelha tracejada indica a fronteira eficiente (θ = 1,0).</w:t>
      </w:r>
    </w:p>
    <w:p>
      <w:pPr>
        <w:spacing w:before="0" w:after="120"/>
        <w:ind w:firstLine="709"/>
        <w:jc w:val="both"/>
      </w:pPr>
      <w:r>
        <w:rPr>
          <w:rFonts w:ascii="Times New Roman" w:hAnsi="Times New Roman"/>
          <w:b w:val="0"/>
          <w:i w:val="0"/>
          <w:sz w:val="24"/>
        </w:rPr>
        <w:t>O ranking de eficiência por empresa é apresentado na Figura 2.</w:t>
      </w:r>
    </w:p>
    <w:p>
      <w:pPr>
        <w:spacing w:before="120"/>
        <w:jc w:val="center"/>
      </w:pPr>
      <w:r>
        <w:drawing>
          <wp:inline xmlns:a="http://schemas.openxmlformats.org/drawingml/2006/main" xmlns:pic="http://schemas.openxmlformats.org/drawingml/2006/picture">
            <wp:extent cx="5040000" cy="3642066"/>
            <wp:docPr id="4" name="Picture 4"/>
            <wp:cNvGraphicFramePr>
              <a:graphicFrameLocks noChangeAspect="1"/>
            </wp:cNvGraphicFramePr>
            <a:graphic>
              <a:graphicData uri="http://schemas.openxmlformats.org/drawingml/2006/picture">
                <pic:pic>
                  <pic:nvPicPr>
                    <pic:cNvPr id="0" name="ranking_efficiency.png"/>
                    <pic:cNvPicPr/>
                  </pic:nvPicPr>
                  <pic:blipFill>
                    <a:blip r:embed="rId12"/>
                    <a:stretch>
                      <a:fillRect/>
                    </a:stretch>
                  </pic:blipFill>
                  <pic:spPr>
                    <a:xfrm>
                      <a:off x="0" y="0"/>
                      <a:ext cx="5040000" cy="3642066"/>
                    </a:xfrm>
                    <a:prstGeom prst="rect"/>
                  </pic:spPr>
                </pic:pic>
              </a:graphicData>
            </a:graphic>
          </wp:inline>
        </w:drawing>
      </w:r>
    </w:p>
    <w:p>
      <w:pPr>
        <w:spacing w:before="40" w:after="200"/>
        <w:jc w:val="center"/>
      </w:pPr>
      <w:r>
        <w:rPr>
          <w:rFonts w:ascii="Times New Roman" w:hAnsi="Times New Roman"/>
          <w:b/>
          <w:i w:val="0"/>
          <w:sz w:val="20"/>
        </w:rPr>
        <w:t xml:space="preserve">Figura 2. </w:t>
      </w:r>
      <w:r>
        <w:rPr>
          <w:rFonts w:ascii="Times New Roman" w:hAnsi="Times New Roman"/>
          <w:b w:val="0"/>
          <w:i w:val="0"/>
          <w:sz w:val="20"/>
        </w:rPr>
        <w:t>Ranking de eficiência das 22 DMUs pelos scores CCR e BCC. Barras à direita da linha vermelha representam DMUs ineficientes.</w:t>
      </w:r>
    </w:p>
    <w:p>
      <w:pPr>
        <w:spacing w:before="120" w:after="0"/>
        <w:ind w:firstLine="709"/>
        <w:jc w:val="both"/>
      </w:pPr>
      <w:r>
        <w:rPr>
          <w:rFonts w:ascii="Times New Roman" w:hAnsi="Times New Roman"/>
          <w:b/>
          <w:i w:val="0"/>
          <w:sz w:val="24"/>
        </w:rPr>
        <w:t xml:space="preserve">DMUs Eficientes. </w:t>
      </w:r>
      <w:r>
        <w:rPr>
          <w:rFonts w:ascii="Times New Roman" w:hAnsi="Times New Roman"/>
          <w:b w:val="0"/>
          <w:i w:val="0"/>
          <w:sz w:val="24"/>
        </w:rPr>
        <w:t>As empresas que atingiram a fronteira eficiente em cada modelo são sintetizadas na Tabela 4.</w:t>
      </w:r>
    </w:p>
    <w:tbl>
      <w:tblPr>
        <w:tblStyle w:val="TableGrid"/>
        <w:tblW w:type="auto" w:w="0"/>
        <w:jc w:val="center"/>
        <w:tblLook w:firstColumn="1" w:firstRow="1" w:lastColumn="0" w:lastRow="0" w:noHBand="0" w:noVBand="1" w:val="04A0"/>
      </w:tblPr>
      <w:tblGrid>
        <w:gridCol w:w="4861"/>
        <w:gridCol w:w="4861"/>
      </w:tblGrid>
      <w:tr>
        <w:tc>
          <w:tcPr>
            <w:tcW w:type="dxa" w:w="4861"/>
            <w:vAlign w:val="center"/>
          </w:tcPr>
          <w:p>
            <w:pPr>
              <w:jc w:val="center"/>
            </w:pPr>
            <w:r>
              <w:rPr>
                <w:rFonts w:ascii="Times New Roman" w:hAnsi="Times New Roman"/>
                <w:b/>
                <w:sz w:val="20"/>
              </w:rPr>
              <w:t>Modelo</w:t>
            </w:r>
          </w:p>
        </w:tc>
        <w:tc>
          <w:tcPr>
            <w:tcW w:type="dxa" w:w="4861"/>
            <w:vAlign w:val="center"/>
          </w:tcPr>
          <w:p>
            <w:pPr>
              <w:jc w:val="center"/>
            </w:pPr>
            <w:r>
              <w:rPr>
                <w:rFonts w:ascii="Times New Roman" w:hAnsi="Times New Roman"/>
                <w:b/>
                <w:sz w:val="20"/>
              </w:rPr>
              <w:t>DMUs Eficientes (θ = 1,0000)</w:t>
            </w:r>
          </w:p>
        </w:tc>
      </w:tr>
      <w:tr>
        <w:tc>
          <w:tcPr>
            <w:tcW w:type="dxa" w:w="4861"/>
            <w:vAlign w:val="center"/>
          </w:tcPr>
          <w:p>
            <w:pPr>
              <w:jc w:val="center"/>
            </w:pPr>
            <w:r>
              <w:rPr>
                <w:rFonts w:ascii="Times New Roman" w:hAnsi="Times New Roman"/>
                <w:sz w:val="20"/>
              </w:rPr>
              <w:t>CCR</w:t>
            </w:r>
          </w:p>
        </w:tc>
        <w:tc>
          <w:tcPr>
            <w:tcW w:type="dxa" w:w="4861"/>
            <w:vAlign w:val="center"/>
          </w:tcPr>
          <w:p>
            <w:pPr>
              <w:jc w:val="center"/>
            </w:pPr>
            <w:r>
              <w:rPr>
                <w:rFonts w:ascii="Times New Roman" w:hAnsi="Times New Roman"/>
                <w:sz w:val="20"/>
              </w:rPr>
              <w:t>PBR, EQNR, DVN, VLO, PSX, MPC, IMO, FTI, WMB (9 empresas)</w:t>
            </w:r>
          </w:p>
        </w:tc>
      </w:tr>
      <w:tr>
        <w:tc>
          <w:tcPr>
            <w:tcW w:type="dxa" w:w="4861"/>
            <w:vAlign w:val="center"/>
          </w:tcPr>
          <w:p>
            <w:pPr>
              <w:jc w:val="center"/>
            </w:pPr>
            <w:r>
              <w:rPr>
                <w:rFonts w:ascii="Times New Roman" w:hAnsi="Times New Roman"/>
                <w:sz w:val="20"/>
              </w:rPr>
              <w:t>BCC</w:t>
            </w:r>
          </w:p>
        </w:tc>
        <w:tc>
          <w:tcPr>
            <w:tcW w:type="dxa" w:w="4861"/>
            <w:vAlign w:val="center"/>
          </w:tcPr>
          <w:p>
            <w:pPr>
              <w:jc w:val="center"/>
            </w:pPr>
            <w:r>
              <w:rPr>
                <w:rFonts w:ascii="Times New Roman" w:hAnsi="Times New Roman"/>
                <w:sz w:val="20"/>
              </w:rPr>
              <w:t>XOM, PBR, EQNR, DVN, VLO, PSX, MPC, IMO, FTI, WMB (10 empresas)</w:t>
            </w:r>
          </w:p>
        </w:tc>
      </w:tr>
    </w:tbl>
    <w:p/>
    <w:p>
      <w:pPr>
        <w:spacing w:before="40" w:after="200"/>
        <w:jc w:val="center"/>
      </w:pPr>
      <w:r>
        <w:rPr>
          <w:rFonts w:ascii="Times New Roman" w:hAnsi="Times New Roman"/>
          <w:b/>
          <w:i w:val="0"/>
          <w:sz w:val="20"/>
        </w:rPr>
        <w:t xml:space="preserve">Tabela 4. </w:t>
      </w:r>
      <w:r>
        <w:rPr>
          <w:rFonts w:ascii="Times New Roman" w:hAnsi="Times New Roman"/>
          <w:b w:val="0"/>
          <w:i w:val="0"/>
          <w:sz w:val="20"/>
        </w:rPr>
        <w:t>DMUs eficientes nos modelos CCR e BCC. XOM aparece eficiente exclusivamente no BCC, evidenciando ineficiência de escala.</w:t>
      </w:r>
    </w:p>
    <w:p>
      <w:pPr>
        <w:spacing w:before="120" w:after="0"/>
        <w:ind w:firstLine="709"/>
        <w:jc w:val="both"/>
      </w:pPr>
      <w:r>
        <w:rPr>
          <w:rFonts w:ascii="Times New Roman" w:hAnsi="Times New Roman"/>
          <w:b/>
          <w:i w:val="0"/>
          <w:sz w:val="24"/>
        </w:rPr>
        <w:t xml:space="preserve">Benchmarks e Lambdas. </w:t>
      </w:r>
      <w:r>
        <w:rPr>
          <w:rFonts w:ascii="Times New Roman" w:hAnsi="Times New Roman"/>
          <w:b w:val="0"/>
          <w:i w:val="0"/>
          <w:sz w:val="24"/>
        </w:rPr>
        <w:t>O scatter plot CCR vs BCC (Figura 3) evidencia a relação entre os dois modelos e identifica visualmente os casos de ineficiência de escala — DMUs cujo score BCC é significativamente menor que o CCR.</w:t>
      </w:r>
    </w:p>
    <w:p>
      <w:pPr>
        <w:spacing w:before="120"/>
        <w:jc w:val="center"/>
      </w:pPr>
      <w:r>
        <w:drawing>
          <wp:inline xmlns:a="http://schemas.openxmlformats.org/drawingml/2006/main" xmlns:pic="http://schemas.openxmlformats.org/drawingml/2006/picture">
            <wp:extent cx="4320000" cy="3830943"/>
            <wp:docPr id="5" name="Picture 5"/>
            <wp:cNvGraphicFramePr>
              <a:graphicFrameLocks noChangeAspect="1"/>
            </wp:cNvGraphicFramePr>
            <a:graphic>
              <a:graphicData uri="http://schemas.openxmlformats.org/drawingml/2006/picture">
                <pic:pic>
                  <pic:nvPicPr>
                    <pic:cNvPr id="0" name="ccr_vs_bcc.png"/>
                    <pic:cNvPicPr/>
                  </pic:nvPicPr>
                  <pic:blipFill>
                    <a:blip r:embed="rId13"/>
                    <a:stretch>
                      <a:fillRect/>
                    </a:stretch>
                  </pic:blipFill>
                  <pic:spPr>
                    <a:xfrm>
                      <a:off x="0" y="0"/>
                      <a:ext cx="4320000" cy="3830943"/>
                    </a:xfrm>
                    <a:prstGeom prst="rect"/>
                  </pic:spPr>
                </pic:pic>
              </a:graphicData>
            </a:graphic>
          </wp:inline>
        </w:drawing>
      </w:r>
    </w:p>
    <w:p>
      <w:pPr>
        <w:spacing w:before="40" w:after="200"/>
        <w:jc w:val="center"/>
      </w:pPr>
      <w:r>
        <w:rPr>
          <w:rFonts w:ascii="Times New Roman" w:hAnsi="Times New Roman"/>
          <w:b/>
          <w:i w:val="0"/>
          <w:sz w:val="20"/>
        </w:rPr>
        <w:t xml:space="preserve">Figura 3. </w:t>
      </w:r>
      <w:r>
        <w:rPr>
          <w:rFonts w:ascii="Times New Roman" w:hAnsi="Times New Roman"/>
          <w:b w:val="0"/>
          <w:i w:val="0"/>
          <w:sz w:val="20"/>
        </w:rPr>
        <w:t>Dispersão entre scores CCR e BCC por DMU. Pontos sobre a diagonal (y = x) indicam ausência de ineficiência de escala. XOM destaca-se pelo maior afastamento vertical.</w:t>
      </w:r>
    </w:p>
    <w:p>
      <w:pPr>
        <w:spacing w:before="0" w:after="120"/>
        <w:ind w:firstLine="709"/>
        <w:jc w:val="both"/>
      </w:pPr>
      <w:r>
        <w:rPr>
          <w:rFonts w:ascii="Times New Roman" w:hAnsi="Times New Roman"/>
          <w:b w:val="0"/>
          <w:i w:val="0"/>
          <w:sz w:val="24"/>
        </w:rPr>
        <w:t>As intensidades dos pesos λ das DMUs eficientes que compõem os benchmarks das ineficientes são visualizadas no heatmap da Figura 4 e detalhadas na Tabela 5.</w:t>
      </w:r>
    </w:p>
    <w:p>
      <w:pPr>
        <w:spacing w:before="120"/>
        <w:jc w:val="center"/>
      </w:pPr>
      <w:r>
        <w:drawing>
          <wp:inline xmlns:a="http://schemas.openxmlformats.org/drawingml/2006/main" xmlns:pic="http://schemas.openxmlformats.org/drawingml/2006/picture">
            <wp:extent cx="5040000" cy="3389822"/>
            <wp:docPr id="6" name="Picture 6"/>
            <wp:cNvGraphicFramePr>
              <a:graphicFrameLocks noChangeAspect="1"/>
            </wp:cNvGraphicFramePr>
            <a:graphic>
              <a:graphicData uri="http://schemas.openxmlformats.org/drawingml/2006/picture">
                <pic:pic>
                  <pic:nvPicPr>
                    <pic:cNvPr id="0" name="benchmark_heatmap.png"/>
                    <pic:cNvPicPr/>
                  </pic:nvPicPr>
                  <pic:blipFill>
                    <a:blip r:embed="rId14"/>
                    <a:stretch>
                      <a:fillRect/>
                    </a:stretch>
                  </pic:blipFill>
                  <pic:spPr>
                    <a:xfrm>
                      <a:off x="0" y="0"/>
                      <a:ext cx="5040000" cy="3389822"/>
                    </a:xfrm>
                    <a:prstGeom prst="rect"/>
                  </pic:spPr>
                </pic:pic>
              </a:graphicData>
            </a:graphic>
          </wp:inline>
        </w:drawing>
      </w:r>
    </w:p>
    <w:p>
      <w:pPr>
        <w:spacing w:before="40" w:after="200"/>
        <w:jc w:val="center"/>
      </w:pPr>
      <w:r>
        <w:rPr>
          <w:rFonts w:ascii="Times New Roman" w:hAnsi="Times New Roman"/>
          <w:b/>
          <w:i w:val="0"/>
          <w:sz w:val="20"/>
        </w:rPr>
        <w:t xml:space="preserve">Figura 4. </w:t>
      </w:r>
      <w:r>
        <w:rPr>
          <w:rFonts w:ascii="Times New Roman" w:hAnsi="Times New Roman"/>
          <w:b w:val="0"/>
          <w:i w:val="0"/>
          <w:sz w:val="20"/>
        </w:rPr>
        <w:t>Heatmap de intensidade dos pesos λ (modelo CCR). Linhas: DMUs ineficientes; Colunas: DMUs eficientes utilizadas como benchmark.</w:t>
      </w:r>
    </w:p>
    <w:tbl>
      <w:tblPr>
        <w:tblStyle w:val="TableGrid"/>
        <w:tblW w:type="auto" w:w="0"/>
        <w:jc w:val="center"/>
        <w:tblLook w:firstColumn="1" w:firstRow="1" w:lastColumn="0" w:lastRow="0" w:noHBand="0" w:noVBand="1" w:val="04A0"/>
      </w:tblPr>
      <w:tblGrid>
        <w:gridCol w:w="3241"/>
        <w:gridCol w:w="3241"/>
        <w:gridCol w:w="3241"/>
      </w:tblGrid>
      <w:tr>
        <w:tc>
          <w:tcPr>
            <w:tcW w:type="dxa" w:w="3241"/>
            <w:vAlign w:val="center"/>
          </w:tcPr>
          <w:p>
            <w:pPr>
              <w:jc w:val="center"/>
            </w:pPr>
            <w:r>
              <w:rPr>
                <w:rFonts w:ascii="Times New Roman" w:hAnsi="Times New Roman"/>
                <w:b/>
                <w:sz w:val="20"/>
              </w:rPr>
              <w:t>DMU Ineficiente</w:t>
            </w:r>
          </w:p>
        </w:tc>
        <w:tc>
          <w:tcPr>
            <w:tcW w:type="dxa" w:w="3241"/>
            <w:vAlign w:val="center"/>
          </w:tcPr>
          <w:p>
            <w:pPr>
              <w:jc w:val="center"/>
            </w:pPr>
            <w:r>
              <w:rPr>
                <w:rFonts w:ascii="Times New Roman" w:hAnsi="Times New Roman"/>
                <w:b/>
                <w:sz w:val="20"/>
              </w:rPr>
              <w:t>Score CCR</w:t>
            </w:r>
          </w:p>
        </w:tc>
        <w:tc>
          <w:tcPr>
            <w:tcW w:type="dxa" w:w="3241"/>
            <w:vAlign w:val="center"/>
          </w:tcPr>
          <w:p>
            <w:pPr>
              <w:jc w:val="center"/>
            </w:pPr>
            <w:r>
              <w:rPr>
                <w:rFonts w:ascii="Times New Roman" w:hAnsi="Times New Roman"/>
                <w:b/>
                <w:sz w:val="20"/>
              </w:rPr>
              <w:t>Benchmarks (CCR)</w:t>
            </w:r>
          </w:p>
        </w:tc>
      </w:tr>
      <w:tr>
        <w:tc>
          <w:tcPr>
            <w:tcW w:type="dxa" w:w="3241"/>
            <w:vAlign w:val="center"/>
          </w:tcPr>
          <w:p>
            <w:pPr>
              <w:jc w:val="center"/>
            </w:pPr>
            <w:r>
              <w:rPr>
                <w:rFonts w:ascii="Times New Roman" w:hAnsi="Times New Roman"/>
                <w:sz w:val="20"/>
              </w:rPr>
              <w:t>XOM</w:t>
            </w:r>
          </w:p>
        </w:tc>
        <w:tc>
          <w:tcPr>
            <w:tcW w:type="dxa" w:w="3241"/>
            <w:vAlign w:val="center"/>
          </w:tcPr>
          <w:p>
            <w:pPr>
              <w:jc w:val="center"/>
            </w:pPr>
            <w:r>
              <w:rPr>
                <w:rFonts w:ascii="Times New Roman" w:hAnsi="Times New Roman"/>
                <w:sz w:val="20"/>
              </w:rPr>
              <w:t>1,1023</w:t>
            </w:r>
          </w:p>
        </w:tc>
        <w:tc>
          <w:tcPr>
            <w:tcW w:type="dxa" w:w="3241"/>
            <w:vAlign w:val="center"/>
          </w:tcPr>
          <w:p>
            <w:pPr>
              <w:jc w:val="center"/>
            </w:pPr>
            <w:r>
              <w:rPr>
                <w:rFonts w:ascii="Times New Roman" w:hAnsi="Times New Roman"/>
                <w:sz w:val="20"/>
              </w:rPr>
              <w:t>PBR, EQNR, IMO</w:t>
            </w:r>
          </w:p>
        </w:tc>
      </w:tr>
      <w:tr>
        <w:tc>
          <w:tcPr>
            <w:tcW w:type="dxa" w:w="3241"/>
            <w:vAlign w:val="center"/>
          </w:tcPr>
          <w:p>
            <w:pPr>
              <w:jc w:val="center"/>
            </w:pPr>
            <w:r>
              <w:rPr>
                <w:rFonts w:ascii="Times New Roman" w:hAnsi="Times New Roman"/>
                <w:sz w:val="20"/>
              </w:rPr>
              <w:t>CVX</w:t>
            </w:r>
          </w:p>
        </w:tc>
        <w:tc>
          <w:tcPr>
            <w:tcW w:type="dxa" w:w="3241"/>
            <w:vAlign w:val="center"/>
          </w:tcPr>
          <w:p>
            <w:pPr>
              <w:jc w:val="center"/>
            </w:pPr>
            <w:r>
              <w:rPr>
                <w:rFonts w:ascii="Times New Roman" w:hAnsi="Times New Roman"/>
                <w:sz w:val="20"/>
              </w:rPr>
              <w:t>1,1849</w:t>
            </w:r>
          </w:p>
        </w:tc>
        <w:tc>
          <w:tcPr>
            <w:tcW w:type="dxa" w:w="3241"/>
            <w:vAlign w:val="center"/>
          </w:tcPr>
          <w:p>
            <w:pPr>
              <w:jc w:val="center"/>
            </w:pPr>
            <w:r>
              <w:rPr>
                <w:rFonts w:ascii="Times New Roman" w:hAnsi="Times New Roman"/>
                <w:sz w:val="20"/>
              </w:rPr>
              <w:t>PBR, EQNR, IMO</w:t>
            </w:r>
          </w:p>
        </w:tc>
      </w:tr>
      <w:tr>
        <w:tc>
          <w:tcPr>
            <w:tcW w:type="dxa" w:w="3241"/>
            <w:vAlign w:val="center"/>
          </w:tcPr>
          <w:p>
            <w:pPr>
              <w:jc w:val="center"/>
            </w:pPr>
            <w:r>
              <w:rPr>
                <w:rFonts w:ascii="Times New Roman" w:hAnsi="Times New Roman"/>
                <w:sz w:val="20"/>
              </w:rPr>
              <w:t>SHEL</w:t>
            </w:r>
          </w:p>
        </w:tc>
        <w:tc>
          <w:tcPr>
            <w:tcW w:type="dxa" w:w="3241"/>
            <w:vAlign w:val="center"/>
          </w:tcPr>
          <w:p>
            <w:pPr>
              <w:jc w:val="center"/>
            </w:pPr>
            <w:r>
              <w:rPr>
                <w:rFonts w:ascii="Times New Roman" w:hAnsi="Times New Roman"/>
                <w:sz w:val="20"/>
              </w:rPr>
              <w:t>1,1356</w:t>
            </w:r>
          </w:p>
        </w:tc>
        <w:tc>
          <w:tcPr>
            <w:tcW w:type="dxa" w:w="3241"/>
            <w:vAlign w:val="center"/>
          </w:tcPr>
          <w:p>
            <w:pPr>
              <w:jc w:val="center"/>
            </w:pPr>
            <w:r>
              <w:rPr>
                <w:rFonts w:ascii="Times New Roman" w:hAnsi="Times New Roman"/>
                <w:sz w:val="20"/>
              </w:rPr>
              <w:t>EQNR, MPC, FTI</w:t>
            </w:r>
          </w:p>
        </w:tc>
      </w:tr>
      <w:tr>
        <w:tc>
          <w:tcPr>
            <w:tcW w:type="dxa" w:w="3241"/>
            <w:vAlign w:val="center"/>
          </w:tcPr>
          <w:p>
            <w:pPr>
              <w:jc w:val="center"/>
            </w:pPr>
            <w:r>
              <w:rPr>
                <w:rFonts w:ascii="Times New Roman" w:hAnsi="Times New Roman"/>
                <w:sz w:val="20"/>
              </w:rPr>
              <w:t>BP</w:t>
            </w:r>
          </w:p>
        </w:tc>
        <w:tc>
          <w:tcPr>
            <w:tcW w:type="dxa" w:w="3241"/>
            <w:vAlign w:val="center"/>
          </w:tcPr>
          <w:p>
            <w:pPr>
              <w:jc w:val="center"/>
            </w:pPr>
            <w:r>
              <w:rPr>
                <w:rFonts w:ascii="Times New Roman" w:hAnsi="Times New Roman"/>
                <w:sz w:val="20"/>
              </w:rPr>
              <w:t>1,1522</w:t>
            </w:r>
          </w:p>
        </w:tc>
        <w:tc>
          <w:tcPr>
            <w:tcW w:type="dxa" w:w="3241"/>
            <w:vAlign w:val="center"/>
          </w:tcPr>
          <w:p>
            <w:pPr>
              <w:jc w:val="center"/>
            </w:pPr>
            <w:r>
              <w:rPr>
                <w:rFonts w:ascii="Times New Roman" w:hAnsi="Times New Roman"/>
                <w:sz w:val="20"/>
              </w:rPr>
              <w:t>EQNR, FTI</w:t>
            </w:r>
          </w:p>
        </w:tc>
      </w:tr>
      <w:tr>
        <w:tc>
          <w:tcPr>
            <w:tcW w:type="dxa" w:w="3241"/>
            <w:vAlign w:val="center"/>
          </w:tcPr>
          <w:p>
            <w:pPr>
              <w:jc w:val="center"/>
            </w:pPr>
            <w:r>
              <w:rPr>
                <w:rFonts w:ascii="Times New Roman" w:hAnsi="Times New Roman"/>
                <w:sz w:val="20"/>
              </w:rPr>
              <w:t>TTE</w:t>
            </w:r>
          </w:p>
        </w:tc>
        <w:tc>
          <w:tcPr>
            <w:tcW w:type="dxa" w:w="3241"/>
            <w:vAlign w:val="center"/>
          </w:tcPr>
          <w:p>
            <w:pPr>
              <w:jc w:val="center"/>
            </w:pPr>
            <w:r>
              <w:rPr>
                <w:rFonts w:ascii="Times New Roman" w:hAnsi="Times New Roman"/>
                <w:sz w:val="20"/>
              </w:rPr>
              <w:t>1,1495</w:t>
            </w:r>
          </w:p>
        </w:tc>
        <w:tc>
          <w:tcPr>
            <w:tcW w:type="dxa" w:w="3241"/>
            <w:vAlign w:val="center"/>
          </w:tcPr>
          <w:p>
            <w:pPr>
              <w:jc w:val="center"/>
            </w:pPr>
            <w:r>
              <w:rPr>
                <w:rFonts w:ascii="Times New Roman" w:hAnsi="Times New Roman"/>
                <w:sz w:val="20"/>
              </w:rPr>
              <w:t>PBR, EQNR</w:t>
            </w:r>
          </w:p>
        </w:tc>
      </w:tr>
      <w:tr>
        <w:tc>
          <w:tcPr>
            <w:tcW w:type="dxa" w:w="3241"/>
            <w:vAlign w:val="center"/>
          </w:tcPr>
          <w:p>
            <w:pPr>
              <w:jc w:val="center"/>
            </w:pPr>
            <w:r>
              <w:rPr>
                <w:rFonts w:ascii="Times New Roman" w:hAnsi="Times New Roman"/>
                <w:sz w:val="20"/>
              </w:rPr>
              <w:t>COP</w:t>
            </w:r>
          </w:p>
        </w:tc>
        <w:tc>
          <w:tcPr>
            <w:tcW w:type="dxa" w:w="3241"/>
            <w:vAlign w:val="center"/>
          </w:tcPr>
          <w:p>
            <w:pPr>
              <w:jc w:val="center"/>
            </w:pPr>
            <w:r>
              <w:rPr>
                <w:rFonts w:ascii="Times New Roman" w:hAnsi="Times New Roman"/>
                <w:sz w:val="20"/>
              </w:rPr>
              <w:t>1,0587</w:t>
            </w:r>
          </w:p>
        </w:tc>
        <w:tc>
          <w:tcPr>
            <w:tcW w:type="dxa" w:w="3241"/>
            <w:vAlign w:val="center"/>
          </w:tcPr>
          <w:p>
            <w:pPr>
              <w:jc w:val="center"/>
            </w:pPr>
            <w:r>
              <w:rPr>
                <w:rFonts w:ascii="Times New Roman" w:hAnsi="Times New Roman"/>
                <w:sz w:val="20"/>
              </w:rPr>
              <w:t>PBR, EQNR, DVN</w:t>
            </w:r>
          </w:p>
        </w:tc>
      </w:tr>
      <w:tr>
        <w:tc>
          <w:tcPr>
            <w:tcW w:type="dxa" w:w="3241"/>
            <w:vAlign w:val="center"/>
          </w:tcPr>
          <w:p>
            <w:pPr>
              <w:jc w:val="center"/>
            </w:pPr>
            <w:r>
              <w:rPr>
                <w:rFonts w:ascii="Times New Roman" w:hAnsi="Times New Roman"/>
                <w:sz w:val="20"/>
              </w:rPr>
              <w:t>E</w:t>
            </w:r>
          </w:p>
        </w:tc>
        <w:tc>
          <w:tcPr>
            <w:tcW w:type="dxa" w:w="3241"/>
            <w:vAlign w:val="center"/>
          </w:tcPr>
          <w:p>
            <w:pPr>
              <w:jc w:val="center"/>
            </w:pPr>
            <w:r>
              <w:rPr>
                <w:rFonts w:ascii="Times New Roman" w:hAnsi="Times New Roman"/>
                <w:sz w:val="20"/>
              </w:rPr>
              <w:t>1,1942</w:t>
            </w:r>
          </w:p>
        </w:tc>
        <w:tc>
          <w:tcPr>
            <w:tcW w:type="dxa" w:w="3241"/>
            <w:vAlign w:val="center"/>
          </w:tcPr>
          <w:p>
            <w:pPr>
              <w:jc w:val="center"/>
            </w:pPr>
            <w:r>
              <w:rPr>
                <w:rFonts w:ascii="Times New Roman" w:hAnsi="Times New Roman"/>
                <w:sz w:val="20"/>
              </w:rPr>
              <w:t>PBR, EQNR</w:t>
            </w:r>
          </w:p>
        </w:tc>
      </w:tr>
      <w:tr>
        <w:tc>
          <w:tcPr>
            <w:tcW w:type="dxa" w:w="3241"/>
            <w:vAlign w:val="center"/>
          </w:tcPr>
          <w:p>
            <w:pPr>
              <w:jc w:val="center"/>
            </w:pPr>
            <w:r>
              <w:rPr>
                <w:rFonts w:ascii="Times New Roman" w:hAnsi="Times New Roman"/>
                <w:sz w:val="20"/>
              </w:rPr>
              <w:t>OXY</w:t>
            </w:r>
          </w:p>
        </w:tc>
        <w:tc>
          <w:tcPr>
            <w:tcW w:type="dxa" w:w="3241"/>
            <w:vAlign w:val="center"/>
          </w:tcPr>
          <w:p>
            <w:pPr>
              <w:jc w:val="center"/>
            </w:pPr>
            <w:r>
              <w:rPr>
                <w:rFonts w:ascii="Times New Roman" w:hAnsi="Times New Roman"/>
                <w:sz w:val="20"/>
              </w:rPr>
              <w:t>1,1281</w:t>
            </w:r>
          </w:p>
        </w:tc>
        <w:tc>
          <w:tcPr>
            <w:tcW w:type="dxa" w:w="3241"/>
            <w:vAlign w:val="center"/>
          </w:tcPr>
          <w:p>
            <w:pPr>
              <w:jc w:val="center"/>
            </w:pPr>
            <w:r>
              <w:rPr>
                <w:rFonts w:ascii="Times New Roman" w:hAnsi="Times New Roman"/>
                <w:sz w:val="20"/>
              </w:rPr>
              <w:t>PBR, WMB</w:t>
            </w:r>
          </w:p>
        </w:tc>
      </w:tr>
      <w:tr>
        <w:tc>
          <w:tcPr>
            <w:tcW w:type="dxa" w:w="3241"/>
            <w:vAlign w:val="center"/>
          </w:tcPr>
          <w:p>
            <w:pPr>
              <w:jc w:val="center"/>
            </w:pPr>
            <w:r>
              <w:rPr>
                <w:rFonts w:ascii="Times New Roman" w:hAnsi="Times New Roman"/>
                <w:sz w:val="20"/>
              </w:rPr>
              <w:t>SLB</w:t>
            </w:r>
          </w:p>
        </w:tc>
        <w:tc>
          <w:tcPr>
            <w:tcW w:type="dxa" w:w="3241"/>
            <w:vAlign w:val="center"/>
          </w:tcPr>
          <w:p>
            <w:pPr>
              <w:jc w:val="center"/>
            </w:pPr>
            <w:r>
              <w:rPr>
                <w:rFonts w:ascii="Times New Roman" w:hAnsi="Times New Roman"/>
                <w:sz w:val="20"/>
              </w:rPr>
              <w:t>1,0976</w:t>
            </w:r>
          </w:p>
        </w:tc>
        <w:tc>
          <w:tcPr>
            <w:tcW w:type="dxa" w:w="3241"/>
            <w:vAlign w:val="center"/>
          </w:tcPr>
          <w:p>
            <w:pPr>
              <w:jc w:val="center"/>
            </w:pPr>
            <w:r>
              <w:rPr>
                <w:rFonts w:ascii="Times New Roman" w:hAnsi="Times New Roman"/>
                <w:sz w:val="20"/>
              </w:rPr>
              <w:t>PBR, EQNR</w:t>
            </w:r>
          </w:p>
        </w:tc>
      </w:tr>
      <w:tr>
        <w:tc>
          <w:tcPr>
            <w:tcW w:type="dxa" w:w="3241"/>
            <w:vAlign w:val="center"/>
          </w:tcPr>
          <w:p>
            <w:pPr>
              <w:jc w:val="center"/>
            </w:pPr>
            <w:r>
              <w:rPr>
                <w:rFonts w:ascii="Times New Roman" w:hAnsi="Times New Roman"/>
                <w:sz w:val="20"/>
              </w:rPr>
              <w:t>HAL</w:t>
            </w:r>
          </w:p>
        </w:tc>
        <w:tc>
          <w:tcPr>
            <w:tcW w:type="dxa" w:w="3241"/>
            <w:vAlign w:val="center"/>
          </w:tcPr>
          <w:p>
            <w:pPr>
              <w:jc w:val="center"/>
            </w:pPr>
            <w:r>
              <w:rPr>
                <w:rFonts w:ascii="Times New Roman" w:hAnsi="Times New Roman"/>
                <w:sz w:val="20"/>
              </w:rPr>
              <w:t>1,0504</w:t>
            </w:r>
          </w:p>
        </w:tc>
        <w:tc>
          <w:tcPr>
            <w:tcW w:type="dxa" w:w="3241"/>
            <w:vAlign w:val="center"/>
          </w:tcPr>
          <w:p>
            <w:pPr>
              <w:jc w:val="center"/>
            </w:pPr>
            <w:r>
              <w:rPr>
                <w:rFonts w:ascii="Times New Roman" w:hAnsi="Times New Roman"/>
                <w:sz w:val="20"/>
              </w:rPr>
              <w:t>EQNR, FTI</w:t>
            </w:r>
          </w:p>
        </w:tc>
      </w:tr>
      <w:tr>
        <w:tc>
          <w:tcPr>
            <w:tcW w:type="dxa" w:w="3241"/>
            <w:vAlign w:val="center"/>
          </w:tcPr>
          <w:p>
            <w:pPr>
              <w:jc w:val="center"/>
            </w:pPr>
            <w:r>
              <w:rPr>
                <w:rFonts w:ascii="Times New Roman" w:hAnsi="Times New Roman"/>
                <w:sz w:val="20"/>
              </w:rPr>
              <w:t>CNQ</w:t>
            </w:r>
          </w:p>
        </w:tc>
        <w:tc>
          <w:tcPr>
            <w:tcW w:type="dxa" w:w="3241"/>
            <w:vAlign w:val="center"/>
          </w:tcPr>
          <w:p>
            <w:pPr>
              <w:jc w:val="center"/>
            </w:pPr>
            <w:r>
              <w:rPr>
                <w:rFonts w:ascii="Times New Roman" w:hAnsi="Times New Roman"/>
                <w:sz w:val="20"/>
              </w:rPr>
              <w:t>1,2597</w:t>
            </w:r>
          </w:p>
        </w:tc>
        <w:tc>
          <w:tcPr>
            <w:tcW w:type="dxa" w:w="3241"/>
            <w:vAlign w:val="center"/>
          </w:tcPr>
          <w:p>
            <w:pPr>
              <w:jc w:val="center"/>
            </w:pPr>
            <w:r>
              <w:rPr>
                <w:rFonts w:ascii="Times New Roman" w:hAnsi="Times New Roman"/>
                <w:sz w:val="20"/>
              </w:rPr>
              <w:t>PBR, EQNR, DVN</w:t>
            </w:r>
          </w:p>
        </w:tc>
      </w:tr>
      <w:tr>
        <w:tc>
          <w:tcPr>
            <w:tcW w:type="dxa" w:w="3241"/>
            <w:vAlign w:val="center"/>
          </w:tcPr>
          <w:p>
            <w:pPr>
              <w:jc w:val="center"/>
            </w:pPr>
            <w:r>
              <w:rPr>
                <w:rFonts w:ascii="Times New Roman" w:hAnsi="Times New Roman"/>
                <w:sz w:val="20"/>
              </w:rPr>
              <w:t>SU</w:t>
            </w:r>
          </w:p>
        </w:tc>
        <w:tc>
          <w:tcPr>
            <w:tcW w:type="dxa" w:w="3241"/>
            <w:vAlign w:val="center"/>
          </w:tcPr>
          <w:p>
            <w:pPr>
              <w:jc w:val="center"/>
            </w:pPr>
            <w:r>
              <w:rPr>
                <w:rFonts w:ascii="Times New Roman" w:hAnsi="Times New Roman"/>
                <w:sz w:val="20"/>
              </w:rPr>
              <w:t>1,1513</w:t>
            </w:r>
          </w:p>
        </w:tc>
        <w:tc>
          <w:tcPr>
            <w:tcW w:type="dxa" w:w="3241"/>
            <w:vAlign w:val="center"/>
          </w:tcPr>
          <w:p>
            <w:pPr>
              <w:jc w:val="center"/>
            </w:pPr>
            <w:r>
              <w:rPr>
                <w:rFonts w:ascii="Times New Roman" w:hAnsi="Times New Roman"/>
                <w:sz w:val="20"/>
              </w:rPr>
              <w:t>PBR, EQNR</w:t>
            </w:r>
          </w:p>
        </w:tc>
      </w:tr>
      <w:tr>
        <w:tc>
          <w:tcPr>
            <w:tcW w:type="dxa" w:w="3241"/>
            <w:vAlign w:val="center"/>
          </w:tcPr>
          <w:p>
            <w:pPr>
              <w:jc w:val="center"/>
            </w:pPr>
            <w:r>
              <w:rPr>
                <w:rFonts w:ascii="Times New Roman" w:hAnsi="Times New Roman"/>
                <w:sz w:val="20"/>
              </w:rPr>
              <w:t>BKR</w:t>
            </w:r>
          </w:p>
        </w:tc>
        <w:tc>
          <w:tcPr>
            <w:tcW w:type="dxa" w:w="3241"/>
            <w:vAlign w:val="center"/>
          </w:tcPr>
          <w:p>
            <w:pPr>
              <w:jc w:val="center"/>
            </w:pPr>
            <w:r>
              <w:rPr>
                <w:rFonts w:ascii="Times New Roman" w:hAnsi="Times New Roman"/>
                <w:sz w:val="20"/>
              </w:rPr>
              <w:t>1,1199</w:t>
            </w:r>
          </w:p>
        </w:tc>
        <w:tc>
          <w:tcPr>
            <w:tcW w:type="dxa" w:w="3241"/>
            <w:vAlign w:val="center"/>
          </w:tcPr>
          <w:p>
            <w:pPr>
              <w:jc w:val="center"/>
            </w:pPr>
            <w:r>
              <w:rPr>
                <w:rFonts w:ascii="Times New Roman" w:hAnsi="Times New Roman"/>
                <w:sz w:val="20"/>
              </w:rPr>
              <w:t>PBR, EQNR</w:t>
            </w:r>
          </w:p>
        </w:tc>
      </w:tr>
    </w:tbl>
    <w:p/>
    <w:p>
      <w:pPr>
        <w:spacing w:before="40" w:after="200"/>
        <w:jc w:val="center"/>
      </w:pPr>
      <w:r>
        <w:rPr>
          <w:rFonts w:ascii="Times New Roman" w:hAnsi="Times New Roman"/>
          <w:b/>
          <w:i w:val="0"/>
          <w:sz w:val="20"/>
        </w:rPr>
        <w:t xml:space="preserve">Tabela 5. </w:t>
      </w:r>
      <w:r>
        <w:rPr>
          <w:rFonts w:ascii="Times New Roman" w:hAnsi="Times New Roman"/>
          <w:b w:val="0"/>
          <w:i w:val="0"/>
          <w:sz w:val="20"/>
        </w:rPr>
        <w:t>Benchmarks das DMUs ineficientes no modelo CCR. EQNR é referência para 12 das 13 DMUs ineficientes; PBR, para 10.</w:t>
      </w:r>
    </w:p>
    <w:p>
      <w:pPr>
        <w:spacing w:before="0" w:after="120"/>
        <w:ind w:firstLine="709"/>
        <w:jc w:val="both"/>
      </w:pPr>
      <w:r>
        <w:rPr>
          <w:rFonts w:ascii="Times New Roman" w:hAnsi="Times New Roman"/>
          <w:b w:val="0"/>
          <w:i w:val="0"/>
          <w:sz w:val="24"/>
        </w:rPr>
        <w:t>A Equinor (EQNR) é o benchmark dominante, servindo de referência para 12 das 13 DMUs ineficientes no modelo CCR. Seu perfil — alta receita e EBITDA por ativo empregado, com base de funcionários enxuta (aproximadamente 22.000 colaboradores) — representa o padrão de excelência setorial. A Petrobras (PBR) aparece como segundo benchmark mais frequente (10 DMUs), combinando grande volume de outputs com integração vertical do pré-sal.</w:t>
      </w:r>
    </w:p>
    <w:p>
      <w:pPr>
        <w:spacing w:before="120" w:after="0"/>
        <w:ind w:firstLine="709"/>
        <w:jc w:val="both"/>
      </w:pPr>
      <w:r>
        <w:rPr>
          <w:rFonts w:ascii="Times New Roman" w:hAnsi="Times New Roman"/>
          <w:b/>
          <w:i w:val="0"/>
          <w:sz w:val="24"/>
        </w:rPr>
        <w:t xml:space="preserve">Metas de Melhoria para DMUs Ineficientes. </w:t>
      </w:r>
      <w:r>
        <w:rPr>
          <w:rFonts w:ascii="Times New Roman" w:hAnsi="Times New Roman"/>
          <w:b w:val="0"/>
          <w:i w:val="0"/>
          <w:sz w:val="24"/>
        </w:rPr>
        <w:t>A orientação a output implica que as DMUs ineficientes deveriam, mantendo seus inputs atuais, expandir receita e EBITDA no percentual correspondente a (θ − 1) × 100%. As metas calculadas são apresentadas na Tabela 6 e visualizadas na Figura 7.</w:t>
      </w:r>
    </w:p>
    <w:tbl>
      <w:tblPr>
        <w:tblStyle w:val="TableGrid"/>
        <w:tblW w:type="auto" w:w="0"/>
        <w:jc w:val="center"/>
        <w:tblLook w:firstColumn="1" w:firstRow="1" w:lastColumn="0" w:lastRow="0" w:noHBand="0" w:noVBand="1" w:val="04A0"/>
      </w:tblPr>
      <w:tblGrid>
        <w:gridCol w:w="1215"/>
        <w:gridCol w:w="1215"/>
        <w:gridCol w:w="1215"/>
        <w:gridCol w:w="1215"/>
        <w:gridCol w:w="1215"/>
        <w:gridCol w:w="1215"/>
        <w:gridCol w:w="1215"/>
        <w:gridCol w:w="1215"/>
      </w:tblGrid>
      <w:tr>
        <w:tc>
          <w:tcPr>
            <w:tcW w:type="dxa" w:w="1215"/>
            <w:vAlign w:val="center"/>
          </w:tcPr>
          <w:p>
            <w:pPr>
              <w:jc w:val="center"/>
            </w:pPr>
            <w:r>
              <w:rPr>
                <w:rFonts w:ascii="Times New Roman" w:hAnsi="Times New Roman"/>
                <w:b/>
                <w:sz w:val="20"/>
              </w:rPr>
              <w:t>DMU</w:t>
            </w:r>
          </w:p>
        </w:tc>
        <w:tc>
          <w:tcPr>
            <w:tcW w:type="dxa" w:w="1215"/>
            <w:vAlign w:val="center"/>
          </w:tcPr>
          <w:p>
            <w:pPr>
              <w:jc w:val="center"/>
            </w:pPr>
            <w:r>
              <w:rPr>
                <w:rFonts w:ascii="Times New Roman" w:hAnsi="Times New Roman"/>
                <w:b/>
                <w:sz w:val="20"/>
              </w:rPr>
              <w:t>Score CCR</w:t>
            </w:r>
          </w:p>
        </w:tc>
        <w:tc>
          <w:tcPr>
            <w:tcW w:type="dxa" w:w="1215"/>
            <w:vAlign w:val="center"/>
          </w:tcPr>
          <w:p>
            <w:pPr>
              <w:jc w:val="center"/>
            </w:pPr>
            <w:r>
              <w:rPr>
                <w:rFonts w:ascii="Times New Roman" w:hAnsi="Times New Roman"/>
                <w:b/>
                <w:sz w:val="20"/>
              </w:rPr>
              <w:t>Receita Atual</w:t>
              <w:br/>
              <w:t>(USD bi)</w:t>
            </w:r>
          </w:p>
        </w:tc>
        <w:tc>
          <w:tcPr>
            <w:tcW w:type="dxa" w:w="1215"/>
            <w:vAlign w:val="center"/>
          </w:tcPr>
          <w:p>
            <w:pPr>
              <w:jc w:val="center"/>
            </w:pPr>
            <w:r>
              <w:rPr>
                <w:rFonts w:ascii="Times New Roman" w:hAnsi="Times New Roman"/>
                <w:b/>
                <w:sz w:val="20"/>
              </w:rPr>
              <w:t>Meta Receita</w:t>
              <w:br/>
              <w:t>(USD bi)</w:t>
            </w:r>
          </w:p>
        </w:tc>
        <w:tc>
          <w:tcPr>
            <w:tcW w:type="dxa" w:w="1215"/>
            <w:vAlign w:val="center"/>
          </w:tcPr>
          <w:p>
            <w:pPr>
              <w:jc w:val="center"/>
            </w:pPr>
            <w:r>
              <w:rPr>
                <w:rFonts w:ascii="Times New Roman" w:hAnsi="Times New Roman"/>
                <w:b/>
                <w:sz w:val="20"/>
              </w:rPr>
              <w:t>Aumento</w:t>
            </w:r>
          </w:p>
        </w:tc>
        <w:tc>
          <w:tcPr>
            <w:tcW w:type="dxa" w:w="1215"/>
            <w:vAlign w:val="center"/>
          </w:tcPr>
          <w:p>
            <w:pPr>
              <w:jc w:val="center"/>
            </w:pPr>
            <w:r>
              <w:rPr>
                <w:rFonts w:ascii="Times New Roman" w:hAnsi="Times New Roman"/>
                <w:b/>
                <w:sz w:val="20"/>
              </w:rPr>
              <w:t>EBITDA Atual</w:t>
              <w:br/>
              <w:t>(USD bi)</w:t>
            </w:r>
          </w:p>
        </w:tc>
        <w:tc>
          <w:tcPr>
            <w:tcW w:type="dxa" w:w="1215"/>
            <w:vAlign w:val="center"/>
          </w:tcPr>
          <w:p>
            <w:pPr>
              <w:jc w:val="center"/>
            </w:pPr>
            <w:r>
              <w:rPr>
                <w:rFonts w:ascii="Times New Roman" w:hAnsi="Times New Roman"/>
                <w:b/>
                <w:sz w:val="20"/>
              </w:rPr>
              <w:t>Meta EBITDA</w:t>
              <w:br/>
              <w:t>(USD bi)</w:t>
            </w:r>
          </w:p>
        </w:tc>
        <w:tc>
          <w:tcPr>
            <w:tcW w:type="dxa" w:w="1215"/>
            <w:vAlign w:val="center"/>
          </w:tcPr>
          <w:p>
            <w:pPr>
              <w:jc w:val="center"/>
            </w:pPr>
            <w:r>
              <w:rPr>
                <w:rFonts w:ascii="Times New Roman" w:hAnsi="Times New Roman"/>
                <w:b/>
                <w:sz w:val="20"/>
              </w:rPr>
              <w:t>Aumento</w:t>
            </w:r>
          </w:p>
        </w:tc>
      </w:tr>
      <w:tr>
        <w:tc>
          <w:tcPr>
            <w:tcW w:type="dxa" w:w="1215"/>
            <w:vAlign w:val="center"/>
          </w:tcPr>
          <w:p>
            <w:pPr>
              <w:jc w:val="center"/>
            </w:pPr>
            <w:r>
              <w:rPr>
                <w:rFonts w:ascii="Times New Roman" w:hAnsi="Times New Roman"/>
                <w:sz w:val="20"/>
              </w:rPr>
              <w:t>CNQ</w:t>
            </w:r>
          </w:p>
        </w:tc>
        <w:tc>
          <w:tcPr>
            <w:tcW w:type="dxa" w:w="1215"/>
            <w:vAlign w:val="center"/>
          </w:tcPr>
          <w:p>
            <w:pPr>
              <w:jc w:val="center"/>
            </w:pPr>
            <w:r>
              <w:rPr>
                <w:rFonts w:ascii="Times New Roman" w:hAnsi="Times New Roman"/>
                <w:sz w:val="20"/>
              </w:rPr>
              <w:t>1,2597</w:t>
            </w:r>
          </w:p>
        </w:tc>
        <w:tc>
          <w:tcPr>
            <w:tcW w:type="dxa" w:w="1215"/>
            <w:vAlign w:val="center"/>
          </w:tcPr>
          <w:p>
            <w:pPr>
              <w:jc w:val="center"/>
            </w:pPr>
            <w:r>
              <w:rPr>
                <w:rFonts w:ascii="Times New Roman" w:hAnsi="Times New Roman"/>
                <w:sz w:val="20"/>
              </w:rPr>
              <w:t>38,6</w:t>
            </w:r>
          </w:p>
        </w:tc>
        <w:tc>
          <w:tcPr>
            <w:tcW w:type="dxa" w:w="1215"/>
            <w:vAlign w:val="center"/>
          </w:tcPr>
          <w:p>
            <w:pPr>
              <w:jc w:val="center"/>
            </w:pPr>
            <w:r>
              <w:rPr>
                <w:rFonts w:ascii="Times New Roman" w:hAnsi="Times New Roman"/>
                <w:sz w:val="20"/>
              </w:rPr>
              <w:t>48,7</w:t>
            </w:r>
          </w:p>
        </w:tc>
        <w:tc>
          <w:tcPr>
            <w:tcW w:type="dxa" w:w="1215"/>
            <w:vAlign w:val="center"/>
          </w:tcPr>
          <w:p>
            <w:pPr>
              <w:jc w:val="center"/>
            </w:pPr>
            <w:r>
              <w:rPr>
                <w:rFonts w:ascii="Times New Roman" w:hAnsi="Times New Roman"/>
                <w:sz w:val="20"/>
              </w:rPr>
              <w:t>+26,0%</w:t>
            </w:r>
          </w:p>
        </w:tc>
        <w:tc>
          <w:tcPr>
            <w:tcW w:type="dxa" w:w="1215"/>
            <w:vAlign w:val="center"/>
          </w:tcPr>
          <w:p>
            <w:pPr>
              <w:jc w:val="center"/>
            </w:pPr>
            <w:r>
              <w:rPr>
                <w:rFonts w:ascii="Times New Roman" w:hAnsi="Times New Roman"/>
                <w:sz w:val="20"/>
              </w:rPr>
              <w:t>14,8</w:t>
            </w:r>
          </w:p>
        </w:tc>
        <w:tc>
          <w:tcPr>
            <w:tcW w:type="dxa" w:w="1215"/>
            <w:vAlign w:val="center"/>
          </w:tcPr>
          <w:p>
            <w:pPr>
              <w:jc w:val="center"/>
            </w:pPr>
            <w:r>
              <w:rPr>
                <w:rFonts w:ascii="Times New Roman" w:hAnsi="Times New Roman"/>
                <w:sz w:val="20"/>
              </w:rPr>
              <w:t>18,6</w:t>
            </w:r>
          </w:p>
        </w:tc>
        <w:tc>
          <w:tcPr>
            <w:tcW w:type="dxa" w:w="1215"/>
            <w:vAlign w:val="center"/>
          </w:tcPr>
          <w:p>
            <w:pPr>
              <w:jc w:val="center"/>
            </w:pPr>
            <w:r>
              <w:rPr>
                <w:rFonts w:ascii="Times New Roman" w:hAnsi="Times New Roman"/>
                <w:sz w:val="20"/>
              </w:rPr>
              <w:t>+26,0%</w:t>
            </w:r>
          </w:p>
        </w:tc>
      </w:tr>
      <w:tr>
        <w:tc>
          <w:tcPr>
            <w:tcW w:type="dxa" w:w="1215"/>
            <w:vAlign w:val="center"/>
          </w:tcPr>
          <w:p>
            <w:pPr>
              <w:jc w:val="center"/>
            </w:pPr>
            <w:r>
              <w:rPr>
                <w:rFonts w:ascii="Times New Roman" w:hAnsi="Times New Roman"/>
                <w:sz w:val="20"/>
              </w:rPr>
              <w:t>E (Eni)</w:t>
            </w:r>
          </w:p>
        </w:tc>
        <w:tc>
          <w:tcPr>
            <w:tcW w:type="dxa" w:w="1215"/>
            <w:vAlign w:val="center"/>
          </w:tcPr>
          <w:p>
            <w:pPr>
              <w:jc w:val="center"/>
            </w:pPr>
            <w:r>
              <w:rPr>
                <w:rFonts w:ascii="Times New Roman" w:hAnsi="Times New Roman"/>
                <w:sz w:val="20"/>
              </w:rPr>
              <w:t>1,1942</w:t>
            </w:r>
          </w:p>
        </w:tc>
        <w:tc>
          <w:tcPr>
            <w:tcW w:type="dxa" w:w="1215"/>
            <w:vAlign w:val="center"/>
          </w:tcPr>
          <w:p>
            <w:pPr>
              <w:jc w:val="center"/>
            </w:pPr>
            <w:r>
              <w:rPr>
                <w:rFonts w:ascii="Times New Roman" w:hAnsi="Times New Roman"/>
                <w:sz w:val="20"/>
              </w:rPr>
              <w:t>84,5</w:t>
            </w:r>
          </w:p>
        </w:tc>
        <w:tc>
          <w:tcPr>
            <w:tcW w:type="dxa" w:w="1215"/>
            <w:vAlign w:val="center"/>
          </w:tcPr>
          <w:p>
            <w:pPr>
              <w:jc w:val="center"/>
            </w:pPr>
            <w:r>
              <w:rPr>
                <w:rFonts w:ascii="Times New Roman" w:hAnsi="Times New Roman"/>
                <w:sz w:val="20"/>
              </w:rPr>
              <w:t>101,0</w:t>
            </w:r>
          </w:p>
        </w:tc>
        <w:tc>
          <w:tcPr>
            <w:tcW w:type="dxa" w:w="1215"/>
            <w:vAlign w:val="center"/>
          </w:tcPr>
          <w:p>
            <w:pPr>
              <w:jc w:val="center"/>
            </w:pPr>
            <w:r>
              <w:rPr>
                <w:rFonts w:ascii="Times New Roman" w:hAnsi="Times New Roman"/>
                <w:sz w:val="20"/>
              </w:rPr>
              <w:t>+19,4%</w:t>
            </w:r>
          </w:p>
        </w:tc>
        <w:tc>
          <w:tcPr>
            <w:tcW w:type="dxa" w:w="1215"/>
            <w:vAlign w:val="center"/>
          </w:tcPr>
          <w:p>
            <w:pPr>
              <w:jc w:val="center"/>
            </w:pPr>
            <w:r>
              <w:rPr>
                <w:rFonts w:ascii="Times New Roman" w:hAnsi="Times New Roman"/>
                <w:sz w:val="20"/>
              </w:rPr>
              <w:t>12,0</w:t>
            </w:r>
          </w:p>
        </w:tc>
        <w:tc>
          <w:tcPr>
            <w:tcW w:type="dxa" w:w="1215"/>
            <w:vAlign w:val="center"/>
          </w:tcPr>
          <w:p>
            <w:pPr>
              <w:jc w:val="center"/>
            </w:pPr>
            <w:r>
              <w:rPr>
                <w:rFonts w:ascii="Times New Roman" w:hAnsi="Times New Roman"/>
                <w:sz w:val="20"/>
              </w:rPr>
              <w:t>14,3</w:t>
            </w:r>
          </w:p>
        </w:tc>
        <w:tc>
          <w:tcPr>
            <w:tcW w:type="dxa" w:w="1215"/>
            <w:vAlign w:val="center"/>
          </w:tcPr>
          <w:p>
            <w:pPr>
              <w:jc w:val="center"/>
            </w:pPr>
            <w:r>
              <w:rPr>
                <w:rFonts w:ascii="Times New Roman" w:hAnsi="Times New Roman"/>
                <w:sz w:val="20"/>
              </w:rPr>
              <w:t>+19,4%</w:t>
            </w:r>
          </w:p>
        </w:tc>
      </w:tr>
      <w:tr>
        <w:tc>
          <w:tcPr>
            <w:tcW w:type="dxa" w:w="1215"/>
            <w:vAlign w:val="center"/>
          </w:tcPr>
          <w:p>
            <w:pPr>
              <w:jc w:val="center"/>
            </w:pPr>
            <w:r>
              <w:rPr>
                <w:rFonts w:ascii="Times New Roman" w:hAnsi="Times New Roman"/>
                <w:sz w:val="20"/>
              </w:rPr>
              <w:t>CVX</w:t>
            </w:r>
          </w:p>
        </w:tc>
        <w:tc>
          <w:tcPr>
            <w:tcW w:type="dxa" w:w="1215"/>
            <w:vAlign w:val="center"/>
          </w:tcPr>
          <w:p>
            <w:pPr>
              <w:jc w:val="center"/>
            </w:pPr>
            <w:r>
              <w:rPr>
                <w:rFonts w:ascii="Times New Roman" w:hAnsi="Times New Roman"/>
                <w:sz w:val="20"/>
              </w:rPr>
              <w:t>1,1849</w:t>
            </w:r>
          </w:p>
        </w:tc>
        <w:tc>
          <w:tcPr>
            <w:tcW w:type="dxa" w:w="1215"/>
            <w:vAlign w:val="center"/>
          </w:tcPr>
          <w:p>
            <w:pPr>
              <w:jc w:val="center"/>
            </w:pPr>
            <w:r>
              <w:rPr>
                <w:rFonts w:ascii="Times New Roman" w:hAnsi="Times New Roman"/>
                <w:sz w:val="20"/>
              </w:rPr>
              <w:t>186,0</w:t>
            </w:r>
          </w:p>
        </w:tc>
        <w:tc>
          <w:tcPr>
            <w:tcW w:type="dxa" w:w="1215"/>
            <w:vAlign w:val="center"/>
          </w:tcPr>
          <w:p>
            <w:pPr>
              <w:jc w:val="center"/>
            </w:pPr>
            <w:r>
              <w:rPr>
                <w:rFonts w:ascii="Times New Roman" w:hAnsi="Times New Roman"/>
                <w:sz w:val="20"/>
              </w:rPr>
              <w:t>220,4</w:t>
            </w:r>
          </w:p>
        </w:tc>
        <w:tc>
          <w:tcPr>
            <w:tcW w:type="dxa" w:w="1215"/>
            <w:vAlign w:val="center"/>
          </w:tcPr>
          <w:p>
            <w:pPr>
              <w:jc w:val="center"/>
            </w:pPr>
            <w:r>
              <w:rPr>
                <w:rFonts w:ascii="Times New Roman" w:hAnsi="Times New Roman"/>
                <w:sz w:val="20"/>
              </w:rPr>
              <w:t>+18,5%</w:t>
            </w:r>
          </w:p>
        </w:tc>
        <w:tc>
          <w:tcPr>
            <w:tcW w:type="dxa" w:w="1215"/>
            <w:vAlign w:val="center"/>
          </w:tcPr>
          <w:p>
            <w:pPr>
              <w:jc w:val="center"/>
            </w:pPr>
            <w:r>
              <w:rPr>
                <w:rFonts w:ascii="Times New Roman" w:hAnsi="Times New Roman"/>
                <w:sz w:val="20"/>
              </w:rPr>
              <w:t>37,9</w:t>
            </w:r>
          </w:p>
        </w:tc>
        <w:tc>
          <w:tcPr>
            <w:tcW w:type="dxa" w:w="1215"/>
            <w:vAlign w:val="center"/>
          </w:tcPr>
          <w:p>
            <w:pPr>
              <w:jc w:val="center"/>
            </w:pPr>
            <w:r>
              <w:rPr>
                <w:rFonts w:ascii="Times New Roman" w:hAnsi="Times New Roman"/>
                <w:sz w:val="20"/>
              </w:rPr>
              <w:t>44,9</w:t>
            </w:r>
          </w:p>
        </w:tc>
        <w:tc>
          <w:tcPr>
            <w:tcW w:type="dxa" w:w="1215"/>
            <w:vAlign w:val="center"/>
          </w:tcPr>
          <w:p>
            <w:pPr>
              <w:jc w:val="center"/>
            </w:pPr>
            <w:r>
              <w:rPr>
                <w:rFonts w:ascii="Times New Roman" w:hAnsi="Times New Roman"/>
                <w:sz w:val="20"/>
              </w:rPr>
              <w:t>+18,5%</w:t>
            </w:r>
          </w:p>
        </w:tc>
      </w:tr>
    </w:tbl>
    <w:p/>
    <w:p>
      <w:pPr>
        <w:spacing w:before="40" w:after="200"/>
        <w:jc w:val="center"/>
      </w:pPr>
      <w:r>
        <w:rPr>
          <w:rFonts w:ascii="Times New Roman" w:hAnsi="Times New Roman"/>
          <w:b/>
          <w:i w:val="0"/>
          <w:sz w:val="20"/>
        </w:rPr>
        <w:t xml:space="preserve">Tabela 6. </w:t>
      </w:r>
      <w:r>
        <w:rPr>
          <w:rFonts w:ascii="Times New Roman" w:hAnsi="Times New Roman"/>
          <w:b w:val="0"/>
          <w:i w:val="0"/>
          <w:sz w:val="20"/>
        </w:rPr>
        <w:t>Metas de melhoria para as três DMUs mais ineficientes no modelo CCR. Valores em bilhões de dólares americanos (USD bi).</w:t>
      </w:r>
    </w:p>
    <w:p>
      <w:pPr>
        <w:spacing w:before="120"/>
        <w:jc w:val="center"/>
      </w:pPr>
      <w:r>
        <w:drawing>
          <wp:inline xmlns:a="http://schemas.openxmlformats.org/drawingml/2006/main" xmlns:pic="http://schemas.openxmlformats.org/drawingml/2006/picture">
            <wp:extent cx="5040000" cy="1791676"/>
            <wp:docPr id="7" name="Picture 7"/>
            <wp:cNvGraphicFramePr>
              <a:graphicFrameLocks noChangeAspect="1"/>
            </wp:cNvGraphicFramePr>
            <a:graphic>
              <a:graphicData uri="http://schemas.openxmlformats.org/drawingml/2006/picture">
                <pic:pic>
                  <pic:nvPicPr>
                    <pic:cNvPr id="0" name="improvement_targets.png"/>
                    <pic:cNvPicPr/>
                  </pic:nvPicPr>
                  <pic:blipFill>
                    <a:blip r:embed="rId15"/>
                    <a:stretch>
                      <a:fillRect/>
                    </a:stretch>
                  </pic:blipFill>
                  <pic:spPr>
                    <a:xfrm>
                      <a:off x="0" y="0"/>
                      <a:ext cx="5040000" cy="1791676"/>
                    </a:xfrm>
                    <a:prstGeom prst="rect"/>
                  </pic:spPr>
                </pic:pic>
              </a:graphicData>
            </a:graphic>
          </wp:inline>
        </w:drawing>
      </w:r>
    </w:p>
    <w:p>
      <w:pPr>
        <w:spacing w:before="40" w:after="200"/>
        <w:jc w:val="center"/>
      </w:pPr>
      <w:r>
        <w:rPr>
          <w:rFonts w:ascii="Times New Roman" w:hAnsi="Times New Roman"/>
          <w:b/>
          <w:i w:val="0"/>
          <w:sz w:val="20"/>
        </w:rPr>
        <w:t xml:space="preserve">Figura 7. </w:t>
      </w:r>
      <w:r>
        <w:rPr>
          <w:rFonts w:ascii="Times New Roman" w:hAnsi="Times New Roman"/>
          <w:b w:val="0"/>
          <w:i w:val="0"/>
          <w:sz w:val="20"/>
        </w:rPr>
        <w:t>Comparação entre outputs atuais e metas de melhoria para as três DMUs mais ineficientes (CNQ, Eni e Chevron), com orientação a output.</w:t>
      </w:r>
    </w:p>
    <w:p>
      <w:pPr>
        <w:spacing w:before="0" w:after="120"/>
        <w:ind w:firstLine="709"/>
        <w:jc w:val="both"/>
      </w:pPr>
      <w:r>
        <w:rPr>
          <w:rFonts w:ascii="Times New Roman" w:hAnsi="Times New Roman"/>
          <w:b w:val="0"/>
          <w:i w:val="0"/>
          <w:sz w:val="24"/>
        </w:rPr>
        <w:t>A Canadian Natural Resources (CNQ), com θ = 1,2597, é a empresa mais ineficiente da amostra. Sua principal fonte de ineficiência é estrutural: a empresa opera majoritariamente com extração de oil sands, cuja curva de custo por barril é significativamente superior à do petróleo convencional explorado por seus benchmarks (EQNR e DVN). A Eni (E), com θ = 1,1942, apresenta base de ativos e de funcionários elevada em relação ao nível de receita gerado. A Chevron (CVX), com θ = 1,1849, não extrai o máximo de receita e EBITDA de sua base de ativos, possivelmente em razão de estratégia conservadora de alocação de capital e maior diversificação geográfica.</w:t>
      </w:r>
    </w:p>
    <w:p>
      <w:pPr>
        <w:spacing w:before="120" w:after="0"/>
        <w:ind w:firstLine="709"/>
        <w:jc w:val="both"/>
      </w:pPr>
      <w:r>
        <w:rPr>
          <w:rFonts w:ascii="Times New Roman" w:hAnsi="Times New Roman"/>
          <w:b/>
          <w:i w:val="0"/>
          <w:sz w:val="24"/>
        </w:rPr>
        <w:t xml:space="preserve">Eficiência de Escala. </w:t>
      </w:r>
      <w:r>
        <w:rPr>
          <w:rFonts w:ascii="Times New Roman" w:hAnsi="Times New Roman"/>
          <w:b w:val="0"/>
          <w:i w:val="0"/>
          <w:sz w:val="24"/>
        </w:rPr>
        <w:t>A eficiência de escala de cada DMU é apresentada na Tabela 7. Todas as DMUs apresentaram classificação CRS, com eficiências de escala muito próximas de 1,0 para a maioria das empresas.</w:t>
      </w:r>
    </w:p>
    <w:tbl>
      <w:tblPr>
        <w:tblStyle w:val="TableGrid"/>
        <w:tblW w:type="auto" w:w="0"/>
        <w:jc w:val="center"/>
        <w:tblLook w:firstColumn="1" w:firstRow="1" w:lastColumn="0" w:lastRow="0" w:noHBand="0" w:noVBand="1" w:val="04A0"/>
      </w:tblPr>
      <w:tblGrid>
        <w:gridCol w:w="1944"/>
        <w:gridCol w:w="1944"/>
        <w:gridCol w:w="1944"/>
        <w:gridCol w:w="1944"/>
        <w:gridCol w:w="1944"/>
      </w:tblGrid>
      <w:tr>
        <w:tc>
          <w:tcPr>
            <w:tcW w:type="dxa" w:w="1944"/>
            <w:vAlign w:val="center"/>
          </w:tcPr>
          <w:p>
            <w:pPr>
              <w:jc w:val="center"/>
            </w:pPr>
            <w:r>
              <w:rPr>
                <w:rFonts w:ascii="Times New Roman" w:hAnsi="Times New Roman"/>
                <w:b/>
                <w:sz w:val="20"/>
              </w:rPr>
              <w:t>DMU</w:t>
            </w:r>
          </w:p>
        </w:tc>
        <w:tc>
          <w:tcPr>
            <w:tcW w:type="dxa" w:w="1944"/>
            <w:vAlign w:val="center"/>
          </w:tcPr>
          <w:p>
            <w:pPr>
              <w:jc w:val="center"/>
            </w:pPr>
            <w:r>
              <w:rPr>
                <w:rFonts w:ascii="Times New Roman" w:hAnsi="Times New Roman"/>
                <w:b/>
                <w:sz w:val="20"/>
              </w:rPr>
              <w:t>Score CCR</w:t>
            </w:r>
          </w:p>
        </w:tc>
        <w:tc>
          <w:tcPr>
            <w:tcW w:type="dxa" w:w="1944"/>
            <w:vAlign w:val="center"/>
          </w:tcPr>
          <w:p>
            <w:pPr>
              <w:jc w:val="center"/>
            </w:pPr>
            <w:r>
              <w:rPr>
                <w:rFonts w:ascii="Times New Roman" w:hAnsi="Times New Roman"/>
                <w:b/>
                <w:sz w:val="20"/>
              </w:rPr>
              <w:t>Score BCC</w:t>
            </w:r>
          </w:p>
        </w:tc>
        <w:tc>
          <w:tcPr>
            <w:tcW w:type="dxa" w:w="1944"/>
            <w:vAlign w:val="center"/>
          </w:tcPr>
          <w:p>
            <w:pPr>
              <w:jc w:val="center"/>
            </w:pPr>
            <w:r>
              <w:rPr>
                <w:rFonts w:ascii="Times New Roman" w:hAnsi="Times New Roman"/>
                <w:b/>
                <w:sz w:val="20"/>
              </w:rPr>
              <w:t>Ef. Escala</w:t>
            </w:r>
          </w:p>
        </w:tc>
        <w:tc>
          <w:tcPr>
            <w:tcW w:type="dxa" w:w="1944"/>
            <w:vAlign w:val="center"/>
          </w:tcPr>
          <w:p>
            <w:pPr>
              <w:jc w:val="center"/>
            </w:pPr>
            <w:r>
              <w:rPr>
                <w:rFonts w:ascii="Times New Roman" w:hAnsi="Times New Roman"/>
                <w:b/>
                <w:sz w:val="20"/>
              </w:rPr>
              <w:t>Retorno de Escala</w:t>
            </w:r>
          </w:p>
        </w:tc>
      </w:tr>
      <w:tr>
        <w:tc>
          <w:tcPr>
            <w:tcW w:type="dxa" w:w="1944"/>
            <w:vAlign w:val="center"/>
          </w:tcPr>
          <w:p>
            <w:pPr>
              <w:jc w:val="center"/>
            </w:pPr>
            <w:r>
              <w:rPr>
                <w:rFonts w:ascii="Times New Roman" w:hAnsi="Times New Roman"/>
                <w:sz w:val="20"/>
              </w:rPr>
              <w:t>XOM</w:t>
            </w:r>
          </w:p>
        </w:tc>
        <w:tc>
          <w:tcPr>
            <w:tcW w:type="dxa" w:w="1944"/>
            <w:vAlign w:val="center"/>
          </w:tcPr>
          <w:p>
            <w:pPr>
              <w:jc w:val="center"/>
            </w:pPr>
            <w:r>
              <w:rPr>
                <w:rFonts w:ascii="Times New Roman" w:hAnsi="Times New Roman"/>
                <w:sz w:val="20"/>
              </w:rPr>
              <w:t>1,1023</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1,1023</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CVX</w:t>
            </w:r>
          </w:p>
        </w:tc>
        <w:tc>
          <w:tcPr>
            <w:tcW w:type="dxa" w:w="1944"/>
            <w:vAlign w:val="center"/>
          </w:tcPr>
          <w:p>
            <w:pPr>
              <w:jc w:val="center"/>
            </w:pPr>
            <w:r>
              <w:rPr>
                <w:rFonts w:ascii="Times New Roman" w:hAnsi="Times New Roman"/>
                <w:sz w:val="20"/>
              </w:rPr>
              <w:t>1,1849</w:t>
            </w:r>
          </w:p>
        </w:tc>
        <w:tc>
          <w:tcPr>
            <w:tcW w:type="dxa" w:w="1944"/>
            <w:vAlign w:val="center"/>
          </w:tcPr>
          <w:p>
            <w:pPr>
              <w:jc w:val="center"/>
            </w:pPr>
            <w:r>
              <w:rPr>
                <w:rFonts w:ascii="Times New Roman" w:hAnsi="Times New Roman"/>
                <w:sz w:val="20"/>
              </w:rPr>
              <w:t>1,1281</w:t>
            </w:r>
          </w:p>
        </w:tc>
        <w:tc>
          <w:tcPr>
            <w:tcW w:type="dxa" w:w="1944"/>
            <w:vAlign w:val="center"/>
          </w:tcPr>
          <w:p>
            <w:pPr>
              <w:jc w:val="center"/>
            </w:pPr>
            <w:r>
              <w:rPr>
                <w:rFonts w:ascii="Times New Roman" w:hAnsi="Times New Roman"/>
                <w:sz w:val="20"/>
              </w:rPr>
              <w:t>1,0504</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SHEL</w:t>
            </w:r>
          </w:p>
        </w:tc>
        <w:tc>
          <w:tcPr>
            <w:tcW w:type="dxa" w:w="1944"/>
            <w:vAlign w:val="center"/>
          </w:tcPr>
          <w:p>
            <w:pPr>
              <w:jc w:val="center"/>
            </w:pPr>
            <w:r>
              <w:rPr>
                <w:rFonts w:ascii="Times New Roman" w:hAnsi="Times New Roman"/>
                <w:sz w:val="20"/>
              </w:rPr>
              <w:t>1,1356</w:t>
            </w:r>
          </w:p>
        </w:tc>
        <w:tc>
          <w:tcPr>
            <w:tcW w:type="dxa" w:w="1944"/>
            <w:vAlign w:val="center"/>
          </w:tcPr>
          <w:p>
            <w:pPr>
              <w:jc w:val="center"/>
            </w:pPr>
            <w:r>
              <w:rPr>
                <w:rFonts w:ascii="Times New Roman" w:hAnsi="Times New Roman"/>
                <w:sz w:val="20"/>
              </w:rPr>
              <w:t>1,0188</w:t>
            </w:r>
          </w:p>
        </w:tc>
        <w:tc>
          <w:tcPr>
            <w:tcW w:type="dxa" w:w="1944"/>
            <w:vAlign w:val="center"/>
          </w:tcPr>
          <w:p>
            <w:pPr>
              <w:jc w:val="center"/>
            </w:pPr>
            <w:r>
              <w:rPr>
                <w:rFonts w:ascii="Times New Roman" w:hAnsi="Times New Roman"/>
                <w:sz w:val="20"/>
              </w:rPr>
              <w:t>1,1146</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BP</w:t>
            </w:r>
          </w:p>
        </w:tc>
        <w:tc>
          <w:tcPr>
            <w:tcW w:type="dxa" w:w="1944"/>
            <w:vAlign w:val="center"/>
          </w:tcPr>
          <w:p>
            <w:pPr>
              <w:jc w:val="center"/>
            </w:pPr>
            <w:r>
              <w:rPr>
                <w:rFonts w:ascii="Times New Roman" w:hAnsi="Times New Roman"/>
                <w:sz w:val="20"/>
              </w:rPr>
              <w:t>1,1522</w:t>
            </w:r>
          </w:p>
        </w:tc>
        <w:tc>
          <w:tcPr>
            <w:tcW w:type="dxa" w:w="1944"/>
            <w:vAlign w:val="center"/>
          </w:tcPr>
          <w:p>
            <w:pPr>
              <w:jc w:val="center"/>
            </w:pPr>
            <w:r>
              <w:rPr>
                <w:rFonts w:ascii="Times New Roman" w:hAnsi="Times New Roman"/>
                <w:sz w:val="20"/>
              </w:rPr>
              <w:t>1,0686</w:t>
            </w:r>
          </w:p>
        </w:tc>
        <w:tc>
          <w:tcPr>
            <w:tcW w:type="dxa" w:w="1944"/>
            <w:vAlign w:val="center"/>
          </w:tcPr>
          <w:p>
            <w:pPr>
              <w:jc w:val="center"/>
            </w:pPr>
            <w:r>
              <w:rPr>
                <w:rFonts w:ascii="Times New Roman" w:hAnsi="Times New Roman"/>
                <w:sz w:val="20"/>
              </w:rPr>
              <w:t>1,0782</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TTE</w:t>
            </w:r>
          </w:p>
        </w:tc>
        <w:tc>
          <w:tcPr>
            <w:tcW w:type="dxa" w:w="1944"/>
            <w:vAlign w:val="center"/>
          </w:tcPr>
          <w:p>
            <w:pPr>
              <w:jc w:val="center"/>
            </w:pPr>
            <w:r>
              <w:rPr>
                <w:rFonts w:ascii="Times New Roman" w:hAnsi="Times New Roman"/>
                <w:sz w:val="20"/>
              </w:rPr>
              <w:t>1,1495</w:t>
            </w:r>
          </w:p>
        </w:tc>
        <w:tc>
          <w:tcPr>
            <w:tcW w:type="dxa" w:w="1944"/>
            <w:vAlign w:val="center"/>
          </w:tcPr>
          <w:p>
            <w:pPr>
              <w:jc w:val="center"/>
            </w:pPr>
            <w:r>
              <w:rPr>
                <w:rFonts w:ascii="Times New Roman" w:hAnsi="Times New Roman"/>
                <w:sz w:val="20"/>
              </w:rPr>
              <w:t>1,0854</w:t>
            </w:r>
          </w:p>
        </w:tc>
        <w:tc>
          <w:tcPr>
            <w:tcW w:type="dxa" w:w="1944"/>
            <w:vAlign w:val="center"/>
          </w:tcPr>
          <w:p>
            <w:pPr>
              <w:jc w:val="center"/>
            </w:pPr>
            <w:r>
              <w:rPr>
                <w:rFonts w:ascii="Times New Roman" w:hAnsi="Times New Roman"/>
                <w:sz w:val="20"/>
              </w:rPr>
              <w:t>1,0591</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COP</w:t>
            </w:r>
          </w:p>
        </w:tc>
        <w:tc>
          <w:tcPr>
            <w:tcW w:type="dxa" w:w="1944"/>
            <w:vAlign w:val="center"/>
          </w:tcPr>
          <w:p>
            <w:pPr>
              <w:jc w:val="center"/>
            </w:pPr>
            <w:r>
              <w:rPr>
                <w:rFonts w:ascii="Times New Roman" w:hAnsi="Times New Roman"/>
                <w:sz w:val="20"/>
              </w:rPr>
              <w:t>1,0587</w:t>
            </w:r>
          </w:p>
        </w:tc>
        <w:tc>
          <w:tcPr>
            <w:tcW w:type="dxa" w:w="1944"/>
            <w:vAlign w:val="center"/>
          </w:tcPr>
          <w:p>
            <w:pPr>
              <w:jc w:val="center"/>
            </w:pPr>
            <w:r>
              <w:rPr>
                <w:rFonts w:ascii="Times New Roman" w:hAnsi="Times New Roman"/>
                <w:sz w:val="20"/>
              </w:rPr>
              <w:t>1,0585</w:t>
            </w:r>
          </w:p>
        </w:tc>
        <w:tc>
          <w:tcPr>
            <w:tcW w:type="dxa" w:w="1944"/>
            <w:vAlign w:val="center"/>
          </w:tcPr>
          <w:p>
            <w:pPr>
              <w:jc w:val="center"/>
            </w:pPr>
            <w:r>
              <w:rPr>
                <w:rFonts w:ascii="Times New Roman" w:hAnsi="Times New Roman"/>
                <w:sz w:val="20"/>
              </w:rPr>
              <w:t>1,0002</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PBR</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EQNR</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E</w:t>
            </w:r>
          </w:p>
        </w:tc>
        <w:tc>
          <w:tcPr>
            <w:tcW w:type="dxa" w:w="1944"/>
            <w:vAlign w:val="center"/>
          </w:tcPr>
          <w:p>
            <w:pPr>
              <w:jc w:val="center"/>
            </w:pPr>
            <w:r>
              <w:rPr>
                <w:rFonts w:ascii="Times New Roman" w:hAnsi="Times New Roman"/>
                <w:sz w:val="20"/>
              </w:rPr>
              <w:t>1,1942</w:t>
            </w:r>
          </w:p>
        </w:tc>
        <w:tc>
          <w:tcPr>
            <w:tcW w:type="dxa" w:w="1944"/>
            <w:vAlign w:val="center"/>
          </w:tcPr>
          <w:p>
            <w:pPr>
              <w:jc w:val="center"/>
            </w:pPr>
            <w:r>
              <w:rPr>
                <w:rFonts w:ascii="Times New Roman" w:hAnsi="Times New Roman"/>
                <w:sz w:val="20"/>
              </w:rPr>
              <w:t>1,1937</w:t>
            </w:r>
          </w:p>
        </w:tc>
        <w:tc>
          <w:tcPr>
            <w:tcW w:type="dxa" w:w="1944"/>
            <w:vAlign w:val="center"/>
          </w:tcPr>
          <w:p>
            <w:pPr>
              <w:jc w:val="center"/>
            </w:pPr>
            <w:r>
              <w:rPr>
                <w:rFonts w:ascii="Times New Roman" w:hAnsi="Times New Roman"/>
                <w:sz w:val="20"/>
              </w:rPr>
              <w:t>1,0004</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OXY</w:t>
            </w:r>
          </w:p>
        </w:tc>
        <w:tc>
          <w:tcPr>
            <w:tcW w:type="dxa" w:w="1944"/>
            <w:vAlign w:val="center"/>
          </w:tcPr>
          <w:p>
            <w:pPr>
              <w:jc w:val="center"/>
            </w:pPr>
            <w:r>
              <w:rPr>
                <w:rFonts w:ascii="Times New Roman" w:hAnsi="Times New Roman"/>
                <w:sz w:val="20"/>
              </w:rPr>
              <w:t>1,1281</w:t>
            </w:r>
          </w:p>
        </w:tc>
        <w:tc>
          <w:tcPr>
            <w:tcW w:type="dxa" w:w="1944"/>
            <w:vAlign w:val="center"/>
          </w:tcPr>
          <w:p>
            <w:pPr>
              <w:jc w:val="center"/>
            </w:pPr>
            <w:r>
              <w:rPr>
                <w:rFonts w:ascii="Times New Roman" w:hAnsi="Times New Roman"/>
                <w:sz w:val="20"/>
              </w:rPr>
              <w:t>1,1253</w:t>
            </w:r>
          </w:p>
        </w:tc>
        <w:tc>
          <w:tcPr>
            <w:tcW w:type="dxa" w:w="1944"/>
            <w:vAlign w:val="center"/>
          </w:tcPr>
          <w:p>
            <w:pPr>
              <w:jc w:val="center"/>
            </w:pPr>
            <w:r>
              <w:rPr>
                <w:rFonts w:ascii="Times New Roman" w:hAnsi="Times New Roman"/>
                <w:sz w:val="20"/>
              </w:rPr>
              <w:t>1,0025</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DVN</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VLO</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PSX</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MPC</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SLB</w:t>
            </w:r>
          </w:p>
        </w:tc>
        <w:tc>
          <w:tcPr>
            <w:tcW w:type="dxa" w:w="1944"/>
            <w:vAlign w:val="center"/>
          </w:tcPr>
          <w:p>
            <w:pPr>
              <w:jc w:val="center"/>
            </w:pPr>
            <w:r>
              <w:rPr>
                <w:rFonts w:ascii="Times New Roman" w:hAnsi="Times New Roman"/>
                <w:sz w:val="20"/>
              </w:rPr>
              <w:t>1,0976</w:t>
            </w:r>
          </w:p>
        </w:tc>
        <w:tc>
          <w:tcPr>
            <w:tcW w:type="dxa" w:w="1944"/>
            <w:vAlign w:val="center"/>
          </w:tcPr>
          <w:p>
            <w:pPr>
              <w:jc w:val="center"/>
            </w:pPr>
            <w:r>
              <w:rPr>
                <w:rFonts w:ascii="Times New Roman" w:hAnsi="Times New Roman"/>
                <w:sz w:val="20"/>
              </w:rPr>
              <w:t>1,0889</w:t>
            </w:r>
          </w:p>
        </w:tc>
        <w:tc>
          <w:tcPr>
            <w:tcW w:type="dxa" w:w="1944"/>
            <w:vAlign w:val="center"/>
          </w:tcPr>
          <w:p>
            <w:pPr>
              <w:jc w:val="center"/>
            </w:pPr>
            <w:r>
              <w:rPr>
                <w:rFonts w:ascii="Times New Roman" w:hAnsi="Times New Roman"/>
                <w:sz w:val="20"/>
              </w:rPr>
              <w:t>1,0080</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HAL</w:t>
            </w:r>
          </w:p>
        </w:tc>
        <w:tc>
          <w:tcPr>
            <w:tcW w:type="dxa" w:w="1944"/>
            <w:vAlign w:val="center"/>
          </w:tcPr>
          <w:p>
            <w:pPr>
              <w:jc w:val="center"/>
            </w:pPr>
            <w:r>
              <w:rPr>
                <w:rFonts w:ascii="Times New Roman" w:hAnsi="Times New Roman"/>
                <w:sz w:val="20"/>
              </w:rPr>
              <w:t>1,0504</w:t>
            </w:r>
          </w:p>
        </w:tc>
        <w:tc>
          <w:tcPr>
            <w:tcW w:type="dxa" w:w="1944"/>
            <w:vAlign w:val="center"/>
          </w:tcPr>
          <w:p>
            <w:pPr>
              <w:jc w:val="center"/>
            </w:pPr>
            <w:r>
              <w:rPr>
                <w:rFonts w:ascii="Times New Roman" w:hAnsi="Times New Roman"/>
                <w:sz w:val="20"/>
              </w:rPr>
              <w:t>1,0488</w:t>
            </w:r>
          </w:p>
        </w:tc>
        <w:tc>
          <w:tcPr>
            <w:tcW w:type="dxa" w:w="1944"/>
            <w:vAlign w:val="center"/>
          </w:tcPr>
          <w:p>
            <w:pPr>
              <w:jc w:val="center"/>
            </w:pPr>
            <w:r>
              <w:rPr>
                <w:rFonts w:ascii="Times New Roman" w:hAnsi="Times New Roman"/>
                <w:sz w:val="20"/>
              </w:rPr>
              <w:t>1,0015</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IMO</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CNQ</w:t>
            </w:r>
          </w:p>
        </w:tc>
        <w:tc>
          <w:tcPr>
            <w:tcW w:type="dxa" w:w="1944"/>
            <w:vAlign w:val="center"/>
          </w:tcPr>
          <w:p>
            <w:pPr>
              <w:jc w:val="center"/>
            </w:pPr>
            <w:r>
              <w:rPr>
                <w:rFonts w:ascii="Times New Roman" w:hAnsi="Times New Roman"/>
                <w:sz w:val="20"/>
              </w:rPr>
              <w:t>1,2597</w:t>
            </w:r>
          </w:p>
        </w:tc>
        <w:tc>
          <w:tcPr>
            <w:tcW w:type="dxa" w:w="1944"/>
            <w:vAlign w:val="center"/>
          </w:tcPr>
          <w:p>
            <w:pPr>
              <w:jc w:val="center"/>
            </w:pPr>
            <w:r>
              <w:rPr>
                <w:rFonts w:ascii="Times New Roman" w:hAnsi="Times New Roman"/>
                <w:sz w:val="20"/>
              </w:rPr>
              <w:t>1,2438</w:t>
            </w:r>
          </w:p>
        </w:tc>
        <w:tc>
          <w:tcPr>
            <w:tcW w:type="dxa" w:w="1944"/>
            <w:vAlign w:val="center"/>
          </w:tcPr>
          <w:p>
            <w:pPr>
              <w:jc w:val="center"/>
            </w:pPr>
            <w:r>
              <w:rPr>
                <w:rFonts w:ascii="Times New Roman" w:hAnsi="Times New Roman"/>
                <w:sz w:val="20"/>
              </w:rPr>
              <w:t>1,0128</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SU</w:t>
            </w:r>
          </w:p>
        </w:tc>
        <w:tc>
          <w:tcPr>
            <w:tcW w:type="dxa" w:w="1944"/>
            <w:vAlign w:val="center"/>
          </w:tcPr>
          <w:p>
            <w:pPr>
              <w:jc w:val="center"/>
            </w:pPr>
            <w:r>
              <w:rPr>
                <w:rFonts w:ascii="Times New Roman" w:hAnsi="Times New Roman"/>
                <w:sz w:val="20"/>
              </w:rPr>
              <w:t>1,1513</w:t>
            </w:r>
          </w:p>
        </w:tc>
        <w:tc>
          <w:tcPr>
            <w:tcW w:type="dxa" w:w="1944"/>
            <w:vAlign w:val="center"/>
          </w:tcPr>
          <w:p>
            <w:pPr>
              <w:jc w:val="center"/>
            </w:pPr>
            <w:r>
              <w:rPr>
                <w:rFonts w:ascii="Times New Roman" w:hAnsi="Times New Roman"/>
                <w:sz w:val="20"/>
              </w:rPr>
              <w:t>1,1336</w:t>
            </w:r>
          </w:p>
        </w:tc>
        <w:tc>
          <w:tcPr>
            <w:tcW w:type="dxa" w:w="1944"/>
            <w:vAlign w:val="center"/>
          </w:tcPr>
          <w:p>
            <w:pPr>
              <w:jc w:val="center"/>
            </w:pPr>
            <w:r>
              <w:rPr>
                <w:rFonts w:ascii="Times New Roman" w:hAnsi="Times New Roman"/>
                <w:sz w:val="20"/>
              </w:rPr>
              <w:t>1,0156</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BKR</w:t>
            </w:r>
          </w:p>
        </w:tc>
        <w:tc>
          <w:tcPr>
            <w:tcW w:type="dxa" w:w="1944"/>
            <w:vAlign w:val="center"/>
          </w:tcPr>
          <w:p>
            <w:pPr>
              <w:jc w:val="center"/>
            </w:pPr>
            <w:r>
              <w:rPr>
                <w:rFonts w:ascii="Times New Roman" w:hAnsi="Times New Roman"/>
                <w:sz w:val="20"/>
              </w:rPr>
              <w:t>1,1199</w:t>
            </w:r>
          </w:p>
        </w:tc>
        <w:tc>
          <w:tcPr>
            <w:tcW w:type="dxa" w:w="1944"/>
            <w:vAlign w:val="center"/>
          </w:tcPr>
          <w:p>
            <w:pPr>
              <w:jc w:val="center"/>
            </w:pPr>
            <w:r>
              <w:rPr>
                <w:rFonts w:ascii="Times New Roman" w:hAnsi="Times New Roman"/>
                <w:sz w:val="20"/>
              </w:rPr>
              <w:t>1,1077</w:t>
            </w:r>
          </w:p>
        </w:tc>
        <w:tc>
          <w:tcPr>
            <w:tcW w:type="dxa" w:w="1944"/>
            <w:vAlign w:val="center"/>
          </w:tcPr>
          <w:p>
            <w:pPr>
              <w:jc w:val="center"/>
            </w:pPr>
            <w:r>
              <w:rPr>
                <w:rFonts w:ascii="Times New Roman" w:hAnsi="Times New Roman"/>
                <w:sz w:val="20"/>
              </w:rPr>
              <w:t>1,0110</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FTI</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CRS</w:t>
            </w:r>
          </w:p>
        </w:tc>
      </w:tr>
      <w:tr>
        <w:tc>
          <w:tcPr>
            <w:tcW w:type="dxa" w:w="1944"/>
            <w:vAlign w:val="center"/>
          </w:tcPr>
          <w:p>
            <w:pPr>
              <w:jc w:val="center"/>
            </w:pPr>
            <w:r>
              <w:rPr>
                <w:rFonts w:ascii="Times New Roman" w:hAnsi="Times New Roman"/>
                <w:sz w:val="20"/>
              </w:rPr>
              <w:t>WMB</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1,0000</w:t>
            </w:r>
          </w:p>
        </w:tc>
        <w:tc>
          <w:tcPr>
            <w:tcW w:type="dxa" w:w="1944"/>
            <w:vAlign w:val="center"/>
          </w:tcPr>
          <w:p>
            <w:pPr>
              <w:jc w:val="center"/>
            </w:pPr>
            <w:r>
              <w:rPr>
                <w:rFonts w:ascii="Times New Roman" w:hAnsi="Times New Roman"/>
                <w:sz w:val="20"/>
              </w:rPr>
              <w:t>CRS</w:t>
            </w:r>
          </w:p>
        </w:tc>
      </w:tr>
    </w:tbl>
    <w:p/>
    <w:p>
      <w:pPr>
        <w:spacing w:before="40" w:after="200"/>
        <w:jc w:val="center"/>
      </w:pPr>
      <w:r>
        <w:rPr>
          <w:rFonts w:ascii="Times New Roman" w:hAnsi="Times New Roman"/>
          <w:b/>
          <w:i w:val="0"/>
          <w:sz w:val="20"/>
        </w:rPr>
        <w:t xml:space="preserve">Tabela 7. </w:t>
      </w:r>
      <w:r>
        <w:rPr>
          <w:rFonts w:ascii="Times New Roman" w:hAnsi="Times New Roman"/>
          <w:b w:val="0"/>
          <w:i w:val="0"/>
          <w:sz w:val="20"/>
        </w:rPr>
        <w:t>Eficiência de escala e tipo de retorno de escala para todas as DMUs.</w:t>
      </w:r>
    </w:p>
    <w:p>
      <w:pPr>
        <w:spacing w:before="0" w:after="120"/>
        <w:ind w:firstLine="709"/>
        <w:jc w:val="both"/>
      </w:pPr>
      <w:r>
        <w:rPr>
          <w:rFonts w:ascii="Times New Roman" w:hAnsi="Times New Roman"/>
          <w:b w:val="0"/>
          <w:i w:val="0"/>
          <w:sz w:val="24"/>
        </w:rPr>
        <w:t>O caso mais relevante é o da ExxonMobil (XOM), com SE = 1,1023 — a maior eficiência de escala da amostra. Seu score CCR de 1,1023 cai para 1,0000 no BCC, evidenciando que toda a ineficiência observada no modelo CCR é de natureza escalar, não operacional. A XOM opera de forma tecnicamente eficiente dado seu porte, mas sua escala de operação difere do ponto ótimo global identificado pelo modelo de retornos constantes.</w:t>
      </w:r>
    </w:p>
    <w:p>
      <w:r>
        <w:br w:type="page"/>
      </w:r>
    </w:p>
    <w:p>
      <w:pPr>
        <w:spacing w:before="240" w:after="120"/>
        <w:jc w:val="center"/>
      </w:pPr>
      <w:r>
        <w:rPr>
          <w:rFonts w:ascii="Times New Roman" w:hAnsi="Times New Roman"/>
          <w:b/>
          <w:i w:val="0"/>
          <w:sz w:val="24"/>
        </w:rPr>
        <w:t>CONCLUSÕES</w:t>
      </w:r>
    </w:p>
    <w:p>
      <w:pPr>
        <w:spacing w:before="0" w:after="120"/>
        <w:ind w:firstLine="709"/>
        <w:jc w:val="both"/>
      </w:pPr>
      <w:r>
        <w:rPr>
          <w:rFonts w:ascii="Times New Roman" w:hAnsi="Times New Roman"/>
          <w:b w:val="0"/>
          <w:i w:val="0"/>
          <w:sz w:val="24"/>
        </w:rPr>
        <w:t>O presente trabalho aplicou os modelos DEA-CCR e DEA-BCC, com orientação a output, para avaliar a eficiência relativa de 22 grandes empresas do setor de petróleo e gás. Os resultados permitiram identificar as melhores práticas setoriais, quantificar as ineficiências e propor metas concretas de melhoria de desempenho.</w:t>
      </w:r>
    </w:p>
    <w:p>
      <w:pPr>
        <w:spacing w:before="0" w:after="120"/>
        <w:ind w:firstLine="709"/>
        <w:jc w:val="both"/>
      </w:pPr>
      <w:r>
        <w:rPr>
          <w:rFonts w:ascii="Times New Roman" w:hAnsi="Times New Roman"/>
          <w:b w:val="0"/>
          <w:i w:val="0"/>
          <w:sz w:val="24"/>
        </w:rPr>
        <w:t>41% das DMUs (9/22) são eficientes no CCR e 45% (10/22) no BCC, com scores médios de 1,0811 e 1,0591 respectivamente, indicando ineficiências moderadas na maioria das empresas. A Equinor (EQNR) e a Petrobras (PBR) são os benchmarks dominantes — referências para 12 e 10 DMUs ineficientes, respectivamente — representando os padrões de melhor prática setorial. A Canadian Natural Resources (CNQ) é a empresa mais ineficiente (θ = 1,2597), com ineficiência majoritariamente estrutural associada ao modelo de negócio de oil sands. A ExxonMobil (XOM) apresenta o caso mais didático de ineficiência de escala: operacionalmente eficiente no BCC, mas com SE = 1,1023 no CCR. As grandes majors europeias — Shell, BP, TotalEnergies e Eni — apresentam-se como ineficientes em ambos os modelos, com scores entre 1,02 e 1,19.</w:t>
      </w:r>
    </w:p>
    <w:p>
      <w:pPr>
        <w:spacing w:before="0" w:after="120"/>
        <w:ind w:firstLine="709"/>
        <w:jc w:val="both"/>
      </w:pPr>
      <w:r>
        <w:rPr>
          <w:rFonts w:ascii="Times New Roman" w:hAnsi="Times New Roman"/>
          <w:b w:val="0"/>
          <w:i w:val="0"/>
          <w:sz w:val="24"/>
        </w:rPr>
        <w:t>Para trabalhos futuros, recomenda-se a realização de análise de janela temporal (window analysis) para capturar a evolução da eficiência ao longo dos ciclos de preço do petróleo, a inclusão de variáveis ambientais e de governança (ESG) como outputs indesejáveis, e a aplicação de modelos DEA com outputs indesejáveis (emissões de CO₂) para refletir as externalidades do setor.</w:t>
      </w:r>
    </w:p>
    <w:p>
      <w:pPr>
        <w:spacing w:before="240" w:after="120"/>
        <w:jc w:val="center"/>
      </w:pPr>
      <w:r>
        <w:rPr>
          <w:rFonts w:ascii="Times New Roman" w:hAnsi="Times New Roman"/>
          <w:b/>
          <w:i w:val="0"/>
          <w:sz w:val="24"/>
        </w:rPr>
        <w:t>REFERÊNCIAS BIBLIOGRÁFICAS</w:t>
      </w:r>
    </w:p>
    <w:p>
      <w:pPr>
        <w:spacing w:before="0" w:after="120"/>
        <w:ind w:left="709" w:hanging="709"/>
        <w:jc w:val="both"/>
      </w:pPr>
      <w:r>
        <w:rPr>
          <w:rFonts w:ascii="Times New Roman" w:hAnsi="Times New Roman"/>
          <w:b w:val="0"/>
          <w:i w:val="0"/>
          <w:sz w:val="24"/>
        </w:rPr>
        <w:t xml:space="preserve">BANKER, R. D.; CHARNES, A.; COOPER, W. W. </w:t>
      </w:r>
      <w:r>
        <w:rPr>
          <w:rFonts w:ascii="Times New Roman" w:hAnsi="Times New Roman"/>
          <w:b w:val="0"/>
          <w:i/>
          <w:sz w:val="24"/>
        </w:rPr>
        <w:t xml:space="preserve">Some models for estimating technical and scale inefficiencies in data envelopment analysis. </w:t>
      </w:r>
      <w:r>
        <w:rPr>
          <w:rFonts w:ascii="Times New Roman" w:hAnsi="Times New Roman"/>
          <w:b w:val="0"/>
          <w:i w:val="0"/>
          <w:sz w:val="24"/>
        </w:rPr>
        <w:t>Management Science</w:t>
      </w:r>
      <w:r>
        <w:rPr>
          <w:rFonts w:ascii="Times New Roman" w:hAnsi="Times New Roman"/>
          <w:b w:val="0"/>
          <w:i w:val="0"/>
          <w:sz w:val="24"/>
        </w:rPr>
        <w:t>, v. 30, n. 9, p. 1078–1092, 1984.</w:t>
      </w:r>
    </w:p>
    <w:p>
      <w:pPr>
        <w:spacing w:before="0" w:after="120"/>
        <w:ind w:left="709" w:hanging="709"/>
        <w:jc w:val="both"/>
      </w:pPr>
      <w:r>
        <w:rPr>
          <w:rFonts w:ascii="Times New Roman" w:hAnsi="Times New Roman"/>
          <w:b w:val="0"/>
          <w:i w:val="0"/>
          <w:sz w:val="24"/>
        </w:rPr>
        <w:t xml:space="preserve">CHARNES, A.; COOPER, W. W.; RHODES, E. </w:t>
      </w:r>
      <w:r>
        <w:rPr>
          <w:rFonts w:ascii="Times New Roman" w:hAnsi="Times New Roman"/>
          <w:b w:val="0"/>
          <w:i/>
          <w:sz w:val="24"/>
        </w:rPr>
        <w:t xml:space="preserve">Measuring the efficiency of decision making units. </w:t>
      </w:r>
      <w:r>
        <w:rPr>
          <w:rFonts w:ascii="Times New Roman" w:hAnsi="Times New Roman"/>
          <w:b w:val="0"/>
          <w:i w:val="0"/>
          <w:sz w:val="24"/>
        </w:rPr>
        <w:t>European Journal of Operational Research</w:t>
      </w:r>
      <w:r>
        <w:rPr>
          <w:rFonts w:ascii="Times New Roman" w:hAnsi="Times New Roman"/>
          <w:b w:val="0"/>
          <w:i w:val="0"/>
          <w:sz w:val="24"/>
        </w:rPr>
        <w:t>, v. 2, n. 6, p. 429–444, 1978.</w:t>
      </w:r>
    </w:p>
    <w:p>
      <w:pPr>
        <w:spacing w:before="0" w:after="120"/>
        <w:ind w:left="709" w:hanging="709"/>
        <w:jc w:val="both"/>
      </w:pPr>
      <w:r>
        <w:rPr>
          <w:rFonts w:ascii="Times New Roman" w:hAnsi="Times New Roman"/>
          <w:b w:val="0"/>
          <w:i w:val="0"/>
          <w:sz w:val="24"/>
        </w:rPr>
        <w:t xml:space="preserve">COOPER, W. W.; SEIFORD, L. M.; TONE, K. </w:t>
      </w:r>
      <w:r>
        <w:rPr>
          <w:rFonts w:ascii="Times New Roman" w:hAnsi="Times New Roman"/>
          <w:b w:val="0"/>
          <w:i/>
          <w:sz w:val="24"/>
        </w:rPr>
        <w:t>Data Envelopment Analysis: A Comprehensive Text with Models, Applications, References and DEA-Solver Software</w:t>
      </w:r>
      <w:r>
        <w:rPr>
          <w:rFonts w:ascii="Times New Roman" w:hAnsi="Times New Roman"/>
          <w:b w:val="0"/>
          <w:i w:val="0"/>
          <w:sz w:val="24"/>
        </w:rPr>
        <w:t>. 2. ed. New York: Springer, 2007.</w:t>
      </w:r>
      <w:r>
        <w:rPr>
          <w:rFonts w:ascii="Times New Roman" w:hAnsi="Times New Roman"/>
          <w:b w:val="0"/>
          <w:i w:val="0"/>
          <w:sz w:val="24"/>
        </w:rPr>
      </w:r>
    </w:p>
    <w:p>
      <w:pPr>
        <w:spacing w:before="0" w:after="120"/>
        <w:ind w:left="709" w:hanging="709"/>
        <w:jc w:val="both"/>
      </w:pPr>
      <w:r>
        <w:rPr>
          <w:rFonts w:ascii="Times New Roman" w:hAnsi="Times New Roman"/>
          <w:b w:val="0"/>
          <w:i w:val="0"/>
          <w:sz w:val="24"/>
        </w:rPr>
        <w:t xml:space="preserve">LINS, M. P. E.; MEZA, L. A. </w:t>
      </w:r>
      <w:r>
        <w:rPr>
          <w:rFonts w:ascii="Times New Roman" w:hAnsi="Times New Roman"/>
          <w:b w:val="0"/>
          <w:i/>
          <w:sz w:val="24"/>
        </w:rPr>
        <w:t>Análise Envoltória de Dados e Perspectivas de Integração no Ambiente de Apoio à Decisão</w:t>
      </w:r>
      <w:r>
        <w:rPr>
          <w:rFonts w:ascii="Times New Roman" w:hAnsi="Times New Roman"/>
          <w:b w:val="0"/>
          <w:i w:val="0"/>
          <w:sz w:val="24"/>
        </w:rPr>
        <w:t>. Rio de Janeiro: COPPE/UFRJ, 2000.</w:t>
      </w:r>
      <w:r>
        <w:rPr>
          <w:rFonts w:ascii="Times New Roman" w:hAnsi="Times New Roman"/>
          <w:b w:val="0"/>
          <w:i w:val="0"/>
          <w:sz w:val="24"/>
        </w:rPr>
      </w:r>
    </w:p>
    <w:p>
      <w:pPr>
        <w:spacing w:before="0" w:after="120"/>
        <w:ind w:left="709" w:hanging="709"/>
        <w:jc w:val="both"/>
      </w:pPr>
      <w:r>
        <w:rPr>
          <w:rFonts w:ascii="Times New Roman" w:hAnsi="Times New Roman"/>
          <w:b w:val="0"/>
          <w:i w:val="0"/>
          <w:sz w:val="24"/>
        </w:rPr>
        <w:t xml:space="preserve">MITCHELL, J. </w:t>
      </w:r>
      <w:r>
        <w:rPr>
          <w:rFonts w:ascii="Times New Roman" w:hAnsi="Times New Roman"/>
          <w:b w:val="0"/>
          <w:i/>
          <w:sz w:val="24"/>
        </w:rPr>
        <w:t>yfinance: Yahoo! Finance market data downloader</w:t>
      </w:r>
      <w:r>
        <w:rPr>
          <w:rFonts w:ascii="Times New Roman" w:hAnsi="Times New Roman"/>
          <w:b w:val="0"/>
          <w:i w:val="0"/>
          <w:sz w:val="24"/>
        </w:rPr>
        <w:t>. Disponível em: https://pypi.org/project/yfinance/. Acesso em: jun. 2025.</w:t>
      </w:r>
      <w:r>
        <w:rPr>
          <w:rFonts w:ascii="Times New Roman" w:hAnsi="Times New Roman"/>
          <w:b w:val="0"/>
          <w:i w:val="0"/>
          <w:sz w:val="24"/>
        </w:rPr>
      </w:r>
    </w:p>
    <w:p>
      <w:pPr>
        <w:spacing w:before="0" w:after="120"/>
        <w:ind w:left="709" w:hanging="709"/>
        <w:jc w:val="both"/>
      </w:pPr>
      <w:r>
        <w:rPr>
          <w:rFonts w:ascii="Times New Roman" w:hAnsi="Times New Roman"/>
          <w:b w:val="0"/>
          <w:i w:val="0"/>
          <w:sz w:val="24"/>
        </w:rPr>
        <w:t xml:space="preserve">MITCHELL, S. et al. </w:t>
      </w:r>
      <w:r>
        <w:rPr>
          <w:rFonts w:ascii="Times New Roman" w:hAnsi="Times New Roman"/>
          <w:b w:val="0"/>
          <w:i/>
          <w:sz w:val="24"/>
        </w:rPr>
        <w:t>PuLP: A Linear Programming toolkit for Python</w:t>
      </w:r>
      <w:r>
        <w:rPr>
          <w:rFonts w:ascii="Times New Roman" w:hAnsi="Times New Roman"/>
          <w:b w:val="0"/>
          <w:i w:val="0"/>
          <w:sz w:val="24"/>
        </w:rPr>
        <w:t>. Disponível em: https://pypi.org/project/PuLP/. Acesso em: jun. 2025.</w:t>
      </w:r>
      <w:r>
        <w:rPr>
          <w:rFonts w:ascii="Times New Roman" w:hAnsi="Times New Roman"/>
          <w:b w:val="0"/>
          <w:i w:val="0"/>
          <w:sz w:val="24"/>
        </w:rPr>
      </w:r>
    </w:p>
    <w:sectPr w:rsidR="00FC693F" w:rsidRPr="0006063C" w:rsidSect="00034616">
      <w:pgSz w:w="12240" w:h="15840"/>
      <w:pgMar w:top="1440" w:right="1259" w:bottom="1440" w:left="125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0" w:lineRule="exact"/>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