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FB51" w14:textId="2F39FB88" w:rsidR="00B44231" w:rsidRDefault="00CD4D3F">
      <w:r w:rsidRPr="00CD4D3F">
        <w:t>21. Processo Judicial Eletrônico. Lei de Informatização do Processo Judicial (Lei nº 11.419/2006 e Resolução 780/2014 do Tribunal de Justiça de Minas Gerais). 22. Lei de Arbitragem (Lei nº 9.307/1996). 23. Lei de Mediação (Lei nº 13.140/2015) e métodos autocompositivos (negociação, mediação, conciliação e práticas restaurativas). 24. Racionalização processual (lei 14.195/2021). 25. Aspectos processuais da Lei 14.230/2021. 26. Lei 14.181/21 – prevenção e tratamento ao superendividamento. 27. Lei 14.341/2022 (associação de representação de municípios). 28. Outros diplomas normativos: Lei nº1.060/1950. Lei 4.717/65. Lei n.º 7.347/1985. Lei n.º 8.069/1990. Lei n.º 8.078/1990. Lei n.º 8.429/1992. Lei 13.964/19. Lei n.º 8.560/1992. Lei n.º 9.099/1995. Lei nº 9.507/1997. Lei n.º 10.257/2001.  Lei n.º 11.417/2006. Lei n.º 11.419/2006. Lei nº 12.016/2009. Lei nº 12.846/13. Lei 12.965/14. Lei nº 13.105/2015 (Código de Processo Civil). Lei nº 13.300/2016. Lei 13.655/18. Lei 13.709/18. Lei 13.874/19. Lei 13.979/20. Lei 13.964/20. Lei 14.010/20. 29. Resoluções e Recomendações do Conselho Nacional do Ministério Público (CNMP). 30. Resoluções e Recomendações do Conselho Nacional de Justiça (CNJ).</w:t>
      </w:r>
    </w:p>
    <w:sectPr w:rsidR="00B44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3F"/>
    <w:rsid w:val="00006DC2"/>
    <w:rsid w:val="000361CF"/>
    <w:rsid w:val="00343554"/>
    <w:rsid w:val="00512D9E"/>
    <w:rsid w:val="008E721A"/>
    <w:rsid w:val="00AA668F"/>
    <w:rsid w:val="00B44231"/>
    <w:rsid w:val="00C1683B"/>
    <w:rsid w:val="00CD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F75A83"/>
  <w15:chartTrackingRefBased/>
  <w15:docId w15:val="{0EE13B75-EA9D-8D4A-AA4C-FE7A6DA3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D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D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D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D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D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D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D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Simoes Silva</dc:creator>
  <cp:keywords/>
  <dc:description/>
  <cp:lastModifiedBy>Henrique Simoes Silva</cp:lastModifiedBy>
  <cp:revision>1</cp:revision>
  <dcterms:created xsi:type="dcterms:W3CDTF">2026-05-06T13:22:00Z</dcterms:created>
  <dcterms:modified xsi:type="dcterms:W3CDTF">2026-05-06T13:23:00Z</dcterms:modified>
</cp:coreProperties>
</file>