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needs to be preserved as a standing ecosystem. Historically, different Brazilian federal government proposed diverse policies to deal with the Amazon. Each of these policies contain an implicit assumption of what needs to be solved, or in other words, it represents the region, the forest, or its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w:t>
      </w:r>
      <w:r>
        <w:t xml:space="preserve">(Brice and Smith 2021; Harris 2021; Miranda 2021)</w:t>
      </w:r>
      <w:r>
        <w:t xml:space="preserve">, but also incites responses, shapes expectations, and feeds into the behavior of many actors involved in the Amazon, from investors to agribusiness to local farmer.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endogenous events as the death of Chico Mendes, the 1992 Earth Summit, the 2009 Copenhaguen Summit, the 2015 Paris Summit, and the 2021 London Summit drive generally the interest in the Amazon. That seems to be the case even after controlling share of annual speeches mentioning the Amazon for deforestation, inflation, and speaker. Second, there was a sharp decrease in economic related problem-constructions from the late 1990 to 2010, matched by an increase in speeches that construct the Amazon as a problem of social development and environmental conservation. This trend is reversed in the late 2010s, with the twist of sovereignty making a strong comeback. Finally, using a multinominal model, we find that the farthest away the speaker is from the Amazon, be it within the country in non-Amazonian States or outside Brazil, the more likely the speaker is to construct the Amazon as a problem of environmental conservation than economic integration or social development.</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4"/>
    <w:bookmarkStart w:id="33" w:name="X09881e77d94e12c2b1043deb84f7e6d380f51a3"/>
    <w:p>
      <w:pPr>
        <w:pStyle w:val="Heading1"/>
      </w:pPr>
      <w:r>
        <w:t xml:space="preserve">2 Amazonian policy-cycles, discourse, and problem-construction</w:t>
      </w:r>
    </w:p>
    <w:bookmarkStart w:id="31"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centalized economic integration policies</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30"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this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up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w:t>
      </w:r>
      <w:r>
        <w:t xml:space="preserve"> </w:t>
      </w:r>
      <w:r>
        <w:rPr>
          <w:rStyle w:val="FootnoteReference"/>
        </w:rPr>
        <w:footnoteReference w:id="29"/>
      </w:r>
      <w:r>
        <w:t xml:space="preserve">,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We also find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30"/>
    <w:bookmarkEnd w:id="31"/>
    <w:bookmarkStart w:id="32"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w:t>
      </w:r>
      <w:r>
        <w:t xml:space="preserve"> </w:t>
      </w:r>
      <w:r>
        <w:t xml:space="preserve">(Bevitori 2015)</w:t>
      </w:r>
      <w:r>
        <w:t xml:space="preserve"> </w:t>
      </w:r>
      <w:r>
        <w:t xml:space="preserve">without embedding them in the histories of the issue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2"/>
    <w:bookmarkEnd w:id="33"/>
    <w:bookmarkStart w:id="37" w:name="research-design"/>
    <w:p>
      <w:pPr>
        <w:pStyle w:val="Heading1"/>
      </w:pPr>
      <w:r>
        <w:t xml:space="preserve">3 Research Design</w:t>
      </w:r>
    </w:p>
    <w:p>
      <w:pPr>
        <w:pStyle w:val="FirstParagraph"/>
      </w:pPr>
      <w:r>
        <w:t xml:space="preserve">To operationalize our theoretical framework, we adopt a mixed-methods approach using manual coding and supervised machine learning. We explain our research design and each step of the procedure in this section.</w:t>
      </w:r>
    </w:p>
    <w:bookmarkStart w:id="35" w:name="X0188877be407adf371107805c2fb35c7565eeb7"/>
    <w:p>
      <w:pPr>
        <w:pStyle w:val="Heading2"/>
      </w:pPr>
      <w:r>
        <w:t xml:space="preserve">3.1 Data and modeling: operationalizing Amazonian problem construction</w:t>
      </w:r>
    </w:p>
    <w:p>
      <w:pPr>
        <w:pStyle w:val="FirstParagraph"/>
      </w:pPr>
      <w:r>
        <w:t xml:space="preserve">We build upon the dataset provided by</w:t>
      </w:r>
      <w:r>
        <w:t xml:space="preserve"> </w:t>
      </w:r>
      <w:r>
        <w:t xml:space="preserve">(Cezar 2020)</w:t>
      </w:r>
      <w:r>
        <w:t xml:space="preserve"> </w:t>
      </w:r>
      <w:r>
        <w:t xml:space="preserve">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since 1985. We then identify all speeches about the Amazon as a region, peoples, or forest out of the 6130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After revising the literature (section 2), we selected a random sample of these Amazonian statements to develop a codebook for identifying how the Amazon is constructed as a problem in presidential discourse (see Table 1 below). We understand Amazonian problem-constructions as Weberian ideal types, that is, an unified analytical construct portraying a</w:t>
      </w:r>
      <w:r>
        <w:t xml:space="preserve"> </w:t>
      </w:r>
      <w:r>
        <w:t xml:space="preserve">‘</w:t>
      </w:r>
      <w:r>
        <w:t xml:space="preserve">pure</w:t>
      </w:r>
      <w:r>
        <w:t xml:space="preserve">’</w:t>
      </w:r>
      <w:r>
        <w:t xml:space="preserve"> </w:t>
      </w:r>
      <w:r>
        <w:t xml:space="preserve">version of a phenomenon. This serves the purpose of allocating empirical observations within a range of possibilities. We identify the three problem-constructions derived from the literature (national sovereignty, economic integration, and environmental conservation) in the sample of Amazonian statements. However, in addition to them, we inductively identified a fourth problem construction that the literature does not explicitly cover: social development. Presidents sometimes opt to emphasize the lack of hospitals, sanitation, and schools in relation to peoples’ constitutional rights when speaking about the Amazon. We saw this code category as substantially different from the other three, hence, we created the code category</w:t>
      </w:r>
      <w:r>
        <w:t xml:space="preserve"> </w:t>
      </w:r>
      <w:r>
        <w:t xml:space="preserve">‘</w:t>
      </w:r>
      <w:r>
        <w:t xml:space="preserve">social development</w:t>
      </w:r>
      <w:r>
        <w:t xml:space="preserve">’</w:t>
      </w:r>
      <w:r>
        <w:t xml:space="preserve">. In their conceptualization, each code is mutually exclusive in its conceptualization, meaning that they cover different forms of constructing the Amazon as a problem, though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a pure-types or mixed-types.</w:t>
      </w:r>
    </w:p>
    <w:p>
      <w:pPr>
        <w:pStyle w:val="TableCaption"/>
      </w:pPr>
      <w:r>
        <w:t xml:space="preserve">Table 1 - Amazonian Problem-Construction Codebook</w:t>
      </w:r>
    </w:p>
    <w:tbl>
      <w:tblPr>
        <w:tblStyle w:val="Table"/>
        <w:tblW w:type="auto" w:w="0"/>
        <w:tblLook w:firstRow="1" w:lastRow="0" w:firstColumn="0" w:lastColumn="0" w:noHBand="0" w:noVBand="0" w:val="0020"/>
        <w:tblCaption w:val="Table 1 - Amazonian Problem-Construction Codebook"/>
      </w:tblPr>
      <w:tblGrid>
        <w:gridCol w:w="2640"/>
        <w:gridCol w:w="2640"/>
        <w:gridCol w:w="2640"/>
      </w:tblGrid>
      <w:tr>
        <w:trPr>
          <w:tblHeader w:val="true"/>
        </w:trPr>
        <w:tc>
          <w:tcPr/>
          <w:p>
            <w:pPr>
              <w:pStyle w:val="Compact"/>
              <w:jc w:val="left"/>
            </w:pPr>
            <w:r>
              <w:t xml:space="preserve">Problem_Construction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National Sovereignty</w:t>
            </w:r>
          </w:p>
        </w:tc>
        <w:tc>
          <w:tcPr/>
          <w:p>
            <w:pPr>
              <w:pStyle w:val="Compact"/>
              <w:jc w:val="left"/>
            </w:pPr>
            <w:r>
              <w:t xml:space="preserve">This code constructs the Amazon region and/or forest as an issue of national sovereignty. We understand claims of sovereignty as a particular problem-construction that touches on imaginaries of external threats to territory. Relatedly, we also understand sovereignty as raising concerns about wrong perspectives and criticism from foreign and non-state actors about governments&lt;U+2019&gt; actions related to the Brazilian Amazon. In all, it advances the view that the Amazon is Brazilian, foreign, and non-state presence in the region needs to be monitored closely.</w:t>
            </w:r>
          </w:p>
        </w:tc>
        <w:tc>
          <w:tcPr/>
          <w:p>
            <w:pPr>
              <w:pStyle w:val="Compact"/>
              <w:jc w:val="left"/>
            </w:pPr>
            <w:r>
              <w:t xml:space="preserve">Congressman, the fundamental link for Brazil to really head in the direction to prosperity. I would like first, Hu Chunhua, to thank you for the words of your ambassador to Brazil recognizing our sovereignty over the Amazonian region during that recent episode in the G7 meeting. I would like to thank the Chinese government. For us, this type of public acknowledgement is priceless in your words about this region that is so important to the world and to Brazil. (Bolsonaro 25/10/2019)</w:t>
            </w:r>
          </w:p>
        </w:tc>
      </w:tr>
      <w:tr>
        <w:tc>
          <w:tcPr/>
          <w:p>
            <w:pPr>
              <w:pStyle w:val="Compact"/>
              <w:jc w:val="left"/>
            </w:pPr>
            <w:r>
              <w:t xml:space="preserve">Economic Integration</w:t>
            </w:r>
          </w:p>
        </w:tc>
        <w:tc>
          <w:tcPr/>
          <w:p>
            <w:pPr>
              <w:pStyle w:val="Compact"/>
              <w:jc w:val="left"/>
            </w:pPr>
            <w:r>
              <w:t xml:space="preserve">This code constructs the Amazon region and/or forest as an issue of economic integration. It advances the view that the Amazon needs to be developed and connected to the national economy. This includes expanding the agricultural frontier through incentives, creating a diverse set of infrastructure (roads, dams, internet, radio, energy), fostering differing industries (tourism, mining, cattle, agriculture and so on) through tax-free zones, as well as facilitating the exploitation of natural resources for developmental purposes.</w:t>
            </w:r>
          </w:p>
        </w:tc>
        <w:tc>
          <w:tcPr/>
          <w:p>
            <w:pPr>
              <w:pStyle w:val="Compact"/>
              <w:jc w:val="left"/>
            </w:pPr>
            <w:r>
              <w:t xml:space="preserve">If you allow me, in the Amazon - which for a long time stayed asleep due to the lack of coordinated actions - have already taken a few structuring actions. We, in the Amazon, are connecting Manuas, Boa Vista, Caracarai, until up there, the red line [in a map] that goes all the way up in the direction of Venezuela, that is the so-called BR-174 highway. This highway will allow production in the Tax Free Zone in MAnaus to be competitive, not within, but outside, that is the vocation of the the Tax Free Zone to export; and we can even do it through the Caribbean (Cardoso 02/07/1997)</w:t>
            </w:r>
          </w:p>
        </w:tc>
      </w:tr>
      <w:tr>
        <w:tc>
          <w:tcPr/>
          <w:p>
            <w:pPr>
              <w:pStyle w:val="Compact"/>
              <w:jc w:val="left"/>
            </w:pPr>
            <w:r>
              <w:t xml:space="preserve">Social Development</w:t>
            </w:r>
          </w:p>
        </w:tc>
        <w:tc>
          <w:tcPr/>
          <w:p>
            <w:pPr>
              <w:pStyle w:val="Compact"/>
              <w:jc w:val="left"/>
            </w:pPr>
            <w:r>
              <w:t xml:space="preserve">This code constructs the Amazon region and/or forest as an issue of social development. It advances the view that Amazon is full of citizens who should have their rights guaranteed. This refers to the construction of schools and universities (right to education), of hospitals (right to health), and of housing (right to house). This also includes guarantees of a dignified life with decent employment, access to water and sanitation, as well as access to electricity, internet, radio, and light. Finally, this includes referrals to culture and the right to vote.</w:t>
            </w:r>
          </w:p>
        </w:tc>
        <w:tc>
          <w:tcPr/>
          <w:p>
            <w:pPr>
              <w:pStyle w:val="Compact"/>
              <w:jc w:val="left"/>
            </w:pPr>
            <w:r>
              <w:t xml:space="preserve">The state does not work for profits, the state needs to guarantee dignity, we find that a citizen who lives in the riverside of the Amazon river, 600 kilometers from Manaus, has the right to have the electricity in their house, to owe a fridge, to owe a television where to watch the soap operas. We have invested over 14 billion reais in this program, in three and a half years. Do you know how many electrical lines we have already built? One million kilometers of lines. (Lula 20/11/2009)</w:t>
            </w:r>
          </w:p>
        </w:tc>
      </w:tr>
      <w:tr>
        <w:tc>
          <w:tcPr/>
          <w:p>
            <w:pPr>
              <w:pStyle w:val="Compact"/>
              <w:jc w:val="left"/>
            </w:pPr>
            <w:r>
              <w:t xml:space="preserve">Environmental Conservation</w:t>
            </w:r>
          </w:p>
        </w:tc>
        <w:tc>
          <w:tcPr/>
          <w:p>
            <w:pPr>
              <w:pStyle w:val="Compact"/>
              <w:jc w:val="left"/>
            </w:pPr>
            <w:r>
              <w:t xml:space="preserve">This code constructs the Amazon region and/or forest as an issue of conservation. This problem-construction focuses on the value of a standing forest and of the preserved ecosystem in the region. The conservationist narrative advances the view that Amazon should be preserved, deforestation should be halted, and the practices of indigenous and traditional populations should be maintained and fostered. It advances the view that the emission of greenhouse gasses should be halted, that renewable energy should be supported, and that protected areas should be created.</w:t>
            </w:r>
          </w:p>
        </w:tc>
        <w:tc>
          <w:tcPr/>
          <w:p>
            <w:pPr>
              <w:pStyle w:val="Compact"/>
              <w:jc w:val="left"/>
            </w:pPr>
            <w:r>
              <w:t xml:space="preserve">I have put in place emergency measures, I have suspended the exports of wood logs, I have suspended the fiscal incentives and credits to projects that could damage the environment in the amazon and I have made a license mandatory to gold mining that prohibits utilizing mercury in the process. This began the restructuring of the governmental system of control and preservation of the environment, I have created the Brazilian Institute for the Environment and Natural Resources [IBAMA], which will be headed by Dr. Mesquita (Sarney 20/07/1989)</w:t>
            </w:r>
          </w:p>
        </w:tc>
      </w:tr>
    </w:tbl>
    <w:p>
      <w:pPr>
        <w:pStyle w:val="BodyText"/>
      </w:pPr>
      <w:r>
        <w:t xml:space="preserve">With the codebook in hands, each one of the authors, separately, hand-coded the same set of 1007 randomly selected Amazonian statements. This amount refers to 50% of all the Amazon Statements identified. Inter-coder agreement for each of the four main categories was 85%, on average. For each non-matching coded observation, the co-authors discussed and sorted their disagreements. Statements that mention the stem</w:t>
      </w:r>
      <w:r>
        <w:t xml:space="preserve"> </w:t>
      </w:r>
      <w:r>
        <w:t xml:space="preserve">“</w:t>
      </w:r>
      <w:r>
        <w:t xml:space="preserve">amazon</w:t>
      </w:r>
      <w:r>
        <w:t xml:space="preserve">”</w:t>
      </w:r>
      <w:r>
        <w:t xml:space="preserve">, but are not about the Brazilian Amazon, for example, might a greeting to the Governor of the Amazonas, were coded as false positives. The manually coded data is then randomly divided into a training set, containing 80% of the hand-coded observations (806 observations), and a validation set, containing the remaining 20% of the hand-coded data (201 observations). The training set is used to train the supervised machine-learning model that automatically classifies observations while the validation set is used to make sure the model fit is appropriate.</w:t>
      </w:r>
    </w:p>
    <w:p>
      <w:pPr>
        <w:pStyle w:val="BodyText"/>
      </w:pPr>
      <w:r>
        <w:t xml:space="preserve">We chose to employ a support-vector machine (SVM) algorithm to label texts, that is, a non-probabilistic linear classifier that classifies documents by assigning points in mapped space to maximize the gap between binary categories</w:t>
      </w:r>
      <w:r>
        <w:t xml:space="preserve"> </w:t>
      </w:r>
      <w:r>
        <w:t xml:space="preserve">(Meyer et al. 2021; Noble 2006)</w:t>
      </w:r>
      <w:r>
        <w:rPr>
          <w:rStyle w:val="FootnoteReference"/>
        </w:rPr>
        <w:footnoteReference w:id="34"/>
      </w:r>
      <w:r>
        <w:t xml:space="preserve">. After the SVM model is trained and tuned, and the model shows to appropriately fit the validation set, we use the model to automatically code the remaining 1007 Amazonian statements. The model was also trained to identify false positive observations, which we chose to delete for analysis since these are not meaningful statements about the Amazon. The final dataset for analysis contains 1895 coded Amazonian statements. Finally, we use poldis once more to extract locations for all speeches in the data. These locations represent the Brazilian state in which certain speech was given or an international country.</w:t>
      </w:r>
    </w:p>
    <w:bookmarkEnd w:id="35"/>
    <w:bookmarkStart w:id="36"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We control proportions for factors that might affect the incidence of the Amazon in speeches and portray both real and controlled curves. To test whether different problem constructions change according to location, we run a multinomial regression model in which different problem constructions (as categories) are the dependent variable and location is the independent variable. We also control for annual deforestation rates, annual inflation rates, and election years in the model. We interpret the plots and model considering multiple Amazon related events and policies over the last 30 years, as well as their correlations with different presidents and locations, while embedding problem-construction in contemporary happenings.</w:t>
      </w:r>
    </w:p>
    <w:p>
      <w:pPr>
        <w:pStyle w:val="BodyText"/>
      </w:pPr>
      <w:r>
        <w:t xml:space="preserve">These procedures come with its limitations. Our codebook is developed using specific Amazon related vocabulary. For example, a statement will be coded as economic integration if it is a meaningful support to the Zona Franca of Manaus or a Dam in the Amazon. However, the economy is generally a topic that presidents speak about. Hence,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 to appear in social media. Problem-construction within presidential discourse, thus, also happens in different sites for which we do not account for in this paper.</w:t>
      </w:r>
    </w:p>
    <w:bookmarkEnd w:id="36"/>
    <w:bookmarkEnd w:id="37"/>
    <w:bookmarkStart w:id="54"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multinomial model to show how problem constructions change as the speaker moves further away from the Amazon region.</w:t>
      </w:r>
    </w:p>
    <w:bookmarkStart w:id="42"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8"/>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40" name="Picture"/>
            <a:graphic>
              <a:graphicData uri="http://schemas.openxmlformats.org/drawingml/2006/picture">
                <pic:pic>
                  <pic:nvPicPr>
                    <pic:cNvPr descr="Full_draft_20220401_files/figure-docx/Figure%201:%20Amazonian%20speeches%20by%20year-1.png" id="41" name="Picture"/>
                    <pic:cNvPicPr>
                      <a:picLocks noChangeArrowheads="1" noChangeAspect="1"/>
                    </pic:cNvPicPr>
                  </pic:nvPicPr>
                  <pic:blipFill>
                    <a:blip r:embed="rId3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42"/>
    <w:bookmarkStart w:id="52"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at 55.8%.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4" name="Picture"/>
            <a:graphic>
              <a:graphicData uri="http://schemas.openxmlformats.org/drawingml/2006/picture">
                <pic:pic>
                  <pic:nvPicPr>
                    <pic:cNvPr descr="Full_draft_20220401_files/figure-docx/Figure%202:%20mixed-types%20in%20time-1.png" id="45" name="Picture"/>
                    <pic:cNvPicPr>
                      <a:picLocks noChangeArrowheads="1" noChangeAspect="1"/>
                    </pic:cNvPicPr>
                  </pic:nvPicPr>
                  <pic:blipFill>
                    <a:blip r:embed="rId43"/>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late 1990s. Concurently, pure conservation as well as pure social development increased; both surpassing the proportion of economic integration problem-construction in 2010.</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for illegal deforestation. As of the mid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7" name="Picture"/>
            <a:graphic>
              <a:graphicData uri="http://schemas.openxmlformats.org/drawingml/2006/picture">
                <pic:pic>
                  <pic:nvPicPr>
                    <pic:cNvPr descr="Full_draft_20220401_files/figure-docx/Figure%203:%20pure%20types%20in%20time%20-1.png" id="48" name="Picture"/>
                    <pic:cNvPicPr>
                      <a:picLocks noChangeArrowheads="1" noChangeAspect="1"/>
                    </pic:cNvPicPr>
                  </pic:nvPicPr>
                  <pic:blipFill>
                    <a:blip r:embed="rId46"/>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17.7%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environmental conservation, which averages at 29.15% in relation to mixed types only, and at 6.8% in relation to all Amazonian statements. Overall, we observe an increase along time, reaching its pike in the early 2010. President Dilma was the most frequent user of this mix. A close second is economic and social development being used together in about 22.9% of all mixed type statements and 5.4% of all statements.</w:t>
      </w:r>
    </w:p>
    <w:p>
      <w:pPr>
        <w:pStyle w:val="BodyText"/>
      </w:pPr>
      <w:r>
        <w:t xml:space="preserve">All other mixed types appeared less than 2.6% on average in relation to all statements. We can also interpret mixed types, though, by looking at what compose them the most along time.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mostly in detriment of conservation social development. This becomes more apparent in a comparison between Lula and Bolsonaro, the two presidents that mix the most with proportions 11% above presidential averages: 29.4% and 31.3% respectively. While the former frequently mixed conservation with other problem constructions, the latter prefers mixing with sovereignty. The combination of sovereignty with economic integration, which was also characteristic of the military dictatorship policies for the region, reaches its highest level with Bolsonaro: 22.7% of all mixed types.</w:t>
      </w:r>
    </w:p>
    <w:p>
      <w:pPr>
        <w:pStyle w:val="BodyText"/>
      </w:pPr>
      <w:r>
        <w:drawing>
          <wp:inline>
            <wp:extent cx="5727700" cy="4582160"/>
            <wp:effectExtent b="0" l="0" r="0" t="0"/>
            <wp:docPr descr="" title="" id="50" name="Picture"/>
            <a:graphic>
              <a:graphicData uri="http://schemas.openxmlformats.org/drawingml/2006/picture">
                <pic:pic>
                  <pic:nvPicPr>
                    <pic:cNvPr descr="Full_draft_20220401_files/figure-docx/Figure%204:%20mixed-types%20by%20president%20-1.png" id="51" name="Picture"/>
                    <pic:cNvPicPr>
                      <a:picLocks noChangeArrowheads="1" noChangeAspect="1"/>
                    </pic:cNvPicPr>
                  </pic:nvPicPr>
                  <pic:blipFill>
                    <a:blip r:embed="rId4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mid 2010s, and the soft increase of sovereignty both pure and in mixes already late 2000s (figure 3) . The hard increase in sovereignty comes in the early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52"/>
    <w:bookmarkStart w:id="53" w:name="X907f7c83bef415cd4eb0f6cbf6318b241e96f3b"/>
    <w:p>
      <w:pPr>
        <w:pStyle w:val="Heading2"/>
      </w:pPr>
      <w:r>
        <w:t xml:space="preserve">4.3 An Amazonian three-level game? Boasting policy outside, talking to people inside</w:t>
      </w:r>
    </w:p>
    <w:p>
      <w:pPr>
        <w:pStyle w:val="FirstParagraph"/>
      </w:pPr>
      <w:r>
        <w:t xml:space="preserve">Table 2, below, displays the multinational regression coefficients for the correlation between diverse problem constructions and locations. The regression coefficients express the relative probability in relation to the reference categories, which are Amazonian states for location and environmental conservation for problem construction. Although all the other mixed types problem-constructions were included in the model, we choose to display and focus the analysis on the pure types. From the outset, we notice that problem constructions of pure economic integration and pure social development correlate in negative statistically significant ways to both international settings and Brasilia in relation to environmental conservation problem constructions in Amazonian states. These findings indicate that constructing the Amazon as an issue of environmental conservation is more likely to happen in international settings and in Brasilia than in Amazonian states. Additionally, pure sovereignty correlates in negative statistically significant ways to international settings in relation to conservation in Amazonian states. That is, constructing the Amazon as an issue of sovereignty is less likely in international settings than it is in Amazonian States. Interestingly, we see no statistically significant correlations between problem constructions in non-Amazonian states in relation to Amazonian states. This indicates that when presidents speak about the Amazon at the state level, constructions might be rather similar across different states. Furthermore, we also notice that some of the control variables correlate with some Amazonian problem constructions in interesting ways. For example, pure sovereignty constructions correlate negatively with election years in relation to conservation. That is, in election years conservation constructions are more likely to take place in comparison to sovereignty. As well, annual deforestation rates correlate positively with economic integration constructions in relation to conservation. This indicates that both deforestation increases and presidents are also more likely to construct the Amazon as an issue of economic integration.</w:t>
      </w:r>
    </w:p>
    <w:p>
      <w:pPr>
        <w:pStyle w:val="TableCaption"/>
      </w:pPr>
      <w:r>
        <w:t xml:space="preserve">Table 2 - Amazon Problem-Construction by Location</w:t>
      </w:r>
    </w:p>
    <w:tbl>
      <w:tblPr>
        <w:tblStyle w:val="Table"/>
        <w:tblW w:type="auto" w:w="0"/>
        <w:tblLook w:firstRow="0" w:lastRow="0" w:firstColumn="0" w:lastColumn="0" w:noHBand="0" w:noVBand="0" w:val="0000"/>
        <w:tblCaption w:val="Table 2 - Amazon Problem-Construction by Location"/>
      </w:tblPr>
      <w:tblGrid>
        <w:gridCol w:w="1980"/>
        <w:gridCol w:w="1980"/>
        <w:gridCol w:w="1980"/>
        <w:gridCol w:w="1980"/>
      </w:tblGrid>
      <w:tr>
        <w:tc>
          <w:tcPr/>
          <w:p>
            <w:pPr>
              <w:pStyle w:val="Compact"/>
              <w:jc w:val="left"/>
            </w:pPr>
            <w:r>
              <w:t xml:space="preserve">Dependent.Variables</w:t>
            </w:r>
          </w:p>
        </w:tc>
        <w:tc>
          <w:tcPr/>
          <w:p>
            <w:pPr>
              <w:pStyle w:val="Compact"/>
              <w:jc w:val="left"/>
            </w:pPr>
            <w:r>
              <w:t xml:space="preserve">Economic Integration vs. Environmental Conservation</w:t>
            </w:r>
          </w:p>
        </w:tc>
        <w:tc>
          <w:tcPr/>
          <w:p>
            <w:pPr>
              <w:pStyle w:val="Compact"/>
              <w:jc w:val="left"/>
            </w:pPr>
            <w:r>
              <w:t xml:space="preserve">Social Development vs. Environmental Conservation</w:t>
            </w:r>
          </w:p>
        </w:tc>
        <w:tc>
          <w:tcPr/>
          <w:p>
            <w:pPr>
              <w:pStyle w:val="Compact"/>
              <w:jc w:val="left"/>
            </w:pPr>
            <w:r>
              <w:t xml:space="preserve">Sovereignty vs. Environmental Conservation</w:t>
            </w:r>
          </w:p>
        </w:tc>
      </w:tr>
      <w:tr>
        <w:tc>
          <w:tcPr/>
          <w:p>
            <w:pPr>
              <w:pStyle w:val="Compact"/>
              <w:jc w:val="left"/>
            </w:pPr>
            <w:r>
              <w:t xml:space="preserve">Brasilia.vs..Amazonian.States</w:t>
            </w:r>
          </w:p>
        </w:tc>
        <w:tc>
          <w:tcPr/>
          <w:p>
            <w:pPr>
              <w:pStyle w:val="Compact"/>
              <w:jc w:val="left"/>
            </w:pPr>
            <w:r>
              <w:t xml:space="preserve">-1.024***</w:t>
            </w:r>
          </w:p>
        </w:tc>
        <w:tc>
          <w:tcPr/>
          <w:p>
            <w:pPr>
              <w:pStyle w:val="Compact"/>
              <w:jc w:val="left"/>
            </w:pPr>
            <w:r>
              <w:t xml:space="preserve">-1.002***</w:t>
            </w:r>
          </w:p>
        </w:tc>
        <w:tc>
          <w:tcPr/>
          <w:p>
            <w:pPr>
              <w:pStyle w:val="Compact"/>
              <w:jc w:val="left"/>
            </w:pPr>
            <w:r>
              <w:t xml:space="preserve">-0.206</w:t>
            </w:r>
          </w:p>
        </w:tc>
      </w:tr>
      <w:tr>
        <w:tc>
          <w:tcPr/>
          <w:p>
            <w:pPr>
              <w:pStyle w:val="Compact"/>
              <w:jc w:val="left"/>
            </w:pPr>
            <w:r>
              <w:t xml:space="preserve">International.vs..Amazonian.States</w:t>
            </w:r>
          </w:p>
        </w:tc>
        <w:tc>
          <w:tcPr/>
          <w:p>
            <w:pPr>
              <w:pStyle w:val="Compact"/>
              <w:jc w:val="left"/>
            </w:pPr>
            <w:r>
              <w:t xml:space="preserve">-0.612***</w:t>
            </w:r>
          </w:p>
        </w:tc>
        <w:tc>
          <w:tcPr/>
          <w:p>
            <w:pPr>
              <w:pStyle w:val="Compact"/>
              <w:jc w:val="left"/>
            </w:pPr>
            <w:r>
              <w:t xml:space="preserve">-1.583***</w:t>
            </w:r>
          </w:p>
        </w:tc>
        <w:tc>
          <w:tcPr/>
          <w:p>
            <w:pPr>
              <w:pStyle w:val="Compact"/>
              <w:jc w:val="left"/>
            </w:pPr>
            <w:r>
              <w:t xml:space="preserve">-1.427***</w:t>
            </w:r>
          </w:p>
        </w:tc>
      </w:tr>
      <w:tr>
        <w:tc>
          <w:tcPr/>
          <w:p>
            <w:pPr>
              <w:pStyle w:val="Compact"/>
              <w:jc w:val="left"/>
            </w:pPr>
            <w:r>
              <w:t xml:space="preserve">Non.AM.States.vs..Amazonian.States</w:t>
            </w:r>
          </w:p>
        </w:tc>
        <w:tc>
          <w:tcPr/>
          <w:p>
            <w:pPr>
              <w:pStyle w:val="Compact"/>
              <w:jc w:val="left"/>
            </w:pPr>
            <w:r>
              <w:t xml:space="preserve">0.023</w:t>
            </w:r>
          </w:p>
        </w:tc>
        <w:tc>
          <w:tcPr/>
          <w:p>
            <w:pPr>
              <w:pStyle w:val="Compact"/>
              <w:jc w:val="left"/>
            </w:pPr>
            <w:r>
              <w:t xml:space="preserve">-0.041</w:t>
            </w:r>
          </w:p>
        </w:tc>
        <w:tc>
          <w:tcPr/>
          <w:p>
            <w:pPr>
              <w:pStyle w:val="Compact"/>
              <w:jc w:val="left"/>
            </w:pPr>
            <w:r>
              <w:t xml:space="preserve">0.324</w:t>
            </w:r>
          </w:p>
        </w:tc>
      </w:tr>
      <w:tr>
        <w:tc>
          <w:tcPr/>
          <w:p>
            <w:pPr>
              <w:pStyle w:val="Compact"/>
              <w:jc w:val="left"/>
            </w:pPr>
            <w:r>
              <w:t xml:space="preserve">Election.Year</w:t>
            </w:r>
          </w:p>
        </w:tc>
        <w:tc>
          <w:tcPr/>
          <w:p>
            <w:pPr>
              <w:pStyle w:val="Compact"/>
              <w:jc w:val="left"/>
            </w:pPr>
            <w:r>
              <w:t xml:space="preserve">-0.241</w:t>
            </w:r>
          </w:p>
        </w:tc>
        <w:tc>
          <w:tcPr/>
          <w:p>
            <w:pPr>
              <w:pStyle w:val="Compact"/>
              <w:jc w:val="left"/>
            </w:pPr>
            <w:r>
              <w:t xml:space="preserve">0.028</w:t>
            </w:r>
          </w:p>
        </w:tc>
        <w:tc>
          <w:tcPr/>
          <w:p>
            <w:pPr>
              <w:pStyle w:val="Compact"/>
              <w:jc w:val="left"/>
            </w:pPr>
            <w:r>
              <w:t xml:space="preserve">-0.684**</w:t>
            </w:r>
          </w:p>
        </w:tc>
      </w:tr>
      <w:tr>
        <w:tc>
          <w:tcPr/>
          <w:p>
            <w:pPr>
              <w:pStyle w:val="Compact"/>
              <w:jc w:val="left"/>
            </w:pPr>
            <w:r>
              <w:t xml:space="preserve">Annual.Deforestation</w:t>
            </w:r>
          </w:p>
        </w:tc>
        <w:tc>
          <w:tcPr/>
          <w:p>
            <w:pPr>
              <w:pStyle w:val="Compact"/>
              <w:jc w:val="left"/>
            </w:pPr>
            <w:r>
              <w:t xml:space="preserve">0.063***</w:t>
            </w:r>
          </w:p>
        </w:tc>
        <w:tc>
          <w:tcPr/>
          <w:p>
            <w:pPr>
              <w:pStyle w:val="Compact"/>
              <w:jc w:val="left"/>
            </w:pPr>
            <w:r>
              <w:t xml:space="preserve">-0.031*</w:t>
            </w:r>
          </w:p>
        </w:tc>
        <w:tc>
          <w:tcPr/>
          <w:p>
            <w:pPr>
              <w:pStyle w:val="Compact"/>
              <w:jc w:val="left"/>
            </w:pPr>
            <w:r>
              <w:t xml:space="preserve">0.004</w:t>
            </w:r>
          </w:p>
        </w:tc>
      </w:tr>
      <w:tr>
        <w:tc>
          <w:tcPr/>
          <w:p>
            <w:pPr>
              <w:pStyle w:val="Compact"/>
              <w:jc w:val="left"/>
            </w:pPr>
            <w:r>
              <w:t xml:space="preserve">Average.Inflation</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-0.0001</w:t>
            </w:r>
          </w:p>
        </w:tc>
      </w:tr>
    </w:tbl>
    <w:p>
      <w:pPr>
        <w:pStyle w:val="BodyText"/>
      </w:pPr>
      <w:r>
        <w:t xml:space="preserve">Putnam (1988)</w:t>
      </w:r>
      <w:r>
        <w:t xml:space="preserve"> </w:t>
      </w:r>
      <w:r>
        <w:t xml:space="preserve">seminal article on the two level game between domestic and international politics analyzes how negotiations at both levels make policies possible. The author argues that both domestic and international levels need to be taken into consideration when analyzing how, often, domestic politics became entangled in international negotiations. The Amazon, as a region and a forest, has been the topic of international negotiations, national debates, and local policy implementation; though how the Amazon has been constructed as an issue differs on each of these three levels. While in Brasilia or internationally different presidents might construct the Amazon as an issue of conservation, the same presidents might construct the Amazon as an issue of economic integration or social development at the local level. This implies not only that audiences’ priorities in each setting change, but that which policies are appropriate to solve the</w:t>
      </w:r>
      <w:r>
        <w:t xml:space="preserve"> </w:t>
      </w:r>
      <w:r>
        <w:t xml:space="preserve">“</w:t>
      </w:r>
      <w:r>
        <w:t xml:space="preserve">Amazon issue</w:t>
      </w:r>
      <w:r>
        <w:t xml:space="preserve">”</w:t>
      </w:r>
      <w:r>
        <w:t xml:space="preserve"> </w:t>
      </w:r>
      <w:r>
        <w:t xml:space="preserve">differ. The three level game entails that conservation might be a desirable construction when speaking internationally about the Amazon, but not for local electorates. Such might help explain diverse local implementation gaps between public policy negotiated outside and implemented within the Amazon as perceptions and expectations about the issues the same policy addresses might differ</w:t>
      </w:r>
      <w:r>
        <w:t xml:space="preserve"> </w:t>
      </w:r>
      <w:r>
        <w:t xml:space="preserve">(Alesina and Giuliano 2009; López et al. 2020)</w:t>
      </w:r>
      <w:r>
        <w:t xml:space="preserve">.</w:t>
      </w:r>
    </w:p>
    <w:p>
      <w:pPr>
        <w:pStyle w:val="BodyText"/>
      </w:pPr>
      <w:r>
        <w:t xml:space="preserve">Whereas presidential discourses at the top matter to define and justify public policy</w:t>
      </w:r>
      <w:r>
        <w:t xml:space="preserve"> </w:t>
      </w:r>
      <w:r>
        <w:t xml:space="preserve">(Zarefsky 2004)</w:t>
      </w:r>
      <w:r>
        <w:t xml:space="preserve">, presidents shape their discourses according to who their audience might be and what</w:t>
      </w:r>
      <w:r>
        <w:t xml:space="preserve"> </w:t>
      </w:r>
      <w:r>
        <w:t xml:space="preserve">“</w:t>
      </w:r>
      <w:r>
        <w:t xml:space="preserve">they want to hear</w:t>
      </w:r>
      <w:r>
        <w:t xml:space="preserve">”</w:t>
      </w:r>
      <w:r>
        <w:t xml:space="preserve">. This democratic game contribute to the advancement of ambiguous public policies thought from the outside to the Amazon or contradictory policies from Amazon to the outside. Take, for example, the rural credit offered to local agricultural producers in Amazonian states went from 500 million reais in 1999 to over 4 billion by 2012 (cite). During the same period, the money spent in fighting deforestation in the Amazonian states also increased from … in … to … in … These policies match diverse local, national, and international expectations and match solutions to different problem constructions presented at each of these levels.</w:t>
      </w:r>
    </w:p>
    <w:bookmarkEnd w:id="53"/>
    <w:bookmarkEnd w:id="54"/>
    <w:bookmarkStart w:id="55" w:name="conclusion"/>
    <w:p>
      <w:pPr>
        <w:pStyle w:val="Heading1"/>
      </w:pPr>
      <w:r>
        <w:t xml:space="preserve">5 Conclusion</w:t>
      </w:r>
    </w:p>
    <w:bookmarkEnd w:id="55"/>
    <w:bookmarkStart w:id="128" w:name="references"/>
    <w:p>
      <w:pPr>
        <w:pStyle w:val="Heading1"/>
      </w:pPr>
      <w:r>
        <w:t xml:space="preserve">6 References</w:t>
      </w:r>
    </w:p>
    <w:bookmarkStart w:id="127" w:name="refs"/>
    <w:bookmarkStart w:id="57"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6">
        <w:r>
          <w:rPr>
            <w:rStyle w:val="Hyperlink"/>
          </w:rPr>
          <w:t xml:space="preserve">https://doi.org/10.1590/S0102-01882014000200002</w:t>
        </w:r>
      </w:hyperlink>
      <w:r>
        <w:t xml:space="preserve">.</w:t>
      </w:r>
    </w:p>
    <w:bookmarkEnd w:id="57"/>
    <w:bookmarkStart w:id="59"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8">
        <w:r>
          <w:rPr>
            <w:rStyle w:val="Hyperlink"/>
          </w:rPr>
          <w:t xml:space="preserve">https://doi.org/10.1093/acrefore/9780199366439.013.837</w:t>
        </w:r>
      </w:hyperlink>
      <w:r>
        <w:t xml:space="preserve">.</w:t>
      </w:r>
    </w:p>
    <w:bookmarkEnd w:id="59"/>
    <w:bookmarkStart w:id="61" w:name="ref-alesina2009"/>
    <w:p>
      <w:pPr>
        <w:pStyle w:val="Bibliography"/>
      </w:pPr>
      <w:r>
        <w:t xml:space="preserve">Alesina, Alberto F., and Paola Giuliano. 2009.</w:t>
      </w:r>
      <w:r>
        <w:t xml:space="preserve"> </w:t>
      </w:r>
      <w:r>
        <w:t xml:space="preserve">“Preferences for Redistribution.”</w:t>
      </w:r>
      <w:r>
        <w:t xml:space="preserve"> </w:t>
      </w:r>
      <w:hyperlink r:id="rId60">
        <w:r>
          <w:rPr>
            <w:rStyle w:val="Hyperlink"/>
          </w:rPr>
          <w:t xml:space="preserve">https://www.nber.org/papers/w14825</w:t>
        </w:r>
      </w:hyperlink>
      <w:r>
        <w:t xml:space="preserve">.</w:t>
      </w:r>
    </w:p>
    <w:bookmarkEnd w:id="61"/>
    <w:bookmarkStart w:id="63"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2">
        <w:r>
          <w:rPr>
            <w:rStyle w:val="Hyperlink"/>
          </w:rPr>
          <w:t xml:space="preserve">https://doi.org/10.1177/0010414013509579</w:t>
        </w:r>
      </w:hyperlink>
      <w:r>
        <w:t xml:space="preserve">.</w:t>
      </w:r>
    </w:p>
    <w:bookmarkEnd w:id="63"/>
    <w:bookmarkStart w:id="65"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4">
        <w:r>
          <w:rPr>
            <w:rStyle w:val="Hyperlink"/>
          </w:rPr>
          <w:t xml:space="preserve">https://doi.org/10.1017/S1355770X15000078</w:t>
        </w:r>
      </w:hyperlink>
      <w:r>
        <w:t xml:space="preserve">.</w:t>
      </w:r>
    </w:p>
    <w:bookmarkEnd w:id="65"/>
    <w:bookmarkStart w:id="66"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6"/>
    <w:bookmarkStart w:id="68"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7">
        <w:r>
          <w:rPr>
            <w:rStyle w:val="Hyperlink"/>
          </w:rPr>
          <w:t xml:space="preserve">https://doi.org/10.5007/2175-7984.2020.e66962</w:t>
        </w:r>
      </w:hyperlink>
      <w:r>
        <w:t xml:space="preserve">.</w:t>
      </w:r>
    </w:p>
    <w:bookmarkEnd w:id="68"/>
    <w:bookmarkStart w:id="70"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9">
        <w:r>
          <w:rPr>
            <w:rStyle w:val="Hyperlink"/>
          </w:rPr>
          <w:t xml:space="preserve">https://doi.org/10.1590/S0103-40142005000100005</w:t>
        </w:r>
      </w:hyperlink>
      <w:r>
        <w:t xml:space="preserve">.</w:t>
      </w:r>
    </w:p>
    <w:bookmarkEnd w:id="70"/>
    <w:bookmarkStart w:id="72"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71">
        <w:r>
          <w:rPr>
            <w:rStyle w:val="Hyperlink"/>
          </w:rPr>
          <w:t xml:space="preserve">https://doi.org/10.1057/9781137431738_6</w:t>
        </w:r>
      </w:hyperlink>
      <w:r>
        <w:t xml:space="preserve">.</w:t>
      </w:r>
    </w:p>
    <w:bookmarkEnd w:id="72"/>
    <w:bookmarkStart w:id="74"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3">
        <w:r>
          <w:rPr>
            <w:rStyle w:val="Hyperlink"/>
          </w:rPr>
          <w:t xml:space="preserve">https://www.bloomberg.com/news/features/2021-07-29/amazon-rainforest-deforestation-land-grabs-surge-under-bolsonaro-in-brazil</w:t>
        </w:r>
      </w:hyperlink>
      <w:r>
        <w:t xml:space="preserve">.</w:t>
      </w:r>
    </w:p>
    <w:bookmarkEnd w:id="74"/>
    <w:bookmarkStart w:id="76"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5">
        <w:r>
          <w:rPr>
            <w:rStyle w:val="Hyperlink"/>
          </w:rPr>
          <w:t xml:space="preserve">https://doi.org/10.1016/j.enpol.2017.09.019</w:t>
        </w:r>
      </w:hyperlink>
      <w:r>
        <w:t xml:space="preserve">.</w:t>
      </w:r>
    </w:p>
    <w:bookmarkEnd w:id="76"/>
    <w:bookmarkStart w:id="78"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7">
        <w:r>
          <w:rPr>
            <w:rStyle w:val="Hyperlink"/>
          </w:rPr>
          <w:t xml:space="preserve">https://doi.org/10.1080/10510974.2019.1572636</w:t>
        </w:r>
      </w:hyperlink>
      <w:r>
        <w:t xml:space="preserve">.</w:t>
      </w:r>
    </w:p>
    <w:bookmarkEnd w:id="78"/>
    <w:bookmarkStart w:id="80"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9">
        <w:r>
          <w:rPr>
            <w:rStyle w:val="Hyperlink"/>
          </w:rPr>
          <w:t xml:space="preserve">https://doi.org/10.1080/17524032.2019.1592005</w:t>
        </w:r>
      </w:hyperlink>
      <w:r>
        <w:t xml:space="preserve">.</w:t>
      </w:r>
    </w:p>
    <w:bookmarkEnd w:id="80"/>
    <w:bookmarkStart w:id="81"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81"/>
    <w:bookmarkStart w:id="83"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82">
        <w:r>
          <w:rPr>
            <w:rStyle w:val="Hyperlink"/>
          </w:rPr>
          <w:t xml:space="preserve">https://gredos.usal.es/handle/10366/139311</w:t>
        </w:r>
      </w:hyperlink>
      <w:r>
        <w:t xml:space="preserve">.</w:t>
      </w:r>
    </w:p>
    <w:bookmarkEnd w:id="83"/>
    <w:bookmarkStart w:id="84"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4"/>
    <w:bookmarkStart w:id="86" w:name="ref-cezar2020"/>
    <w:p>
      <w:pPr>
        <w:pStyle w:val="Bibliography"/>
      </w:pPr>
      <w:r>
        <w:t xml:space="preserve">Cezar, Rodrigo Fagundes. 2020.</w:t>
      </w:r>
      <w:r>
        <w:t xml:space="preserve"> </w:t>
      </w:r>
      <w:r>
        <w:t xml:space="preserve">“Brazilian Presidential Speeches from 1985 to July 2020.”</w:t>
      </w:r>
      <w:r>
        <w:t xml:space="preserve"> </w:t>
      </w:r>
      <w:hyperlink r:id="rId85">
        <w:r>
          <w:rPr>
            <w:rStyle w:val="Hyperlink"/>
          </w:rPr>
          <w:t xml:space="preserve">https://dataverse.harvard.edu/dataset.xhtml?persistentId=doi:10.7910/DVN/M9UU09</w:t>
        </w:r>
      </w:hyperlink>
      <w:r>
        <w:t xml:space="preserve">.</w:t>
      </w:r>
    </w:p>
    <w:bookmarkEnd w:id="86"/>
    <w:bookmarkStart w:id="88"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7">
        <w:r>
          <w:rPr>
            <w:rStyle w:val="Hyperlink"/>
          </w:rPr>
          <w:t xml:space="preserve">https://doi.org/10.1111/j.1467-9930.2005.00218.x</w:t>
        </w:r>
      </w:hyperlink>
      <w:r>
        <w:t xml:space="preserve">.</w:t>
      </w:r>
    </w:p>
    <w:bookmarkEnd w:id="88"/>
    <w:bookmarkStart w:id="90"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89">
        <w:r>
          <w:rPr>
            <w:rStyle w:val="Hyperlink"/>
          </w:rPr>
          <w:t xml:space="preserve">https://doi.org/10.1017/s0376892900032355</w:t>
        </w:r>
      </w:hyperlink>
      <w:r>
        <w:t xml:space="preserve">.</w:t>
      </w:r>
    </w:p>
    <w:bookmarkEnd w:id="90"/>
    <w:bookmarkStart w:id="92"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91">
        <w:r>
          <w:rPr>
            <w:rStyle w:val="Hyperlink"/>
          </w:rPr>
          <w:t xml:space="preserve">https://doi.org/10.1590/0034-7329201900205</w:t>
        </w:r>
      </w:hyperlink>
      <w:r>
        <w:t xml:space="preserve">.</w:t>
      </w:r>
    </w:p>
    <w:bookmarkEnd w:id="92"/>
    <w:bookmarkStart w:id="93"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93"/>
    <w:bookmarkStart w:id="95"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4">
        <w:r>
          <w:rPr>
            <w:rStyle w:val="Hyperlink"/>
          </w:rPr>
          <w:t xml:space="preserve">https://www.ft.com/content/02071ae7-dcf5-4c61-9c3c-b55f5aef8b0e</w:t>
        </w:r>
      </w:hyperlink>
      <w:r>
        <w:t xml:space="preserve">.</w:t>
      </w:r>
    </w:p>
    <w:bookmarkEnd w:id="95"/>
    <w:bookmarkStart w:id="96"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6"/>
    <w:bookmarkStart w:id="98"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7">
        <w:r>
          <w:rPr>
            <w:rStyle w:val="Hyperlink"/>
          </w:rPr>
          <w:t xml:space="preserve">https://press.uchicago.edu/ucp/books/book/chicago/F/bo10387801.html</w:t>
        </w:r>
      </w:hyperlink>
      <w:r>
        <w:t xml:space="preserve">.</w:t>
      </w:r>
    </w:p>
    <w:bookmarkEnd w:id="98"/>
    <w:bookmarkStart w:id="99"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9"/>
    <w:bookmarkStart w:id="101"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100">
        <w:r>
          <w:rPr>
            <w:rStyle w:val="Hyperlink"/>
          </w:rPr>
          <w:t xml:space="preserve">https://www.jstor.org/stable/4531616</w:t>
        </w:r>
      </w:hyperlink>
      <w:r>
        <w:t xml:space="preserve">.</w:t>
      </w:r>
    </w:p>
    <w:bookmarkEnd w:id="101"/>
    <w:bookmarkStart w:id="103"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102">
        <w:r>
          <w:rPr>
            <w:rStyle w:val="Hyperlink"/>
          </w:rPr>
          <w:t xml:space="preserve">https://doi.org/10.1080/09644016.2021.1957614</w:t>
        </w:r>
      </w:hyperlink>
      <w:r>
        <w:t xml:space="preserve">.</w:t>
      </w:r>
    </w:p>
    <w:bookmarkEnd w:id="103"/>
    <w:bookmarkStart w:id="105"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4">
        <w:r>
          <w:rPr>
            <w:rStyle w:val="Hyperlink"/>
          </w:rPr>
          <w:t xml:space="preserve">https://doi.org/10.1215/9780822390596</w:t>
        </w:r>
      </w:hyperlink>
      <w:r>
        <w:t xml:space="preserve">.</w:t>
      </w:r>
    </w:p>
    <w:bookmarkEnd w:id="105"/>
    <w:bookmarkStart w:id="107"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6">
        <w:r>
          <w:rPr>
            <w:rStyle w:val="Hyperlink"/>
          </w:rPr>
          <w:t xml:space="preserve">https://doi.org/10.1093/ser/mwaa015</w:t>
        </w:r>
      </w:hyperlink>
      <w:r>
        <w:t xml:space="preserve">.</w:t>
      </w:r>
    </w:p>
    <w:bookmarkEnd w:id="107"/>
    <w:bookmarkStart w:id="109"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08">
        <w:r>
          <w:rPr>
            <w:rStyle w:val="Hyperlink"/>
          </w:rPr>
          <w:t xml:space="preserve">https://CRAN.R-project.org/package=e1071</w:t>
        </w:r>
      </w:hyperlink>
      <w:r>
        <w:t xml:space="preserve">.</w:t>
      </w:r>
    </w:p>
    <w:bookmarkEnd w:id="109"/>
    <w:bookmarkStart w:id="111"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10">
        <w:r>
          <w:rPr>
            <w:rStyle w:val="Hyperlink"/>
          </w:rPr>
          <w:t xml:space="preserve">https://www.theguardian.com/commentisfree/2021/jul/28/bolsonaro-amazon-railway-climate-chaos-must-be-stopped</w:t>
        </w:r>
      </w:hyperlink>
      <w:r>
        <w:t xml:space="preserve">.</w:t>
      </w:r>
    </w:p>
    <w:bookmarkEnd w:id="111"/>
    <w:bookmarkStart w:id="112"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12"/>
    <w:bookmarkStart w:id="114"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13">
        <w:r>
          <w:rPr>
            <w:rStyle w:val="Hyperlink"/>
          </w:rPr>
          <w:t xml:space="preserve">http://www.unsamedita.unsam.edu.ar/product/exterminio-y-tutela-procesos-de-formacion-de-alteridades-en-el-brasil/</w:t>
        </w:r>
      </w:hyperlink>
      <w:r>
        <w:t xml:space="preserve">.</w:t>
      </w:r>
    </w:p>
    <w:bookmarkEnd w:id="114"/>
    <w:bookmarkStart w:id="116"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5">
        <w:r>
          <w:rPr>
            <w:rStyle w:val="Hyperlink"/>
          </w:rPr>
          <w:t xml:space="preserve">http://www.jstor.org/stable/2706785</w:t>
        </w:r>
      </w:hyperlink>
      <w:r>
        <w:t xml:space="preserve">.</w:t>
      </w:r>
    </w:p>
    <w:bookmarkEnd w:id="116"/>
    <w:bookmarkStart w:id="118"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17">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8"/>
    <w:bookmarkStart w:id="120"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19">
        <w:r>
          <w:rPr>
            <w:rStyle w:val="Hyperlink"/>
          </w:rPr>
          <w:t xml:space="preserve">https://www.nytimes.com/1988/08/12/world/vast-amazon-fires-man-made-linked-to-global-warming.html</w:t>
        </w:r>
      </w:hyperlink>
      <w:r>
        <w:t xml:space="preserve">.</w:t>
      </w:r>
    </w:p>
    <w:bookmarkEnd w:id="120"/>
    <w:bookmarkStart w:id="122"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21">
        <w:r>
          <w:rPr>
            <w:rStyle w:val="Hyperlink"/>
          </w:rPr>
          <w:t xml:space="preserve">https://doi.org/10.1080/1747423X.2021.1950229</w:t>
        </w:r>
      </w:hyperlink>
      <w:r>
        <w:t xml:space="preserve">.</w:t>
      </w:r>
    </w:p>
    <w:bookmarkEnd w:id="122"/>
    <w:bookmarkStart w:id="124"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23">
        <w:r>
          <w:rPr>
            <w:rStyle w:val="Hyperlink"/>
          </w:rPr>
          <w:t xml:space="preserve">https://doi.org/10.1007/s11558-019-09366-w</w:t>
        </w:r>
      </w:hyperlink>
      <w:r>
        <w:t xml:space="preserve">.</w:t>
      </w:r>
    </w:p>
    <w:bookmarkEnd w:id="124"/>
    <w:bookmarkStart w:id="126"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25">
        <w:r>
          <w:rPr>
            <w:rStyle w:val="Hyperlink"/>
          </w:rPr>
          <w:t xml:space="preserve">https://www.jstor.org/stable/27552615</w:t>
        </w:r>
      </w:hyperlink>
      <w:r>
        <w:t xml:space="preserve">.</w:t>
      </w:r>
    </w:p>
    <w:bookmarkEnd w:id="126"/>
    <w:bookmarkEnd w:id="127"/>
    <w:bookmarkEnd w:id="128"/>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29">
    <w:p>
      <w:pPr>
        <w:pStyle w:val="FootnoteText"/>
      </w:pPr>
      <w:r>
        <w:rPr>
          <w:rStyle w:val="FootnoteReference"/>
        </w:rPr>
        <w:footnoteRef/>
      </w:r>
      <w:r>
        <w:t xml:space="preserve"> </w:t>
      </w:r>
      <w:r>
        <w:t xml:space="preserve">For an overview on how inflation and political discourse in Brazil see Porto (2007), Malheiros-Poulet (2012), and Fonseca et al. (2021). For a few studies on racist and anti-racist discourses in Brazil see Htun (2004), Silva and Larkins (2019) and Dijk (2020).</w:t>
      </w:r>
    </w:p>
  </w:footnote>
  <w:footnote w:id="34">
    <w:p>
      <w:pPr>
        <w:pStyle w:val="FootnoteText"/>
      </w:pPr>
      <w:r>
        <w:rPr>
          <w:rStyle w:val="FootnoteReference"/>
        </w:rPr>
        <w:footnoteRef/>
      </w:r>
      <w:r>
        <w:t xml:space="preserve"> </w:t>
      </w:r>
      <w:r>
        <w:t xml:space="preserve">For more information on this please see the extended methodology. The document includes a detailed discussion of how the SVM algorithm was chosen over other algorithms based on evaluation of performance of trained models for labeling the validation set. The extended methodology also includes a more detailed codebook table with further coding guidelines.</w:t>
      </w:r>
    </w:p>
  </w:footnote>
  <w:footnote w:id="38">
    <w:p>
      <w:pPr>
        <w:pStyle w:val="FootnoteText"/>
      </w:pPr>
      <w:r>
        <w:rPr>
          <w:rStyle w:val="FootnoteReference"/>
        </w:rPr>
        <w:footnoteRef/>
      </w:r>
      <w:r>
        <w:t xml:space="preserve"> </w:t>
      </w:r>
      <w:r>
        <w:t xml:space="preserve">The reasoning here is that knowledge of high or low deforestation rates might drive presidents to speak about the Amazon.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tend to come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circulates within the same year. The year of 1988 is particularly indicative of these complications: a report dating 1988 was circulating with deforestation and fire figures</w:t>
      </w:r>
      <w:r>
        <w:t xml:space="preserve">(Fearnside 1990)</w:t>
      </w:r>
      <w:r>
        <w:t xml:space="preserve">, and a New York Times article about the issue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115" Target="http://www.jstor.org/stable/2706785" TargetMode="External" /><Relationship Type="http://schemas.openxmlformats.org/officeDocument/2006/relationships/hyperlink" Id="rId113" Target="http://www.unsamedita.unsam.edu.ar/product/exterminio-y-tutela-procesos-de-formacion-de-alteridades-en-el-brasil/" TargetMode="External" /><Relationship Type="http://schemas.openxmlformats.org/officeDocument/2006/relationships/hyperlink" Id="rId108" Target="https://CRAN.R-project.org/package=e1071" TargetMode="External" /><Relationship Type="http://schemas.openxmlformats.org/officeDocument/2006/relationships/hyperlink" Id="rId85" Target="https://dataverse.harvard.edu/dataset.xhtml?persistentId=doi:10.7910/DVN/M9UU09" TargetMode="External" /><Relationship Type="http://schemas.openxmlformats.org/officeDocument/2006/relationships/hyperlink" Id="rId123" Target="https://doi.org/10.1007/s11558-019-09366-w" TargetMode="External" /><Relationship Type="http://schemas.openxmlformats.org/officeDocument/2006/relationships/hyperlink" Id="rId75" Target="https://doi.org/10.1016/j.enpol.2017.09.019" TargetMode="External" /><Relationship Type="http://schemas.openxmlformats.org/officeDocument/2006/relationships/hyperlink" Id="rId64" Target="https://doi.org/10.1017/S1355770X15000078" TargetMode="External" /><Relationship Type="http://schemas.openxmlformats.org/officeDocument/2006/relationships/hyperlink" Id="rId89" Target="https://doi.org/10.1017/s0376892900032355" TargetMode="External" /><Relationship Type="http://schemas.openxmlformats.org/officeDocument/2006/relationships/hyperlink" Id="rId71" Target="https://doi.org/10.1057/9781137431738_6" TargetMode="External" /><Relationship Type="http://schemas.openxmlformats.org/officeDocument/2006/relationships/hyperlink" Id="rId102" Target="https://doi.org/10.1080/09644016.2021.1957614" TargetMode="External" /><Relationship Type="http://schemas.openxmlformats.org/officeDocument/2006/relationships/hyperlink" Id="rId77" Target="https://doi.org/10.1080/10510974.2019.1572636" TargetMode="External" /><Relationship Type="http://schemas.openxmlformats.org/officeDocument/2006/relationships/hyperlink" Id="rId121" Target="https://doi.org/10.1080/1747423X.2021.1950229" TargetMode="External" /><Relationship Type="http://schemas.openxmlformats.org/officeDocument/2006/relationships/hyperlink" Id="rId79" Target="https://doi.org/10.1080/17524032.2019.1592005" TargetMode="External" /><Relationship Type="http://schemas.openxmlformats.org/officeDocument/2006/relationships/hyperlink" Id="rId58" Target="https://doi.org/10.1093/acrefore/9780199366439.013.837" TargetMode="External" /><Relationship Type="http://schemas.openxmlformats.org/officeDocument/2006/relationships/hyperlink" Id="rId106" Target="https://doi.org/10.1093/ser/mwaa015" TargetMode="External" /><Relationship Type="http://schemas.openxmlformats.org/officeDocument/2006/relationships/hyperlink" Id="rId87" Target="https://doi.org/10.1111/j.1467-9930.2005.00218.x" TargetMode="External" /><Relationship Type="http://schemas.openxmlformats.org/officeDocument/2006/relationships/hyperlink" Id="rId62" Target="https://doi.org/10.1177/0010414013509579" TargetMode="External" /><Relationship Type="http://schemas.openxmlformats.org/officeDocument/2006/relationships/hyperlink" Id="rId104" Target="https://doi.org/10.1215/9780822390596" TargetMode="External" /><Relationship Type="http://schemas.openxmlformats.org/officeDocument/2006/relationships/hyperlink" Id="rId91" Target="https://doi.org/10.1590/0034-7329201900205" TargetMode="External" /><Relationship Type="http://schemas.openxmlformats.org/officeDocument/2006/relationships/hyperlink" Id="rId56" Target="https://doi.org/10.1590/S0102-01882014000200002" TargetMode="External" /><Relationship Type="http://schemas.openxmlformats.org/officeDocument/2006/relationships/hyperlink" Id="rId69" Target="https://doi.org/10.1590/S0103-40142005000100005" TargetMode="External" /><Relationship Type="http://schemas.openxmlformats.org/officeDocument/2006/relationships/hyperlink" Id="rId67" Target="https://doi.org/10.5007/2175-7984.2020.e66962" TargetMode="External" /><Relationship Type="http://schemas.openxmlformats.org/officeDocument/2006/relationships/hyperlink" Id="rId82" Target="https://gredos.usal.es/handle/10366/139311" TargetMode="External" /><Relationship Type="http://schemas.openxmlformats.org/officeDocument/2006/relationships/hyperlink" Id="rId97" Target="https://press.uchicago.edu/ucp/books/book/chicago/F/bo10387801.html" TargetMode="External" /><Relationship Type="http://schemas.openxmlformats.org/officeDocument/2006/relationships/hyperlink" Id="rId73" Target="https://www.bloomberg.com/news/features/2021-07-29/amazon-rainforest-deforestation-land-grabs-surge-under-bolsonaro-in-brazil" TargetMode="External" /><Relationship Type="http://schemas.openxmlformats.org/officeDocument/2006/relationships/hyperlink" Id="rId94" Target="https://www.ft.com/content/02071ae7-dcf5-4c61-9c3c-b55f5aef8b0e" TargetMode="External" /><Relationship Type="http://schemas.openxmlformats.org/officeDocument/2006/relationships/hyperlink" Id="rId125" Target="https://www.jstor.org/stable/27552615" TargetMode="External" /><Relationship Type="http://schemas.openxmlformats.org/officeDocument/2006/relationships/hyperlink" Id="rId100" Target="https://www.jstor.org/stable/4531616" TargetMode="External" /><Relationship Type="http://schemas.openxmlformats.org/officeDocument/2006/relationships/hyperlink" Id="rId60" Target="https://www.nber.org/papers/w14825" TargetMode="External" /><Relationship Type="http://schemas.openxmlformats.org/officeDocument/2006/relationships/hyperlink" Id="rId119" Target="https://www.nytimes.com/1988/08/12/world/vast-amazon-fires-man-made-linked-to-global-warming.html" TargetMode="External" /><Relationship Type="http://schemas.openxmlformats.org/officeDocument/2006/relationships/hyperlink" Id="rId11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0"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15" Target="http://www.jstor.org/stable/2706785" TargetMode="External" /><Relationship Type="http://schemas.openxmlformats.org/officeDocument/2006/relationships/hyperlink" Id="rId113" Target="http://www.unsamedita.unsam.edu.ar/product/exterminio-y-tutela-procesos-de-formacion-de-alteridades-en-el-brasil/" TargetMode="External" /><Relationship Type="http://schemas.openxmlformats.org/officeDocument/2006/relationships/hyperlink" Id="rId108" Target="https://CRAN.R-project.org/package=e1071" TargetMode="External" /><Relationship Type="http://schemas.openxmlformats.org/officeDocument/2006/relationships/hyperlink" Id="rId85" Target="https://dataverse.harvard.edu/dataset.xhtml?persistentId=doi:10.7910/DVN/M9UU09" TargetMode="External" /><Relationship Type="http://schemas.openxmlformats.org/officeDocument/2006/relationships/hyperlink" Id="rId123" Target="https://doi.org/10.1007/s11558-019-09366-w" TargetMode="External" /><Relationship Type="http://schemas.openxmlformats.org/officeDocument/2006/relationships/hyperlink" Id="rId75" Target="https://doi.org/10.1016/j.enpol.2017.09.019" TargetMode="External" /><Relationship Type="http://schemas.openxmlformats.org/officeDocument/2006/relationships/hyperlink" Id="rId64" Target="https://doi.org/10.1017/S1355770X15000078" TargetMode="External" /><Relationship Type="http://schemas.openxmlformats.org/officeDocument/2006/relationships/hyperlink" Id="rId89" Target="https://doi.org/10.1017/s0376892900032355" TargetMode="External" /><Relationship Type="http://schemas.openxmlformats.org/officeDocument/2006/relationships/hyperlink" Id="rId71" Target="https://doi.org/10.1057/9781137431738_6" TargetMode="External" /><Relationship Type="http://schemas.openxmlformats.org/officeDocument/2006/relationships/hyperlink" Id="rId102" Target="https://doi.org/10.1080/09644016.2021.1957614" TargetMode="External" /><Relationship Type="http://schemas.openxmlformats.org/officeDocument/2006/relationships/hyperlink" Id="rId77" Target="https://doi.org/10.1080/10510974.2019.1572636" TargetMode="External" /><Relationship Type="http://schemas.openxmlformats.org/officeDocument/2006/relationships/hyperlink" Id="rId121" Target="https://doi.org/10.1080/1747423X.2021.1950229" TargetMode="External" /><Relationship Type="http://schemas.openxmlformats.org/officeDocument/2006/relationships/hyperlink" Id="rId79" Target="https://doi.org/10.1080/17524032.2019.1592005" TargetMode="External" /><Relationship Type="http://schemas.openxmlformats.org/officeDocument/2006/relationships/hyperlink" Id="rId58" Target="https://doi.org/10.1093/acrefore/9780199366439.013.837" TargetMode="External" /><Relationship Type="http://schemas.openxmlformats.org/officeDocument/2006/relationships/hyperlink" Id="rId106" Target="https://doi.org/10.1093/ser/mwaa015" TargetMode="External" /><Relationship Type="http://schemas.openxmlformats.org/officeDocument/2006/relationships/hyperlink" Id="rId87" Target="https://doi.org/10.1111/j.1467-9930.2005.00218.x" TargetMode="External" /><Relationship Type="http://schemas.openxmlformats.org/officeDocument/2006/relationships/hyperlink" Id="rId62" Target="https://doi.org/10.1177/0010414013509579" TargetMode="External" /><Relationship Type="http://schemas.openxmlformats.org/officeDocument/2006/relationships/hyperlink" Id="rId104" Target="https://doi.org/10.1215/9780822390596" TargetMode="External" /><Relationship Type="http://schemas.openxmlformats.org/officeDocument/2006/relationships/hyperlink" Id="rId91" Target="https://doi.org/10.1590/0034-7329201900205" TargetMode="External" /><Relationship Type="http://schemas.openxmlformats.org/officeDocument/2006/relationships/hyperlink" Id="rId56" Target="https://doi.org/10.1590/S0102-01882014000200002" TargetMode="External" /><Relationship Type="http://schemas.openxmlformats.org/officeDocument/2006/relationships/hyperlink" Id="rId69" Target="https://doi.org/10.1590/S0103-40142005000100005" TargetMode="External" /><Relationship Type="http://schemas.openxmlformats.org/officeDocument/2006/relationships/hyperlink" Id="rId67" Target="https://doi.org/10.5007/2175-7984.2020.e66962" TargetMode="External" /><Relationship Type="http://schemas.openxmlformats.org/officeDocument/2006/relationships/hyperlink" Id="rId82" Target="https://gredos.usal.es/handle/10366/139311" TargetMode="External" /><Relationship Type="http://schemas.openxmlformats.org/officeDocument/2006/relationships/hyperlink" Id="rId97" Target="https://press.uchicago.edu/ucp/books/book/chicago/F/bo10387801.html" TargetMode="External" /><Relationship Type="http://schemas.openxmlformats.org/officeDocument/2006/relationships/hyperlink" Id="rId73" Target="https://www.bloomberg.com/news/features/2021-07-29/amazon-rainforest-deforestation-land-grabs-surge-under-bolsonaro-in-brazil" TargetMode="External" /><Relationship Type="http://schemas.openxmlformats.org/officeDocument/2006/relationships/hyperlink" Id="rId94" Target="https://www.ft.com/content/02071ae7-dcf5-4c61-9c3c-b55f5aef8b0e" TargetMode="External" /><Relationship Type="http://schemas.openxmlformats.org/officeDocument/2006/relationships/hyperlink" Id="rId125" Target="https://www.jstor.org/stable/27552615" TargetMode="External" /><Relationship Type="http://schemas.openxmlformats.org/officeDocument/2006/relationships/hyperlink" Id="rId100" Target="https://www.jstor.org/stable/4531616" TargetMode="External" /><Relationship Type="http://schemas.openxmlformats.org/officeDocument/2006/relationships/hyperlink" Id="rId60" Target="https://www.nber.org/papers/w14825" TargetMode="External" /><Relationship Type="http://schemas.openxmlformats.org/officeDocument/2006/relationships/hyperlink" Id="rId119" Target="https://www.nytimes.com/1988/08/12/world/vast-amazon-fires-man-made-linked-to-global-warming.html" TargetMode="External" /><Relationship Type="http://schemas.openxmlformats.org/officeDocument/2006/relationships/hyperlink" Id="rId11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0"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2022-04-10T08:53:14Z</dcterms:created>
  <dcterms:modified xsi:type="dcterms:W3CDTF">2022-04-10T08:53:14Z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