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3" w:name="X09881e77d94e12c2b1043deb84f7e6d380f51a3"/>
    <w:p>
      <w:pPr>
        <w:pStyle w:val="Heading1"/>
      </w:pPr>
      <w:r>
        <w:t xml:space="preserve">2 Amazonian policy-cycles, discourse, and problem-construction</w:t>
      </w:r>
    </w:p>
    <w:bookmarkStart w:id="31"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30"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w:t>
      </w:r>
      <w:r>
        <w:t xml:space="preserve"> </w:t>
      </w:r>
      <w:r>
        <w:rPr>
          <w:rStyle w:val="FootnoteReference"/>
        </w:rPr>
        <w:footnoteReference w:id="29"/>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30"/>
    <w:bookmarkEnd w:id="31"/>
    <w:bookmarkStart w:id="32"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2"/>
    <w:bookmarkEnd w:id="33"/>
    <w:bookmarkStart w:id="37"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5"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p>
      <w:pPr>
        <w:pStyle w:val="TableCaption"/>
      </w:pPr>
      <w:r>
        <w:t xml:space="preserve">Table 1 - Amazonian Problem-Construction Codebook</w:t>
      </w:r>
    </w:p>
    <w:tbl>
      <w:tblPr>
        <w:tblStyle w:val="Table"/>
        <w:tblW w:type="auto" w:w="0"/>
        <w:tblLook w:firstRow="1" w:lastRow="0" w:firstColumn="0" w:lastColumn="0" w:noHBand="0" w:noVBand="0" w:val="0020"/>
        <w:tblCaption w:val="Table 1 - Amazonian Problem-Construction Codebook"/>
      </w:tblPr>
      <w:tblGrid>
        <w:gridCol w:w="2640"/>
        <w:gridCol w:w="2640"/>
        <w:gridCol w:w="2640"/>
      </w:tblGrid>
      <w:tr>
        <w:trPr>
          <w:tblHeader w:val="true"/>
        </w:trPr>
        <w:tc>
          <w:tcPr/>
          <w:p>
            <w:pPr>
              <w:pStyle w:val="Compact"/>
              <w:jc w:val="left"/>
            </w:pPr>
            <w:r>
              <w:t xml:space="preserve">Problem_Construction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 25/10/2019)</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jc w:val="left"/>
            </w:pPr>
            <w:r>
              <w:t xml:space="preserve">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 02/07/1997)</w:t>
            </w: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jc w:val="left"/>
            </w:pPr>
            <w:r>
              <w:t xml:space="preserve">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 20/11/2009)</w:t>
            </w: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jc w:val="left"/>
            </w:pPr>
            <w:r>
              <w:t xml:space="preserve">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w:t>
      </w:r>
      <w:r>
        <w:t xml:space="preserve"> </w:t>
      </w:r>
      <w:r>
        <w:t xml:space="preserve">(Meyer et al. 2021; Noble 2006)</w:t>
      </w:r>
      <w:r>
        <w:rPr>
          <w:rStyle w:val="FootnoteReference"/>
        </w:rPr>
        <w:footnoteReference w:id="34"/>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5"/>
    <w:bookmarkStart w:id="36"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also control for annual deforestation rates, annual inflation rates, and election years in the model.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6"/>
    <w:bookmarkEnd w:id="37"/>
    <w:bookmarkStart w:id="54"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2"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8"/>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40" name="Picture"/>
            <a:graphic>
              <a:graphicData uri="http://schemas.openxmlformats.org/drawingml/2006/picture">
                <pic:pic>
                  <pic:nvPicPr>
                    <pic:cNvPr descr="Full_draft_20220401_files/figure-docx/Figure%201:%20Amazonian%20speeches%20by%20year-1.png" id="41" name="Picture"/>
                    <pic:cNvPicPr>
                      <a:picLocks noChangeArrowheads="1" noChangeAspect="1"/>
                    </pic:cNvPicPr>
                  </pic:nvPicPr>
                  <pic:blipFill>
                    <a:blip r:embed="rId3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2"/>
    <w:bookmarkStart w:id="52"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at 55.8%.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4" name="Picture"/>
            <a:graphic>
              <a:graphicData uri="http://schemas.openxmlformats.org/drawingml/2006/picture">
                <pic:pic>
                  <pic:nvPicPr>
                    <pic:cNvPr descr="Full_draft_20220401_files/figure-docx/Figure%202:%20mixed-types%20in%20time-1.png" id="45" name="Picture"/>
                    <pic:cNvPicPr>
                      <a:picLocks noChangeArrowheads="1" noChangeAspect="1"/>
                    </pic:cNvPicPr>
                  </pic:nvPicPr>
                  <pic:blipFill>
                    <a:blip r:embed="rId43"/>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late 1990s. Concurently, pure conservation as well as pure social development increased; both surpassing the proportion of economic integration problem-construction in 2010.</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for illegal deforestation. As of the mid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7" name="Picture"/>
            <a:graphic>
              <a:graphicData uri="http://schemas.openxmlformats.org/drawingml/2006/picture">
                <pic:pic>
                  <pic:nvPicPr>
                    <pic:cNvPr descr="Full_draft_20220401_files/figure-docx/Figure%203:%20pure%20types%20in%20time%20-1.png" id="48" name="Picture"/>
                    <pic:cNvPicPr>
                      <a:picLocks noChangeArrowheads="1" noChangeAspect="1"/>
                    </pic:cNvPicPr>
                  </pic:nvPicPr>
                  <pic:blipFill>
                    <a:blip r:embed="rId46"/>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17.7%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environmental conservation, which averages at 29.15% in relation to mixed types only, and at 6.8% in relation to all Amazonian statements. Overall, we observe an increase along time, reaching its pike in the early 2010. President Dilma was the most frequent user of this mix. A close second is economic and social development being used together in about 22.9% of all mixed type statements and 5.4% of all statements.</w:t>
      </w:r>
    </w:p>
    <w:p>
      <w:pPr>
        <w:pStyle w:val="BodyText"/>
      </w:pPr>
      <w:r>
        <w:t xml:space="preserve">All other mixed types appeared less than 2.6% on average in relation to all statements. We can also interpret mixed types, though, by looking at what compose them the most along time.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mostly in detriment of conservation social development. This becomes more apparent in a comparison between Lula and Bolsonaro, the two presidents that mix the most with proportions 11% above presidential averages: 29.4% and 31.3% respectively. While the former frequently mixed conservation with other problem constructions, the latter prefers mixing with sovereignty. The combination of sovereignty with economic integration, which was also characteristic of the military dictatorship policies for the region, reaches its highest level with Bolsonaro: 22.7% of all mixed types.</w:t>
      </w:r>
    </w:p>
    <w:p>
      <w:pPr>
        <w:pStyle w:val="BodyText"/>
      </w:pPr>
      <w:r>
        <w:drawing>
          <wp:inline>
            <wp:extent cx="5727700" cy="4582160"/>
            <wp:effectExtent b="0" l="0" r="0" t="0"/>
            <wp:docPr descr="" title="" id="50" name="Picture"/>
            <a:graphic>
              <a:graphicData uri="http://schemas.openxmlformats.org/drawingml/2006/picture">
                <pic:pic>
                  <pic:nvPicPr>
                    <pic:cNvPr descr="Full_draft_20220401_files/figure-docx/Figure%204:%20mixed-types%20by%20president%20-1.png" id="51" name="Picture"/>
                    <pic:cNvPicPr>
                      <a:picLocks noChangeArrowheads="1" noChangeAspect="1"/>
                    </pic:cNvPicPr>
                  </pic:nvPicPr>
                  <pic:blipFill>
                    <a:blip r:embed="rId49"/>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mid 2010s, and the soft increase of sovereignty both pure and in mixes already late 2000s (figure 3) . The hard increase in sovereignty comes in the early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2"/>
    <w:bookmarkStart w:id="53" w:name="X907f7c83bef415cd4eb0f6cbf6318b241e96f3b"/>
    <w:p>
      <w:pPr>
        <w:pStyle w:val="Heading2"/>
      </w:pPr>
      <w:r>
        <w:t xml:space="preserve">4.3 An Amazonian three-level game? Boasting policy outside, talking to people inside</w:t>
      </w:r>
    </w:p>
    <w:p>
      <w:pPr>
        <w:pStyle w:val="FirstParagraph"/>
      </w:pPr>
      <w:r>
        <w:t xml:space="preserve">Table 2, below, displays the multinational regression coefficients for the correlation between diverse problem constructions and locations. The regression coefficients express the relative probability in relation to the reference categories, which are Amazonian states for location and environmental conservation for problem construction. Although all the other mixed types problem-constructions were included in the model, we choose to display and focus the analysis on the pure types. From the outset, we notice that problem constructions of pure economic integration and pure social development correlate in negative statistically significant ways to both international settings and Brasilia in relation to environmental conservation problem constructions in Amazonian states. These findings indicate that constructing the Amazon as an issue of environmental conservation is more likely to happen in international settings and in Brasilia than in Amazonian states. Additionally, pure sovereignty correlates in negative statistically significant ways to international settings in relation to conservation in Amazonian states. That is, constructing the Amazon as an issue of sovereignty is less likely in international settings than it is in Amazonian States. Interestingly, we see no statistically significant correlations between problem constructions in non-Amazonian states in relation to Amazonian states. This indicates that when presidents speak about the Amazon at the state level, constructions might be rather similar across different states. Furthermore, we also notice that some of the control variables correlate with some Amazonian problem constructions in interesting ways. For example, pure sovereignty constructions correlate negatively with election years in relation to conservation. That is, in election years conservation constructions are more likely to take place in comparison to sovereignty. As well, annual deforestation rates correlate positively with economic integration constructions in relation to conservation. This indicates that both deforestation increases and presidents are also more likely to construct the Amazon as an issue of economic integration.</w:t>
      </w:r>
    </w:p>
    <w:p>
      <w:pPr>
        <w:pStyle w:val="TableCaption"/>
      </w:pPr>
      <w:r>
        <w:t xml:space="preserve">Table 2 - Amazon Problem-Construction by Location</w:t>
      </w:r>
    </w:p>
    <w:tbl>
      <w:tblPr>
        <w:tblStyle w:val="Table"/>
        <w:tblW w:type="auto" w:w="0"/>
        <w:tblLook w:firstRow="0" w:lastRow="0" w:firstColumn="0" w:lastColumn="0" w:noHBand="0" w:noVBand="0" w:val="0000"/>
        <w:tblCaption w:val="Table 2 - Amazon Problem-Construction by Location"/>
      </w:tblPr>
      <w:tblGrid>
        <w:gridCol w:w="1980"/>
        <w:gridCol w:w="1980"/>
        <w:gridCol w:w="1980"/>
        <w:gridCol w:w="1980"/>
      </w:tblGrid>
      <w:tr>
        <w:tc>
          <w:tcPr/>
          <w:p>
            <w:pPr>
              <w:pStyle w:val="Compact"/>
              <w:jc w:val="left"/>
            </w:pPr>
            <w:r>
              <w:t xml:space="preserve">Dependent.Variables</w:t>
            </w:r>
          </w:p>
        </w:tc>
        <w:tc>
          <w:tcPr/>
          <w:p>
            <w:pPr>
              <w:pStyle w:val="Compact"/>
              <w:jc w:val="left"/>
            </w:pPr>
            <w:r>
              <w:t xml:space="preserve">Economic Integration vs. Environmental Conservation</w:t>
            </w:r>
          </w:p>
        </w:tc>
        <w:tc>
          <w:tcPr/>
          <w:p>
            <w:pPr>
              <w:pStyle w:val="Compact"/>
              <w:jc w:val="left"/>
            </w:pPr>
            <w:r>
              <w:t xml:space="preserve">Social Development vs. Environmental Conservation</w:t>
            </w:r>
          </w:p>
        </w:tc>
        <w:tc>
          <w:tcPr/>
          <w:p>
            <w:pPr>
              <w:pStyle w:val="Compact"/>
              <w:jc w:val="left"/>
            </w:pPr>
            <w:r>
              <w:t xml:space="preserve">Sovereignty vs. Environmental Conservation</w:t>
            </w:r>
          </w:p>
        </w:tc>
      </w:tr>
      <w:tr>
        <w:tc>
          <w:tcPr/>
          <w:p>
            <w:pPr>
              <w:pStyle w:val="Compact"/>
              <w:jc w:val="left"/>
            </w:pPr>
            <w:r>
              <w:t xml:space="preserve">Brasilia.vs..Amazonian.States</w:t>
            </w:r>
          </w:p>
        </w:tc>
        <w:tc>
          <w:tcPr/>
          <w:p>
            <w:pPr>
              <w:pStyle w:val="Compact"/>
              <w:jc w:val="left"/>
            </w:pPr>
            <w:r>
              <w:t xml:space="preserve">-1.024***</w:t>
            </w:r>
          </w:p>
        </w:tc>
        <w:tc>
          <w:tcPr/>
          <w:p>
            <w:pPr>
              <w:pStyle w:val="Compact"/>
              <w:jc w:val="left"/>
            </w:pPr>
            <w:r>
              <w:t xml:space="preserve">-1.002***</w:t>
            </w:r>
          </w:p>
        </w:tc>
        <w:tc>
          <w:tcPr/>
          <w:p>
            <w:pPr>
              <w:pStyle w:val="Compact"/>
              <w:jc w:val="left"/>
            </w:pPr>
            <w:r>
              <w:t xml:space="preserve">-0.206</w:t>
            </w:r>
          </w:p>
        </w:tc>
      </w:tr>
      <w:tr>
        <w:tc>
          <w:tcPr/>
          <w:p>
            <w:pPr>
              <w:pStyle w:val="Compact"/>
              <w:jc w:val="left"/>
            </w:pPr>
            <w:r>
              <w:t xml:space="preserve">International.vs..Amazonian.States</w:t>
            </w:r>
          </w:p>
        </w:tc>
        <w:tc>
          <w:tcPr/>
          <w:p>
            <w:pPr>
              <w:pStyle w:val="Compact"/>
              <w:jc w:val="left"/>
            </w:pPr>
            <w:r>
              <w:t xml:space="preserve">-0.612***</w:t>
            </w:r>
          </w:p>
        </w:tc>
        <w:tc>
          <w:tcPr/>
          <w:p>
            <w:pPr>
              <w:pStyle w:val="Compact"/>
              <w:jc w:val="left"/>
            </w:pPr>
            <w:r>
              <w:t xml:space="preserve">-1.583***</w:t>
            </w:r>
          </w:p>
        </w:tc>
        <w:tc>
          <w:tcPr/>
          <w:p>
            <w:pPr>
              <w:pStyle w:val="Compact"/>
              <w:jc w:val="left"/>
            </w:pPr>
            <w:r>
              <w:t xml:space="preserve">-1.427***</w:t>
            </w:r>
          </w:p>
        </w:tc>
      </w:tr>
      <w:tr>
        <w:tc>
          <w:tcPr/>
          <w:p>
            <w:pPr>
              <w:pStyle w:val="Compact"/>
              <w:jc w:val="left"/>
            </w:pPr>
            <w:r>
              <w:t xml:space="preserve">Non.AM.States.vs..Amazonian.States</w:t>
            </w:r>
          </w:p>
        </w:tc>
        <w:tc>
          <w:tcPr/>
          <w:p>
            <w:pPr>
              <w:pStyle w:val="Compact"/>
              <w:jc w:val="left"/>
            </w:pPr>
            <w:r>
              <w:t xml:space="preserve">0.023</w:t>
            </w:r>
          </w:p>
        </w:tc>
        <w:tc>
          <w:tcPr/>
          <w:p>
            <w:pPr>
              <w:pStyle w:val="Compact"/>
              <w:jc w:val="left"/>
            </w:pPr>
            <w:r>
              <w:t xml:space="preserve">-0.041</w:t>
            </w:r>
          </w:p>
        </w:tc>
        <w:tc>
          <w:tcPr/>
          <w:p>
            <w:pPr>
              <w:pStyle w:val="Compact"/>
              <w:jc w:val="left"/>
            </w:pPr>
            <w:r>
              <w:t xml:space="preserve">0.324</w:t>
            </w:r>
          </w:p>
        </w:tc>
      </w:tr>
      <w:tr>
        <w:tc>
          <w:tcPr/>
          <w:p>
            <w:pPr>
              <w:pStyle w:val="Compact"/>
              <w:jc w:val="left"/>
            </w:pPr>
            <w:r>
              <w:t xml:space="preserve">Election.Year</w:t>
            </w:r>
          </w:p>
        </w:tc>
        <w:tc>
          <w:tcPr/>
          <w:p>
            <w:pPr>
              <w:pStyle w:val="Compact"/>
              <w:jc w:val="left"/>
            </w:pPr>
            <w:r>
              <w:t xml:space="preserve">-0.241</w:t>
            </w:r>
          </w:p>
        </w:tc>
        <w:tc>
          <w:tcPr/>
          <w:p>
            <w:pPr>
              <w:pStyle w:val="Compact"/>
              <w:jc w:val="left"/>
            </w:pPr>
            <w:r>
              <w:t xml:space="preserve">0.028</w:t>
            </w:r>
          </w:p>
        </w:tc>
        <w:tc>
          <w:tcPr/>
          <w:p>
            <w:pPr>
              <w:pStyle w:val="Compact"/>
              <w:jc w:val="left"/>
            </w:pPr>
            <w:r>
              <w:t xml:space="preserve">-0.684**</w:t>
            </w:r>
          </w:p>
        </w:tc>
      </w:tr>
      <w:tr>
        <w:tc>
          <w:tcPr/>
          <w:p>
            <w:pPr>
              <w:pStyle w:val="Compact"/>
              <w:jc w:val="left"/>
            </w:pPr>
            <w:r>
              <w:t xml:space="preserve">Annual.Deforestation</w:t>
            </w:r>
          </w:p>
        </w:tc>
        <w:tc>
          <w:tcPr/>
          <w:p>
            <w:pPr>
              <w:pStyle w:val="Compact"/>
              <w:jc w:val="left"/>
            </w:pPr>
            <w:r>
              <w:t xml:space="preserve">0.063***</w:t>
            </w:r>
          </w:p>
        </w:tc>
        <w:tc>
          <w:tcPr/>
          <w:p>
            <w:pPr>
              <w:pStyle w:val="Compact"/>
              <w:jc w:val="left"/>
            </w:pPr>
            <w:r>
              <w:t xml:space="preserve">-0.031*</w:t>
            </w:r>
          </w:p>
        </w:tc>
        <w:tc>
          <w:tcPr/>
          <w:p>
            <w:pPr>
              <w:pStyle w:val="Compact"/>
              <w:jc w:val="left"/>
            </w:pPr>
            <w:r>
              <w:t xml:space="preserve">0.004</w:t>
            </w:r>
          </w:p>
        </w:tc>
      </w:tr>
      <w:tr>
        <w:tc>
          <w:tcPr/>
          <w:p>
            <w:pPr>
              <w:pStyle w:val="Compact"/>
              <w:jc w:val="left"/>
            </w:pPr>
            <w:r>
              <w:t xml:space="preserve">Average.Inflation</w:t>
            </w:r>
          </w:p>
        </w:tc>
        <w:tc>
          <w:tcPr/>
          <w:p>
            <w:pPr>
              <w:pStyle w:val="Compact"/>
              <w:jc w:val="left"/>
            </w:pPr>
            <w:r>
              <w:t xml:space="preserve">-0.001***</w:t>
            </w:r>
          </w:p>
        </w:tc>
        <w:tc>
          <w:tcPr/>
          <w:p>
            <w:pPr>
              <w:pStyle w:val="Compact"/>
              <w:jc w:val="left"/>
            </w:pPr>
            <w:r>
              <w:t xml:space="preserve">-0.001***</w:t>
            </w:r>
          </w:p>
        </w:tc>
        <w:tc>
          <w:tcPr/>
          <w:p>
            <w:pPr>
              <w:pStyle w:val="Compact"/>
              <w:jc w:val="left"/>
            </w:pPr>
            <w:r>
              <w:t xml:space="preserve">-0.0001</w:t>
            </w:r>
          </w:p>
        </w:tc>
      </w:tr>
    </w:tbl>
    <w:p>
      <w:pPr>
        <w:pStyle w:val="BodyText"/>
      </w:pPr>
      <w:r>
        <w:t xml:space="preserve">Putnam (1988)</w:t>
      </w:r>
      <w:r>
        <w:t xml:space="preserve"> </w:t>
      </w:r>
      <w:r>
        <w:t xml:space="preserve">seminal article on the two level game between domestic and international politics analyzes how negotiations at both levels make policies possible. The author argues that both domestic and international levels need to be taken into consideration when analyzing how, often, domestic politics became entangled in international negotiations. The Amazon, as a region and a forest, has been the topic of international negotiations, national debates, and local policy implementation; though how the Amazon has been constructed as an issue differs on each of these three levels. While in Brasilia or internationally different presidents might construct the Amazon as an issue of conservation, the same presidents might construct the Amazon as an issue of economic integration or social development at the local level. This implies not only that audiences’ priorities in each setting change, but that which policies are appropriate to solve the</w:t>
      </w:r>
      <w:r>
        <w:t xml:space="preserve"> </w:t>
      </w:r>
      <w:r>
        <w:t xml:space="preserve">“</w:t>
      </w:r>
      <w:r>
        <w:t xml:space="preserve">Amazon issue</w:t>
      </w:r>
      <w:r>
        <w:t xml:space="preserve">”</w:t>
      </w:r>
      <w:r>
        <w:t xml:space="preserve"> </w:t>
      </w:r>
      <w:r>
        <w:t xml:space="preserve">differ. The three level game entails that conservation might be a desirable construction when speaking internationally about the Amazon, but not for local electorates. Such might help explain diverse local implementation gaps between public policy negotiated outside and implemented within the Amazon as perceptions and expectations about the issues the same policy addresses might differ</w:t>
      </w:r>
      <w:r>
        <w:t xml:space="preserve"> </w:t>
      </w:r>
      <w:r>
        <w:t xml:space="preserve">(Alesina and Giuliano 2009; López et al. 2020)</w:t>
      </w:r>
      <w:r>
        <w:t xml:space="preserve">.</w:t>
      </w:r>
    </w:p>
    <w:p>
      <w:pPr>
        <w:pStyle w:val="BodyText"/>
      </w:pPr>
      <w:r>
        <w:t xml:space="preserve">Whereas presidential discourses at the top matter to define and justify public policy</w:t>
      </w:r>
      <w:r>
        <w:t xml:space="preserve"> </w:t>
      </w:r>
      <w:r>
        <w:t xml:space="preserve">(Zarefsky 2004)</w:t>
      </w:r>
      <w:r>
        <w:t xml:space="preserve">, presidents shape their discourses according to who their audience might be and what</w:t>
      </w:r>
      <w:r>
        <w:t xml:space="preserve"> </w:t>
      </w:r>
      <w:r>
        <w:t xml:space="preserve">“</w:t>
      </w:r>
      <w:r>
        <w:t xml:space="preserve">they want to hear</w:t>
      </w:r>
      <w:r>
        <w:t xml:space="preserve">”</w:t>
      </w:r>
      <w:r>
        <w:t xml:space="preserve">. This democratic game contribute to the advancement of ambiguous public policies thought from the outside to the Amazon or contradictory policies from Amazon to the outside. Take, for example, the rural credit offered to local agricultural producers in Amazonian states went from 500 million reais in 1999 to over 4 billion by 2012 (cite). During the same period, the money spent in fighting deforestation in the Amazonian states also increased from … in … to … in … These policies match diverse local, national, and international expectations and match solutions to different problem constructions presented at each of these levels.</w:t>
      </w:r>
    </w:p>
    <w:bookmarkEnd w:id="53"/>
    <w:bookmarkEnd w:id="54"/>
    <w:bookmarkStart w:id="55" w:name="conclusion"/>
    <w:p>
      <w:pPr>
        <w:pStyle w:val="Heading1"/>
      </w:pPr>
      <w:r>
        <w:t xml:space="preserve">5 Conclusion</w:t>
      </w:r>
    </w:p>
    <w:bookmarkEnd w:id="55"/>
    <w:bookmarkStart w:id="128" w:name="references"/>
    <w:p>
      <w:pPr>
        <w:pStyle w:val="Heading1"/>
      </w:pPr>
      <w:r>
        <w:t xml:space="preserve">6 References</w:t>
      </w:r>
    </w:p>
    <w:bookmarkStart w:id="127" w:name="refs"/>
    <w:bookmarkStart w:id="57"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6">
        <w:r>
          <w:rPr>
            <w:rStyle w:val="Hyperlink"/>
          </w:rPr>
          <w:t xml:space="preserve">https://doi.org/10.1590/S0102-01882014000200002</w:t>
        </w:r>
      </w:hyperlink>
      <w:r>
        <w:t xml:space="preserve">.</w:t>
      </w:r>
    </w:p>
    <w:bookmarkEnd w:id="57"/>
    <w:bookmarkStart w:id="59"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8">
        <w:r>
          <w:rPr>
            <w:rStyle w:val="Hyperlink"/>
          </w:rPr>
          <w:t xml:space="preserve">https://doi.org/10.1093/acrefore/9780199366439.013.837</w:t>
        </w:r>
      </w:hyperlink>
      <w:r>
        <w:t xml:space="preserve">.</w:t>
      </w:r>
    </w:p>
    <w:bookmarkEnd w:id="59"/>
    <w:bookmarkStart w:id="61" w:name="ref-alesina2009"/>
    <w:p>
      <w:pPr>
        <w:pStyle w:val="Bibliography"/>
      </w:pPr>
      <w:r>
        <w:t xml:space="preserve">Alesina, Alberto F., and Paola Giuliano. 2009.</w:t>
      </w:r>
      <w:r>
        <w:t xml:space="preserve"> </w:t>
      </w:r>
      <w:r>
        <w:t xml:space="preserve">“Preferences for Redistribution.”</w:t>
      </w:r>
      <w:r>
        <w:t xml:space="preserve"> </w:t>
      </w:r>
      <w:hyperlink r:id="rId60">
        <w:r>
          <w:rPr>
            <w:rStyle w:val="Hyperlink"/>
          </w:rPr>
          <w:t xml:space="preserve">https://www.nber.org/papers/w14825</w:t>
        </w:r>
      </w:hyperlink>
      <w:r>
        <w:t xml:space="preserve">.</w:t>
      </w:r>
    </w:p>
    <w:bookmarkEnd w:id="61"/>
    <w:bookmarkStart w:id="63"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2">
        <w:r>
          <w:rPr>
            <w:rStyle w:val="Hyperlink"/>
          </w:rPr>
          <w:t xml:space="preserve">https://doi.org/10.1177/0010414013509579</w:t>
        </w:r>
      </w:hyperlink>
      <w:r>
        <w:t xml:space="preserve">.</w:t>
      </w:r>
    </w:p>
    <w:bookmarkEnd w:id="63"/>
    <w:bookmarkStart w:id="65"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4">
        <w:r>
          <w:rPr>
            <w:rStyle w:val="Hyperlink"/>
          </w:rPr>
          <w:t xml:space="preserve">https://doi.org/10.1017/S1355770X15000078</w:t>
        </w:r>
      </w:hyperlink>
      <w:r>
        <w:t xml:space="preserve">.</w:t>
      </w:r>
    </w:p>
    <w:bookmarkEnd w:id="65"/>
    <w:bookmarkStart w:id="66"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6"/>
    <w:bookmarkStart w:id="68"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7">
        <w:r>
          <w:rPr>
            <w:rStyle w:val="Hyperlink"/>
          </w:rPr>
          <w:t xml:space="preserve">https://doi.org/10.5007/2175-7984.2020.e66962</w:t>
        </w:r>
      </w:hyperlink>
      <w:r>
        <w:t xml:space="preserve">.</w:t>
      </w:r>
    </w:p>
    <w:bookmarkEnd w:id="68"/>
    <w:bookmarkStart w:id="70"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9">
        <w:r>
          <w:rPr>
            <w:rStyle w:val="Hyperlink"/>
          </w:rPr>
          <w:t xml:space="preserve">https://doi.org/10.1590/S0103-40142005000100005</w:t>
        </w:r>
      </w:hyperlink>
      <w:r>
        <w:t xml:space="preserve">.</w:t>
      </w:r>
    </w:p>
    <w:bookmarkEnd w:id="70"/>
    <w:bookmarkStart w:id="72"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71">
        <w:r>
          <w:rPr>
            <w:rStyle w:val="Hyperlink"/>
          </w:rPr>
          <w:t xml:space="preserve">https://doi.org/10.1057/9781137431738_6</w:t>
        </w:r>
      </w:hyperlink>
      <w:r>
        <w:t xml:space="preserve">.</w:t>
      </w:r>
    </w:p>
    <w:bookmarkEnd w:id="72"/>
    <w:bookmarkStart w:id="74"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3">
        <w:r>
          <w:rPr>
            <w:rStyle w:val="Hyperlink"/>
          </w:rPr>
          <w:t xml:space="preserve">https://www.bloomberg.com/news/features/2021-07-29/amazon-rainforest-deforestation-land-grabs-surge-under-bolsonaro-in-brazil</w:t>
        </w:r>
      </w:hyperlink>
      <w:r>
        <w:t xml:space="preserve">.</w:t>
      </w:r>
    </w:p>
    <w:bookmarkEnd w:id="74"/>
    <w:bookmarkStart w:id="76"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5">
        <w:r>
          <w:rPr>
            <w:rStyle w:val="Hyperlink"/>
          </w:rPr>
          <w:t xml:space="preserve">https://doi.org/10.1016/j.enpol.2017.09.019</w:t>
        </w:r>
      </w:hyperlink>
      <w:r>
        <w:t xml:space="preserve">.</w:t>
      </w:r>
    </w:p>
    <w:bookmarkEnd w:id="76"/>
    <w:bookmarkStart w:id="78"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7">
        <w:r>
          <w:rPr>
            <w:rStyle w:val="Hyperlink"/>
          </w:rPr>
          <w:t xml:space="preserve">https://doi.org/10.1080/10510974.2019.1572636</w:t>
        </w:r>
      </w:hyperlink>
      <w:r>
        <w:t xml:space="preserve">.</w:t>
      </w:r>
    </w:p>
    <w:bookmarkEnd w:id="78"/>
    <w:bookmarkStart w:id="80"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9">
        <w:r>
          <w:rPr>
            <w:rStyle w:val="Hyperlink"/>
          </w:rPr>
          <w:t xml:space="preserve">https://doi.org/10.1080/17524032.2019.1592005</w:t>
        </w:r>
      </w:hyperlink>
      <w:r>
        <w:t xml:space="preserve">.</w:t>
      </w:r>
    </w:p>
    <w:bookmarkEnd w:id="80"/>
    <w:bookmarkStart w:id="81"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81"/>
    <w:bookmarkStart w:id="83"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2">
        <w:r>
          <w:rPr>
            <w:rStyle w:val="Hyperlink"/>
          </w:rPr>
          <w:t xml:space="preserve">https://gredos.usal.es/handle/10366/139311</w:t>
        </w:r>
      </w:hyperlink>
      <w:r>
        <w:t xml:space="preserve">.</w:t>
      </w:r>
    </w:p>
    <w:bookmarkEnd w:id="83"/>
    <w:bookmarkStart w:id="84"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4"/>
    <w:bookmarkStart w:id="86" w:name="ref-cezar2020"/>
    <w:p>
      <w:pPr>
        <w:pStyle w:val="Bibliography"/>
      </w:pPr>
      <w:r>
        <w:t xml:space="preserve">Cezar, Rodrigo Fagundes. 2020.</w:t>
      </w:r>
      <w:r>
        <w:t xml:space="preserve"> </w:t>
      </w:r>
      <w:r>
        <w:t xml:space="preserve">“Brazilian Presidential Speeches from 1985 to July 2020.”</w:t>
      </w:r>
      <w:r>
        <w:t xml:space="preserve"> </w:t>
      </w:r>
      <w:hyperlink r:id="rId85">
        <w:r>
          <w:rPr>
            <w:rStyle w:val="Hyperlink"/>
          </w:rPr>
          <w:t xml:space="preserve">https://dataverse.harvard.edu/dataset.xhtml?persistentId=doi:10.7910/DVN/M9UU09</w:t>
        </w:r>
      </w:hyperlink>
      <w:r>
        <w:t xml:space="preserve">.</w:t>
      </w:r>
    </w:p>
    <w:bookmarkEnd w:id="86"/>
    <w:bookmarkStart w:id="88"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7">
        <w:r>
          <w:rPr>
            <w:rStyle w:val="Hyperlink"/>
          </w:rPr>
          <w:t xml:space="preserve">https://doi.org/10.1111/j.1467-9930.2005.00218.x</w:t>
        </w:r>
      </w:hyperlink>
      <w:r>
        <w:t xml:space="preserve">.</w:t>
      </w:r>
    </w:p>
    <w:bookmarkEnd w:id="88"/>
    <w:bookmarkStart w:id="90"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9">
        <w:r>
          <w:rPr>
            <w:rStyle w:val="Hyperlink"/>
          </w:rPr>
          <w:t xml:space="preserve">https://doi.org/10.1017/s0376892900032355</w:t>
        </w:r>
      </w:hyperlink>
      <w:r>
        <w:t xml:space="preserve">.</w:t>
      </w:r>
    </w:p>
    <w:bookmarkEnd w:id="90"/>
    <w:bookmarkStart w:id="92"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91">
        <w:r>
          <w:rPr>
            <w:rStyle w:val="Hyperlink"/>
          </w:rPr>
          <w:t xml:space="preserve">https://doi.org/10.1590/0034-7329201900205</w:t>
        </w:r>
      </w:hyperlink>
      <w:r>
        <w:t xml:space="preserve">.</w:t>
      </w:r>
    </w:p>
    <w:bookmarkEnd w:id="92"/>
    <w:bookmarkStart w:id="93"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3"/>
    <w:bookmarkStart w:id="95"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4">
        <w:r>
          <w:rPr>
            <w:rStyle w:val="Hyperlink"/>
          </w:rPr>
          <w:t xml:space="preserve">https://www.ft.com/content/02071ae7-dcf5-4c61-9c3c-b55f5aef8b0e</w:t>
        </w:r>
      </w:hyperlink>
      <w:r>
        <w:t xml:space="preserve">.</w:t>
      </w:r>
    </w:p>
    <w:bookmarkEnd w:id="95"/>
    <w:bookmarkStart w:id="96"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6"/>
    <w:bookmarkStart w:id="98"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7">
        <w:r>
          <w:rPr>
            <w:rStyle w:val="Hyperlink"/>
          </w:rPr>
          <w:t xml:space="preserve">https://press.uchicago.edu/ucp/books/book/chicago/F/bo10387801.html</w:t>
        </w:r>
      </w:hyperlink>
      <w:r>
        <w:t xml:space="preserve">.</w:t>
      </w:r>
    </w:p>
    <w:bookmarkEnd w:id="98"/>
    <w:bookmarkStart w:id="99"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9"/>
    <w:bookmarkStart w:id="101"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00">
        <w:r>
          <w:rPr>
            <w:rStyle w:val="Hyperlink"/>
          </w:rPr>
          <w:t xml:space="preserve">https://www.jstor.org/stable/4531616</w:t>
        </w:r>
      </w:hyperlink>
      <w:r>
        <w:t xml:space="preserve">.</w:t>
      </w:r>
    </w:p>
    <w:bookmarkEnd w:id="101"/>
    <w:bookmarkStart w:id="103"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2">
        <w:r>
          <w:rPr>
            <w:rStyle w:val="Hyperlink"/>
          </w:rPr>
          <w:t xml:space="preserve">https://doi.org/10.1080/09644016.2021.1957614</w:t>
        </w:r>
      </w:hyperlink>
      <w:r>
        <w:t xml:space="preserve">.</w:t>
      </w:r>
    </w:p>
    <w:bookmarkEnd w:id="103"/>
    <w:bookmarkStart w:id="105"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4">
        <w:r>
          <w:rPr>
            <w:rStyle w:val="Hyperlink"/>
          </w:rPr>
          <w:t xml:space="preserve">https://doi.org/10.1215/9780822390596</w:t>
        </w:r>
      </w:hyperlink>
      <w:r>
        <w:t xml:space="preserve">.</w:t>
      </w:r>
    </w:p>
    <w:bookmarkEnd w:id="105"/>
    <w:bookmarkStart w:id="107"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6">
        <w:r>
          <w:rPr>
            <w:rStyle w:val="Hyperlink"/>
          </w:rPr>
          <w:t xml:space="preserve">https://doi.org/10.1093/ser/mwaa015</w:t>
        </w:r>
      </w:hyperlink>
      <w:r>
        <w:t xml:space="preserve">.</w:t>
      </w:r>
    </w:p>
    <w:bookmarkEnd w:id="107"/>
    <w:bookmarkStart w:id="109"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8">
        <w:r>
          <w:rPr>
            <w:rStyle w:val="Hyperlink"/>
          </w:rPr>
          <w:t xml:space="preserve">https://CRAN.R-project.org/package=e1071</w:t>
        </w:r>
      </w:hyperlink>
      <w:r>
        <w:t xml:space="preserve">.</w:t>
      </w:r>
    </w:p>
    <w:bookmarkEnd w:id="109"/>
    <w:bookmarkStart w:id="111"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0">
        <w:r>
          <w:rPr>
            <w:rStyle w:val="Hyperlink"/>
          </w:rPr>
          <w:t xml:space="preserve">https://www.theguardian.com/commentisfree/2021/jul/28/bolsonaro-amazon-railway-climate-chaos-must-be-stopped</w:t>
        </w:r>
      </w:hyperlink>
      <w:r>
        <w:t xml:space="preserve">.</w:t>
      </w:r>
    </w:p>
    <w:bookmarkEnd w:id="111"/>
    <w:bookmarkStart w:id="112"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2"/>
    <w:bookmarkStart w:id="114"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13">
        <w:r>
          <w:rPr>
            <w:rStyle w:val="Hyperlink"/>
          </w:rPr>
          <w:t xml:space="preserve">http://www.unsamedita.unsam.edu.ar/product/exterminio-y-tutela-procesos-de-formacion-de-alteridades-en-el-brasil/</w:t>
        </w:r>
      </w:hyperlink>
      <w:r>
        <w:t xml:space="preserve">.</w:t>
      </w:r>
    </w:p>
    <w:bookmarkEnd w:id="114"/>
    <w:bookmarkStart w:id="116"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5">
        <w:r>
          <w:rPr>
            <w:rStyle w:val="Hyperlink"/>
          </w:rPr>
          <w:t xml:space="preserve">http://www.jstor.org/stable/2706785</w:t>
        </w:r>
      </w:hyperlink>
      <w:r>
        <w:t xml:space="preserve">.</w:t>
      </w:r>
    </w:p>
    <w:bookmarkEnd w:id="116"/>
    <w:bookmarkStart w:id="118"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7">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8"/>
    <w:bookmarkStart w:id="120"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19">
        <w:r>
          <w:rPr>
            <w:rStyle w:val="Hyperlink"/>
          </w:rPr>
          <w:t xml:space="preserve">https://www.nytimes.com/1988/08/12/world/vast-amazon-fires-man-made-linked-to-global-warming.html</w:t>
        </w:r>
      </w:hyperlink>
      <w:r>
        <w:t xml:space="preserve">.</w:t>
      </w:r>
    </w:p>
    <w:bookmarkEnd w:id="120"/>
    <w:bookmarkStart w:id="122"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1">
        <w:r>
          <w:rPr>
            <w:rStyle w:val="Hyperlink"/>
          </w:rPr>
          <w:t xml:space="preserve">https://doi.org/10.1080/1747423X.2021.1950229</w:t>
        </w:r>
      </w:hyperlink>
      <w:r>
        <w:t xml:space="preserve">.</w:t>
      </w:r>
    </w:p>
    <w:bookmarkEnd w:id="122"/>
    <w:bookmarkStart w:id="124"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23">
        <w:r>
          <w:rPr>
            <w:rStyle w:val="Hyperlink"/>
          </w:rPr>
          <w:t xml:space="preserve">https://doi.org/10.1007/s11558-019-09366-w</w:t>
        </w:r>
      </w:hyperlink>
      <w:r>
        <w:t xml:space="preserve">.</w:t>
      </w:r>
    </w:p>
    <w:bookmarkEnd w:id="124"/>
    <w:bookmarkStart w:id="126"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5">
        <w:r>
          <w:rPr>
            <w:rStyle w:val="Hyperlink"/>
          </w:rPr>
          <w:t xml:space="preserve">https://www.jstor.org/stable/27552615</w:t>
        </w:r>
      </w:hyperlink>
      <w:r>
        <w:t xml:space="preserve">.</w:t>
      </w:r>
    </w:p>
    <w:bookmarkEnd w:id="126"/>
    <w:bookmarkEnd w:id="127"/>
    <w:bookmarkEnd w:id="128"/>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29">
    <w:p>
      <w:pPr>
        <w:pStyle w:val="FootnoteText"/>
      </w:pPr>
      <w:r>
        <w:rPr>
          <w:rStyle w:val="FootnoteReference"/>
        </w:rPr>
        <w:footnoteRef/>
      </w:r>
      <w:r>
        <w:t xml:space="preserve"> </w:t>
      </w:r>
      <w:r>
        <w:t xml:space="preserve">For an overview on how inflation and political discourse in Brazil see Porto (2007), Malheiros-Poulet (2012), and Fonseca et al. (2021). For a few studies on racist and anti-racist discourses in Brazil see Htun (2004), Silva and Larkins (2019) and Dijk (2020).</w:t>
      </w:r>
    </w:p>
  </w:footnote>
  <w:footnote w:id="34">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8">
    <w:p>
      <w:pPr>
        <w:pStyle w:val="FootnoteText"/>
      </w:pPr>
      <w:r>
        <w:rPr>
          <w:rStyle w:val="FootnoteReference"/>
        </w:rPr>
        <w:footnoteRef/>
      </w:r>
      <w:r>
        <w:t xml:space="preserve"> </w:t>
      </w:r>
      <w:r>
        <w:t xml:space="preserve">The reasoning here is that knowledge of high or low deforestation rates might drive presidents to speak about the Amazon. Nevertheless,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came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or even other sources, circulated within the year the data covered. The year of 1988 is particularly indicative of these complications: a report dating 1988 was circulating with deforestation and fire figures</w:t>
      </w:r>
      <w:r>
        <w:t xml:space="preserve">(Fearnside 1990)</w:t>
      </w:r>
      <w:r>
        <w:t xml:space="preserve">, and a New York Times article about the issue with deforestation rates for 1988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15" Target="http://www.jstor.org/stable/2706785" TargetMode="External" /><Relationship Type="http://schemas.openxmlformats.org/officeDocument/2006/relationships/hyperlink" Id="rId113" Target="http://www.unsamedita.unsam.edu.ar/product/exterminio-y-tutela-procesos-de-formacion-de-alteridades-en-el-brasil/" TargetMode="External" /><Relationship Type="http://schemas.openxmlformats.org/officeDocument/2006/relationships/hyperlink" Id="rId108" Target="https://CRAN.R-project.org/package=e1071" TargetMode="External" /><Relationship Type="http://schemas.openxmlformats.org/officeDocument/2006/relationships/hyperlink" Id="rId85" Target="https://dataverse.harvard.edu/dataset.xhtml?persistentId=doi:10.7910/DVN/M9UU09" TargetMode="External" /><Relationship Type="http://schemas.openxmlformats.org/officeDocument/2006/relationships/hyperlink" Id="rId123" Target="https://doi.org/10.1007/s11558-019-09366-w" TargetMode="External" /><Relationship Type="http://schemas.openxmlformats.org/officeDocument/2006/relationships/hyperlink" Id="rId75" Target="https://doi.org/10.1016/j.enpol.2017.09.019" TargetMode="External" /><Relationship Type="http://schemas.openxmlformats.org/officeDocument/2006/relationships/hyperlink" Id="rId64" Target="https://doi.org/10.1017/S1355770X15000078" TargetMode="External" /><Relationship Type="http://schemas.openxmlformats.org/officeDocument/2006/relationships/hyperlink" Id="rId89" Target="https://doi.org/10.1017/s0376892900032355" TargetMode="External" /><Relationship Type="http://schemas.openxmlformats.org/officeDocument/2006/relationships/hyperlink" Id="rId71"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77" Target="https://doi.org/10.1080/10510974.2019.1572636" TargetMode="External" /><Relationship Type="http://schemas.openxmlformats.org/officeDocument/2006/relationships/hyperlink" Id="rId121" Target="https://doi.org/10.1080/1747423X.2021.1950229" TargetMode="External" /><Relationship Type="http://schemas.openxmlformats.org/officeDocument/2006/relationships/hyperlink" Id="rId79" Target="https://doi.org/10.1080/17524032.2019.1592005" TargetMode="External" /><Relationship Type="http://schemas.openxmlformats.org/officeDocument/2006/relationships/hyperlink" Id="rId58" Target="https://doi.org/10.1093/acrefore/9780199366439.013.837" TargetMode="External" /><Relationship Type="http://schemas.openxmlformats.org/officeDocument/2006/relationships/hyperlink" Id="rId106" Target="https://doi.org/10.1093/ser/mwaa015" TargetMode="External" /><Relationship Type="http://schemas.openxmlformats.org/officeDocument/2006/relationships/hyperlink" Id="rId87" Target="https://doi.org/10.1111/j.1467-9930.2005.00218.x" TargetMode="External" /><Relationship Type="http://schemas.openxmlformats.org/officeDocument/2006/relationships/hyperlink" Id="rId62"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91" Target="https://doi.org/10.1590/0034-7329201900205" TargetMode="External" /><Relationship Type="http://schemas.openxmlformats.org/officeDocument/2006/relationships/hyperlink" Id="rId56" Target="https://doi.org/10.1590/S0102-01882014000200002" TargetMode="External" /><Relationship Type="http://schemas.openxmlformats.org/officeDocument/2006/relationships/hyperlink" Id="rId69" Target="https://doi.org/10.1590/S0103-40142005000100005" TargetMode="External" /><Relationship Type="http://schemas.openxmlformats.org/officeDocument/2006/relationships/hyperlink" Id="rId67" Target="https://doi.org/10.5007/2175-7984.2020.e66962" TargetMode="External" /><Relationship Type="http://schemas.openxmlformats.org/officeDocument/2006/relationships/hyperlink" Id="rId82"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3"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25"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60" Target="https://www.nber.org/papers/w14825" TargetMode="External" /><Relationship Type="http://schemas.openxmlformats.org/officeDocument/2006/relationships/hyperlink" Id="rId119" Target="https://www.nytimes.com/1988/08/12/world/vast-amazon-fires-man-made-linked-to-global-warming.html" TargetMode="External" /><Relationship Type="http://schemas.openxmlformats.org/officeDocument/2006/relationships/hyperlink" Id="rId11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15" Target="http://www.jstor.org/stable/2706785" TargetMode="External" /><Relationship Type="http://schemas.openxmlformats.org/officeDocument/2006/relationships/hyperlink" Id="rId113" Target="http://www.unsamedita.unsam.edu.ar/product/exterminio-y-tutela-procesos-de-formacion-de-alteridades-en-el-brasil/" TargetMode="External" /><Relationship Type="http://schemas.openxmlformats.org/officeDocument/2006/relationships/hyperlink" Id="rId108" Target="https://CRAN.R-project.org/package=e1071" TargetMode="External" /><Relationship Type="http://schemas.openxmlformats.org/officeDocument/2006/relationships/hyperlink" Id="rId85" Target="https://dataverse.harvard.edu/dataset.xhtml?persistentId=doi:10.7910/DVN/M9UU09" TargetMode="External" /><Relationship Type="http://schemas.openxmlformats.org/officeDocument/2006/relationships/hyperlink" Id="rId123" Target="https://doi.org/10.1007/s11558-019-09366-w" TargetMode="External" /><Relationship Type="http://schemas.openxmlformats.org/officeDocument/2006/relationships/hyperlink" Id="rId75" Target="https://doi.org/10.1016/j.enpol.2017.09.019" TargetMode="External" /><Relationship Type="http://schemas.openxmlformats.org/officeDocument/2006/relationships/hyperlink" Id="rId64" Target="https://doi.org/10.1017/S1355770X15000078" TargetMode="External" /><Relationship Type="http://schemas.openxmlformats.org/officeDocument/2006/relationships/hyperlink" Id="rId89" Target="https://doi.org/10.1017/s0376892900032355" TargetMode="External" /><Relationship Type="http://schemas.openxmlformats.org/officeDocument/2006/relationships/hyperlink" Id="rId71" Target="https://doi.org/10.1057/9781137431738_6" TargetMode="External" /><Relationship Type="http://schemas.openxmlformats.org/officeDocument/2006/relationships/hyperlink" Id="rId102" Target="https://doi.org/10.1080/09644016.2021.1957614" TargetMode="External" /><Relationship Type="http://schemas.openxmlformats.org/officeDocument/2006/relationships/hyperlink" Id="rId77" Target="https://doi.org/10.1080/10510974.2019.1572636" TargetMode="External" /><Relationship Type="http://schemas.openxmlformats.org/officeDocument/2006/relationships/hyperlink" Id="rId121" Target="https://doi.org/10.1080/1747423X.2021.1950229" TargetMode="External" /><Relationship Type="http://schemas.openxmlformats.org/officeDocument/2006/relationships/hyperlink" Id="rId79" Target="https://doi.org/10.1080/17524032.2019.1592005" TargetMode="External" /><Relationship Type="http://schemas.openxmlformats.org/officeDocument/2006/relationships/hyperlink" Id="rId58" Target="https://doi.org/10.1093/acrefore/9780199366439.013.837" TargetMode="External" /><Relationship Type="http://schemas.openxmlformats.org/officeDocument/2006/relationships/hyperlink" Id="rId106" Target="https://doi.org/10.1093/ser/mwaa015" TargetMode="External" /><Relationship Type="http://schemas.openxmlformats.org/officeDocument/2006/relationships/hyperlink" Id="rId87" Target="https://doi.org/10.1111/j.1467-9930.2005.00218.x" TargetMode="External" /><Relationship Type="http://schemas.openxmlformats.org/officeDocument/2006/relationships/hyperlink" Id="rId62" Target="https://doi.org/10.1177/0010414013509579" TargetMode="External" /><Relationship Type="http://schemas.openxmlformats.org/officeDocument/2006/relationships/hyperlink" Id="rId104" Target="https://doi.org/10.1215/9780822390596" TargetMode="External" /><Relationship Type="http://schemas.openxmlformats.org/officeDocument/2006/relationships/hyperlink" Id="rId91" Target="https://doi.org/10.1590/0034-7329201900205" TargetMode="External" /><Relationship Type="http://schemas.openxmlformats.org/officeDocument/2006/relationships/hyperlink" Id="rId56" Target="https://doi.org/10.1590/S0102-01882014000200002" TargetMode="External" /><Relationship Type="http://schemas.openxmlformats.org/officeDocument/2006/relationships/hyperlink" Id="rId69" Target="https://doi.org/10.1590/S0103-40142005000100005" TargetMode="External" /><Relationship Type="http://schemas.openxmlformats.org/officeDocument/2006/relationships/hyperlink" Id="rId67" Target="https://doi.org/10.5007/2175-7984.2020.e66962" TargetMode="External" /><Relationship Type="http://schemas.openxmlformats.org/officeDocument/2006/relationships/hyperlink" Id="rId82" Target="https://gredos.usal.es/handle/10366/139311" TargetMode="External" /><Relationship Type="http://schemas.openxmlformats.org/officeDocument/2006/relationships/hyperlink" Id="rId97" Target="https://press.uchicago.edu/ucp/books/book/chicago/F/bo10387801.html" TargetMode="External" /><Relationship Type="http://schemas.openxmlformats.org/officeDocument/2006/relationships/hyperlink" Id="rId73" Target="https://www.bloomberg.com/news/features/2021-07-29/amazon-rainforest-deforestation-land-grabs-surge-under-bolsonaro-in-brazil" TargetMode="External" /><Relationship Type="http://schemas.openxmlformats.org/officeDocument/2006/relationships/hyperlink" Id="rId94" Target="https://www.ft.com/content/02071ae7-dcf5-4c61-9c3c-b55f5aef8b0e" TargetMode="External" /><Relationship Type="http://schemas.openxmlformats.org/officeDocument/2006/relationships/hyperlink" Id="rId125" Target="https://www.jstor.org/stable/27552615" TargetMode="External" /><Relationship Type="http://schemas.openxmlformats.org/officeDocument/2006/relationships/hyperlink" Id="rId100" Target="https://www.jstor.org/stable/4531616" TargetMode="External" /><Relationship Type="http://schemas.openxmlformats.org/officeDocument/2006/relationships/hyperlink" Id="rId60" Target="https://www.nber.org/papers/w14825" TargetMode="External" /><Relationship Type="http://schemas.openxmlformats.org/officeDocument/2006/relationships/hyperlink" Id="rId119" Target="https://www.nytimes.com/1988/08/12/world/vast-amazon-fires-man-made-linked-to-global-warming.html" TargetMode="External" /><Relationship Type="http://schemas.openxmlformats.org/officeDocument/2006/relationships/hyperlink" Id="rId117"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0"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2022-04-10T13:58:21Z</dcterms:created>
  <dcterms:modified xsi:type="dcterms:W3CDTF">2022-04-10T13:58:21Z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