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2"/>
          <w:szCs w:val="32"/>
        </w:rPr>
        <w:t xml:space="preserve">The Statistical Horizon: A Scaling Benchmark and Procedural Caution for Institutional Use of AI Text Watermarking</w:t>
      </w:r>
    </w:p>
    <w:p>
      <w:pPr>
        <w:spacing w:after="120" w:before="0"/>
        <w:jc w:val="center"/>
      </w:pPr>
      <w:r>
        <w:rPr>
          <w:rFonts w:ascii="Times New Roman" w:cs="Times New Roman" w:eastAsia="Times New Roman" w:hAnsi="Times New Roman"/>
          <w:sz w:val="24"/>
          <w:szCs w:val="24"/>
        </w:rPr>
        <w:t xml:space="preserve">Henri F. Van Ryn</w:t>
      </w:r>
    </w:p>
    <w:p>
      <w:pPr>
        <w:spacing w:after="80" w:before="0"/>
        <w:jc w:val="center"/>
      </w:pPr>
      <w:r>
        <w:rPr>
          <w:rFonts w:ascii="Times New Roman" w:cs="Times New Roman" w:eastAsia="Times New Roman" w:hAnsi="Times New Roman"/>
          <w:i/>
          <w:iCs/>
          <w:sz w:val="20"/>
          <w:szCs w:val="20"/>
        </w:rPr>
        <w:t xml:space="preserve">Independent Researcher</w:t>
      </w:r>
    </w:p>
    <w:p>
      <w:pPr>
        <w:spacing w:after="80" w:before="0"/>
        <w:jc w:val="center"/>
      </w:pPr>
      <w:r>
        <w:rPr>
          <w:rFonts w:ascii="Times New Roman" w:cs="Times New Roman" w:eastAsia="Times New Roman" w:hAnsi="Times New Roman"/>
          <w:sz w:val="20"/>
          <w:szCs w:val="20"/>
        </w:rPr>
        <w:t xml:space="preserve">henri.vanryn@gmail.com</w:t>
      </w:r>
    </w:p>
    <w:p>
      <w:pPr>
        <w:spacing w:after="80" w:before="0"/>
        <w:jc w:val="center"/>
      </w:pPr>
      <w:r>
        <w:rPr>
          <w:rFonts w:ascii="Times New Roman" w:cs="Times New Roman" w:eastAsia="Times New Roman" w:hAnsi="Times New Roman"/>
          <w:sz w:val="20"/>
          <w:szCs w:val="20"/>
        </w:rPr>
        <w:t xml:space="preserve">February 10, 2026 (revised April 16, 2026)</w:t>
      </w:r>
    </w:p>
    <w:p>
      <w:pPr>
        <w:spacing w:after="360" w:before="0"/>
        <w:jc w:val="center"/>
      </w:pPr>
      <w:r>
        <w:rPr>
          <w:rFonts w:ascii="Times New Roman" w:cs="Times New Roman" w:eastAsia="Times New Roman" w:hAnsi="Times New Roman"/>
          <w:i/>
          <w:iCs/>
          <w:sz w:val="20"/>
          <w:szCs w:val="20"/>
        </w:rPr>
        <w:t xml:space="preserve">Version 5.0 (arXiv Preprint)</w:t>
      </w:r>
    </w:p>
    <w:p>
      <w:pPr>
        <w:pBdr>
          <w:bottom w:val="single" w:color="AAAAAA" w:sz="6" w:space="1"/>
        </w:pBdr>
        <w:spacing w:after="160" w:before="160"/>
      </w:pPr>
      <w:r>
        <w:t xml:space="preserve"/>
      </w:r>
    </w:p>
    <w:p>
      <w:pPr>
        <w:spacing w:after="80" w:before="240"/>
      </w:pPr>
      <w:r>
        <w:rPr>
          <w:rFonts w:ascii="Times New Roman" w:cs="Times New Roman" w:eastAsia="Times New Roman" w:hAnsi="Times New Roman"/>
          <w:b/>
          <w:bCs/>
          <w:sz w:val="24"/>
          <w:szCs w:val="24"/>
        </w:rPr>
        <w:t xml:space="preserve">Abstract</w:t>
      </w:r>
    </w:p>
    <w:p>
      <w:pPr>
        <w:spacing w:after="160" w:before="0"/>
        <w:ind w:left="720" w:right="720"/>
        <w:jc w:val="both"/>
      </w:pPr>
      <w:r>
        <w:rPr>
          <w:rFonts w:ascii="Times New Roman" w:cs="Times New Roman" w:eastAsia="Times New Roman" w:hAnsi="Times New Roman"/>
          <w:sz w:val="21"/>
          <w:szCs w:val="21"/>
        </w:rPr>
        <w:t xml:space="preserve">AI text watermarking has evolved from academic speculation into industrial practice. Yet watermark detections remain probabilistic indicators rather than proof of authorship. This paper formalizes the </w:t>
      </w:r>
      <w:r>
        <w:rPr>
          <w:rFonts w:ascii="Times New Roman" w:cs="Times New Roman" w:eastAsia="Times New Roman" w:hAnsi="Times New Roman"/>
          <w:i/>
          <w:iCs/>
          <w:sz w:val="21"/>
          <w:szCs w:val="21"/>
        </w:rPr>
        <w:t xml:space="preserve">Statistical Horizon</w:t>
      </w:r>
      <w:r>
        <w:rPr>
          <w:rFonts w:ascii="Times New Roman" w:cs="Times New Roman" w:eastAsia="Times New Roman" w:hAnsi="Times New Roman"/>
          <w:sz w:val="21"/>
          <w:szCs w:val="21"/>
        </w:rPr>
        <w:t xml:space="preserve"> as a structural scaling benchmark for finite-sample watermark detectability. In the stylized mean-shift z-test model used here, required sample length scales inversely with the square of the combined signal term ηδ, creating a quadratic penalty for low-visibility watermarking within that model.</w:t>
      </w:r>
    </w:p>
    <w:p>
      <w:pPr>
        <w:spacing w:after="160" w:before="0"/>
        <w:ind w:left="720" w:right="720"/>
        <w:jc w:val="both"/>
      </w:pPr>
      <w:r>
        <w:rPr>
          <w:rFonts w:ascii="Times New Roman" w:cs="Times New Roman" w:eastAsia="Times New Roman" w:hAnsi="Times New Roman"/>
          <w:sz w:val="21"/>
          <w:szCs w:val="21"/>
        </w:rPr>
        <w:t xml:space="preserve">The paper argues that this scaling result should not be confused with a rule for strong institutional attribution. Under the model developed here, the Statistical Horizon n</w:t>
      </w:r>
      <w:r>
        <w:rPr>
          <w:rFonts w:ascii="Times New Roman" w:cs="Times New Roman" w:eastAsia="Times New Roman" w:hAnsi="Times New Roman"/>
          <w:sz w:val="21"/>
          <w:szCs w:val="21"/>
          <w:vertAlign w:val="subscript"/>
        </w:rPr>
        <w:t>H</w:t>
      </w:r>
      <w:r>
        <w:rPr>
          <w:rFonts w:ascii="Times New Roman" w:cs="Times New Roman" w:eastAsia="Times New Roman" w:hAnsi="Times New Roman"/>
          <w:sz w:val="21"/>
          <w:szCs w:val="21"/>
        </w:rPr>
        <w:t xml:space="preserve"> is best understood as a lower detectability floor: it corresponds to the point at which expected detector signal reaches threshold and, in the Gaussian power analysis, to a 50% detection-power point. Stronger institutional use generally requires longer text than this floor alone would suggest. To make that gap explicit, the paper also defines a higher-power evidentiary benchmark n</w:t>
      </w:r>
      <w:r>
        <w:rPr>
          <w:rFonts w:ascii="Times New Roman" w:cs="Times New Roman" w:eastAsia="Times New Roman" w:hAnsi="Times New Roman"/>
          <w:sz w:val="21"/>
          <w:szCs w:val="21"/>
          <w:vertAlign w:val="subscript"/>
        </w:rPr>
        <w:t>E</w:t>
      </w:r>
      <w:r>
        <w:rPr>
          <w:rFonts w:ascii="Times New Roman" w:cs="Times New Roman" w:eastAsia="Times New Roman" w:hAnsi="Times New Roman"/>
          <w:sz w:val="21"/>
          <w:szCs w:val="21"/>
        </w:rPr>
        <w:t xml:space="preserve">, showing that practical institutional interpretation depends not only on watermark strength but also on desired power, calibration, sample length, robustness, and disclosure. The resulting framework is offered as a way to inform evidentiary reasoning rather than to weaken watermarking technology as such.</w:t>
      </w:r>
    </w:p>
    <w:p>
      <w:pPr>
        <w:spacing w:after="80" w:before="80"/>
        <w:ind w:left="720" w:right="7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AI watermarking; statistical inference; forensic standards; evidentiary weighting; machine learning governance; digital provenance; AI policy.</w:t>
      </w:r>
    </w:p>
    <w:p>
      <w:pPr>
        <w:pBdr>
          <w:bottom w:val="single" w:color="AAAAAA" w:sz="6" w:space="1"/>
        </w:pBdr>
        <w:spacing w:after="160" w:before="160"/>
      </w:pPr>
      <w:r>
        <w:t xml:space="preserve"/>
      </w:r>
    </w:p>
    <w:p>
      <w:pPr>
        <w:spacing w:after="120" w:before="0"/>
      </w:pPr>
      <w:r>
        <w:t xml:space="preserve"/>
      </w:r>
    </w:p>
    <w:p>
      <w:pPr>
        <w:pStyle w:val="Heading1"/>
        <w:spacing w:after="180" w:before="360"/>
      </w:pPr>
      <w:r>
        <w:rPr>
          <w:rFonts w:ascii="Times New Roman" w:cs="Times New Roman" w:eastAsia="Times New Roman" w:hAnsi="Times New Roman"/>
          <w:b/>
          <w:bCs/>
          <w:color w:val="1A1A1A"/>
          <w:sz w:val="28"/>
          <w:szCs w:val="28"/>
        </w:rPr>
        <w:t xml:space="preserve">1. Introduction</w:t>
      </w:r>
    </w:p>
    <w:p>
      <w:pPr>
        <w:spacing w:after="160" w:before="0"/>
        <w:jc w:val="both"/>
      </w:pPr>
      <w:r>
        <w:rPr>
          <w:rFonts w:ascii="Times New Roman" w:cs="Times New Roman" w:eastAsia="Times New Roman" w:hAnsi="Times New Roman"/>
          <w:sz w:val="22"/>
          <w:szCs w:val="22"/>
        </w:rPr>
        <w:t xml:space="preserve">The rapid proliferation of Large Language Models (LLMs) has forced a parallel evolution in digital provenance. As synthetic text becomes increasingly difficult to distinguish from human writing at the semantic level, watermarking has emerged as a leading technical strategy for attribution. These approaches—ranging from synonymous substitution to logit “green-list” biasing—attempt to embed a recoverable statistical signal in generated text.</w:t>
      </w:r>
    </w:p>
    <w:p>
      <w:pPr>
        <w:spacing w:after="160" w:before="0"/>
        <w:jc w:val="both"/>
      </w:pPr>
      <w:r>
        <w:rPr>
          <w:rFonts w:ascii="Times New Roman" w:cs="Times New Roman" w:eastAsia="Times New Roman" w:hAnsi="Times New Roman"/>
          <w:sz w:val="22"/>
          <w:szCs w:val="22"/>
        </w:rPr>
        <w:t xml:space="preserve">Yet the interpretive problem begins where the engineering result ends. Technical watermarking literature evaluates systems in terms of detectability: z-scores, likelihood ratios, power, and related performance measures. Institutional and adjudicative use, however, asks a different question: what, if anything, a detector output warrants as evidence. Those questions are related, but they are not identical. A detector can be capable of signaling under some conditions without thereby yielding robust evidence of authorship in disciplinary, regulatory, or forensic settings.</w:t>
      </w:r>
    </w:p>
    <w:p>
      <w:pPr>
        <w:spacing w:after="160" w:before="0"/>
        <w:jc w:val="both"/>
      </w:pPr>
      <w:r>
        <w:rPr>
          <w:rFonts w:ascii="Times New Roman" w:cs="Times New Roman" w:eastAsia="Times New Roman" w:hAnsi="Times New Roman"/>
          <w:b w:val="false"/>
          <w:bCs w:val="false"/>
          <w:i w:val="false"/>
          <w:iCs w:val="false"/>
          <w:sz w:val="22"/>
          <w:szCs w:val="22"/>
        </w:rPr>
        <w:t xml:space="preserve">Watermark detection is not the discovery of a hidden cryptographic tag. It is a probabilistic inference drawn from a finite text sample under model-dependent assumptions. This paper formalizes the </w:t>
      </w:r>
      <w:r>
        <w:rPr>
          <w:rFonts w:ascii="Times New Roman" w:cs="Times New Roman" w:eastAsia="Times New Roman" w:hAnsi="Times New Roman"/>
          <w:b w:val="false"/>
          <w:bCs w:val="false"/>
          <w:i/>
          <w:iCs/>
          <w:sz w:val="22"/>
          <w:szCs w:val="22"/>
        </w:rPr>
        <w:t xml:space="preserve">Statistical Horizon</w:t>
      </w:r>
      <w:r>
        <w:rPr>
          <w:rFonts w:ascii="Times New Roman" w:cs="Times New Roman" w:eastAsia="Times New Roman" w:hAnsi="Times New Roman"/>
          <w:b w:val="false"/>
          <w:bCs w:val="false"/>
          <w:i w:val="false"/>
          <w:iCs w:val="false"/>
          <w:sz w:val="22"/>
          <w:szCs w:val="22"/>
        </w:rPr>
        <w:t xml:space="preserve">: a structural scaling benchmark that marks the sample-length regime in which expected detector signal reaches a specified threshold under stated assumptions. The goal is not to undermine watermarking technology, but to inform its evidentiary use. Watermark evidence should therefore be treated as an indicative and assumption-sensitive forensic signal, not as an oracle of authorship.</w:t>
      </w:r>
    </w:p>
    <w:p>
      <w:pPr>
        <w:spacing w:after="160" w:before="0"/>
        <w:jc w:val="both"/>
      </w:pPr>
      <w:r>
        <w:rPr>
          <w:rFonts w:ascii="Times New Roman" w:cs="Times New Roman" w:eastAsia="Times New Roman" w:hAnsi="Times New Roman"/>
          <w:sz w:val="22"/>
          <w:szCs w:val="22"/>
        </w:rPr>
        <w:t xml:space="preserve">The paper's central claim is narrow but consequential. The horizon equation identifies a structural relationship between watermark strength, detector response, and sample length. It does not by itself yield a universal admissibility threshold, nor does it license a fixed token rule across watermarking systems. On the contrary, the framework shows that required text length is highly sensitive to hidden or undisclosed parameters. In low-visibility regimes, the sample lengths needed to reach even the detectability floor in the stylized model may be much larger than casual policy discussion assumes.</w:t>
      </w:r>
    </w:p>
    <w:p>
      <w:pPr>
        <w:spacing w:after="160" w:before="0"/>
        <w:jc w:val="both"/>
      </w:pPr>
      <w:r>
        <w:rPr>
          <w:rFonts w:ascii="Times New Roman" w:cs="Times New Roman" w:eastAsia="Times New Roman" w:hAnsi="Times New Roman"/>
          <w:sz w:val="22"/>
          <w:szCs w:val="22"/>
        </w:rPr>
        <w:t xml:space="preserve">This matters because short-text detector outputs are especially vulnerable to overinterpretation. In settings where watermark strength, calibration data, and system parameters are not disclosed, external reviewers cannot reliably determine how much evidentiary weight a detector result deserves. The resulting problem is not merely technical but procedural: absent disclosure and corroboration, institutions risk treating a model-dependent signal as though it were dispositive evidence.</w:t>
      </w:r>
    </w:p>
    <w:p>
      <w:pPr>
        <w:spacing w:after="160" w:before="0"/>
        <w:jc w:val="both"/>
      </w:pPr>
      <w:r>
        <w:rPr>
          <w:rFonts w:ascii="Times New Roman" w:cs="Times New Roman" w:eastAsia="Times New Roman" w:hAnsi="Times New Roman"/>
          <w:b w:val="false"/>
          <w:bCs w:val="false"/>
          <w:i w:val="false"/>
          <w:iCs w:val="false"/>
          <w:sz w:val="22"/>
          <w:szCs w:val="22"/>
        </w:rPr>
        <w:t xml:space="preserve">Kirchenbauer et al. show that watermark detection can succeed on very short samples under specific experimental conditions, including relatively strong watermark parameters such as (γ, δ) = (0.25, 2) in their proof-of-concept setting (Kirchenbauer et al., 2023a). That result is important as an engineering demonstration of detectability, but it does not by itself establish a forensic or regulatory standard for interpreting detector outputs on short text. Subsequent work has emphasized robustness, distortion-free or unbiased watermarking, semantic or paraphrase robustness, public detectability, and attack surfaces such as stealing, spoofing, and scrubbing (Kirchenbauer et al., 2023b; Kuditipudi et al., 2024; Hu et al., 2024; Ren et al., 2024; Fairoze et al., 2023; Jovanović et al., 2024). Statistical work has also generalized the efficiency analysis of watermark detectors beyond simple z-tests (Li et al., 2025).</w:t>
      </w:r>
    </w:p>
    <w:p>
      <w:pPr>
        <w:spacing w:after="160" w:before="0"/>
        <w:jc w:val="both"/>
      </w:pPr>
      <w:r>
        <w:rPr>
          <w:rFonts w:ascii="Times New Roman" w:cs="Times New Roman" w:eastAsia="Times New Roman" w:hAnsi="Times New Roman"/>
          <w:b w:val="false"/>
          <w:bCs w:val="false"/>
          <w:i w:val="false"/>
          <w:iCs w:val="false"/>
          <w:sz w:val="22"/>
          <w:szCs w:val="22"/>
        </w:rPr>
        <w:t xml:space="preserve">Accordingly, this paper distinguishes three levels of analysis that are often blurred in discussion of AI watermarking: </w:t>
      </w:r>
      <w:r>
        <w:rPr>
          <w:rFonts w:ascii="Times New Roman" w:cs="Times New Roman" w:eastAsia="Times New Roman" w:hAnsi="Times New Roman"/>
          <w:b w:val="false"/>
          <w:bCs w:val="false"/>
          <w:i/>
          <w:iCs/>
          <w:sz w:val="22"/>
          <w:szCs w:val="22"/>
        </w:rPr>
        <w:t xml:space="preserve">statistical detectability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practical reliability</w:t>
      </w:r>
      <w:r>
        <w:rPr>
          <w:rFonts w:ascii="Times New Roman" w:cs="Times New Roman" w:eastAsia="Times New Roman" w:hAnsi="Times New Roman"/>
          <w:b w:val="false"/>
          <w:bCs w:val="false"/>
          <w:i w:val="false"/>
          <w:iCs w:val="false"/>
          <w:sz w:val="22"/>
          <w:szCs w:val="22"/>
        </w:rPr>
        <w:t xml:space="preserve">, and </w:t>
      </w:r>
      <w:r>
        <w:rPr>
          <w:rFonts w:ascii="Times New Roman" w:cs="Times New Roman" w:eastAsia="Times New Roman" w:hAnsi="Times New Roman"/>
          <w:b w:val="false"/>
          <w:bCs w:val="false"/>
          <w:i/>
          <w:iCs/>
          <w:sz w:val="22"/>
          <w:szCs w:val="22"/>
        </w:rPr>
        <w:t xml:space="preserve">forensic or institutional use</w:t>
      </w:r>
      <w:r>
        <w:rPr>
          <w:rFonts w:ascii="Times New Roman" w:cs="Times New Roman" w:eastAsia="Times New Roman" w:hAnsi="Times New Roman"/>
          <w:b w:val="false"/>
          <w:bCs w:val="false"/>
          <w:i w:val="false"/>
          <w:iCs w:val="false"/>
          <w:sz w:val="22"/>
          <w:szCs w:val="22"/>
        </w:rPr>
        <w:t xml:space="preserve">. Its contribution is not a new test statistic. Rather, it uses a simple scaling benchmark to illustrate a short-sample challenge in the stylized model, and to show why the detectability of a signal should not be confused with its evidentiary sufficiency. One procedural caution motivated by the scaling relation is that statistical detectability alone does not suffice for strong institutional attribution, particularly under conditions of opacity, weak signal, or limited sample size.</w:t>
      </w:r>
    </w:p>
    <w:p>
      <w:pPr>
        <w:spacing w:after="160" w:before="0"/>
        <w:jc w:val="both"/>
      </w:pPr>
      <w:r>
        <w:rPr>
          <w:rFonts w:ascii="Times New Roman" w:cs="Times New Roman" w:eastAsia="Times New Roman" w:hAnsi="Times New Roman"/>
          <w:sz w:val="22"/>
          <w:szCs w:val="22"/>
        </w:rPr>
        <w:t xml:space="preserve">That distinction has become more urgent as watermarking and provenance move from research demonstrations into live governance settings. In the European Union, transparency obligations under Article 50 of the AI Act become applicable on 2 August 2026, and the Commission's Code of Practice on marking and labelling of AI-generated content is being developed to support compliance with those transparency obligations (European Commission, 2025; 2026). Related governance instruments for general-purpose AI may matter indirectly, but they are not identical to this marking-and-labelling track. The present framework is not offered as an interpretation of any single legal instrument; rather, it is offered as a way to inform evidentiary claims in a policy environment that increasingly expects marking, detectability, and transparent interpretation to coexist.</w:t>
      </w:r>
    </w:p>
    <w:p>
      <w:pPr>
        <w:spacing w:after="80" w:before="0"/>
      </w:pPr>
      <w:r>
        <w:t xml:space="preserve"/>
      </w:r>
    </w:p>
    <w:p>
      <w:pPr>
        <w:pStyle w:val="Heading1"/>
        <w:spacing w:after="180" w:before="360"/>
      </w:pPr>
      <w:r>
        <w:rPr>
          <w:rFonts w:ascii="Times New Roman" w:cs="Times New Roman" w:eastAsia="Times New Roman" w:hAnsi="Times New Roman"/>
          <w:b/>
          <w:bCs/>
          <w:color w:val="1A1A1A"/>
          <w:sz w:val="28"/>
          <w:szCs w:val="28"/>
        </w:rPr>
        <w:t xml:space="preserve">2. The Statistical Horizon: Formalization</w:t>
      </w:r>
    </w:p>
    <w:p>
      <w:pPr>
        <w:spacing w:after="160" w:before="0"/>
        <w:jc w:val="both"/>
      </w:pPr>
      <w:r>
        <w:rPr>
          <w:rFonts w:ascii="Times New Roman" w:cs="Times New Roman" w:eastAsia="Times New Roman" w:hAnsi="Times New Roman"/>
          <w:sz w:val="22"/>
          <w:szCs w:val="22"/>
        </w:rPr>
        <w:t xml:space="preserve">The core of the framework is the relationship between watermark transparency (low visibility), detector response, and the amount of text required to produce a statistically meaningful signal.</w:t>
      </w:r>
    </w:p>
    <w:p>
      <w:pPr>
        <w:spacing w:after="160" w:before="0"/>
        <w:jc w:val="both"/>
      </w:pPr>
      <w:r>
        <w:rPr>
          <w:rFonts w:ascii="Times New Roman" w:cs="Times New Roman" w:eastAsia="Times New Roman" w:hAnsi="Times New Roman"/>
          <w:sz w:val="22"/>
          <w:szCs w:val="22"/>
        </w:rPr>
        <w:t xml:space="preserve">In the simplified mean-shift model used here, expected detection length under the normal approximation scales according to:</w:t>
      </w:r>
    </w:p>
    <w:p>
      <w:pPr>
        <w:spacing w:after="160" w:before="160"/>
        <w:jc w:val="center"/>
      </w:pPr>
      <w:r>
        <w:rPr>
          <w:rFonts w:ascii="Cambria Math" w:cs="Cambria Math" w:eastAsia="Cambria Math" w:hAnsi="Cambria Math"/>
          <w:i/>
          <w:iCs/>
          <w:sz w:val="22"/>
          <w:szCs w:val="22"/>
        </w:rPr>
        <w:t xml:space="preserve">L ∝ 1 / (η²δ²)</w:t>
      </w:r>
    </w:p>
    <w:p>
      <w:pPr>
        <w:spacing w:after="160" w:before="0"/>
        <w:jc w:val="both"/>
      </w:pPr>
      <w:r>
        <w:rPr>
          <w:rFonts w:ascii="Times New Roman" w:cs="Times New Roman" w:eastAsia="Times New Roman" w:hAnsi="Times New Roman"/>
          <w:b w:val="false"/>
          <w:bCs w:val="false"/>
          <w:i w:val="false"/>
          <w:iCs w:val="false"/>
          <w:sz w:val="22"/>
          <w:szCs w:val="22"/>
        </w:rPr>
        <w:t xml:space="preserve">More generally, if z* &gt; 0 denotes the critical value of the detector statistic for a one-sided threshold test under the stylized normal approximation, and η denotes the variance-normalized detector-response parameter defined formally in Appendix A, the horizon length n</w:t>
      </w:r>
      <w:r>
        <w:rPr>
          <w:rFonts w:ascii="Times New Roman" w:cs="Times New Roman" w:eastAsia="Times New Roman" w:hAnsi="Times New Roman"/>
          <w:b w:val="false"/>
          <w:bCs w:val="false"/>
          <w:i w:val="false"/>
          <w:iCs w:val="false"/>
          <w:sz w:val="22"/>
          <w:szCs w:val="22"/>
          <w:vertAlign w:val="subscript"/>
        </w:rPr>
        <w:t xml:space="preserve">H</w:t>
      </w:r>
      <w:r>
        <w:rPr>
          <w:rFonts w:ascii="Times New Roman" w:cs="Times New Roman" w:eastAsia="Times New Roman" w:hAnsi="Times New Roman"/>
          <w:b w:val="false"/>
          <w:bCs w:val="false"/>
          <w:i w:val="false"/>
          <w:iCs w:val="false"/>
          <w:sz w:val="22"/>
          <w:szCs w:val="22"/>
        </w:rPr>
        <w:t xml:space="preserve"> satisfies:</w:t>
      </w:r>
    </w:p>
    <w:p>
      <w:pPr>
        <w:spacing w:after="160" w:before="160"/>
        <w:jc w:val="center"/>
      </w:pPr>
      <w:r>
        <w:rPr>
          <w:rFonts w:ascii="Cambria Math" w:cs="Cambria Math" w:eastAsia="Cambria Math" w:hAnsi="Cambria Math"/>
          <w:i/>
          <w:iCs/>
          <w:sz w:val="22"/>
          <w:szCs w:val="22"/>
        </w:rPr>
        <w:t xml:space="preserve">nᴴ = (z*)² / (η²δ²)    … (1)</w:t>
      </w:r>
    </w:p>
    <w:p>
      <w:pPr>
        <w:spacing w:after="160" w:before="0"/>
        <w:jc w:val="both"/>
      </w:pPr>
      <w:r>
        <w:rPr>
          <w:rFonts w:ascii="Times New Roman" w:cs="Times New Roman" w:eastAsia="Times New Roman" w:hAnsi="Times New Roman"/>
          <w:b w:val="false"/>
          <w:bCs w:val="false"/>
          <w:i w:val="false"/>
          <w:iCs w:val="false"/>
          <w:sz w:val="22"/>
          <w:szCs w:val="22"/>
        </w:rPr>
        <w:t xml:space="preserve">Throughout the main text, it is also useful to write η</w:t>
      </w:r>
      <w:r>
        <w:rPr>
          <w:rFonts w:ascii="Times New Roman" w:cs="Times New Roman" w:eastAsia="Times New Roman" w:hAnsi="Times New Roman"/>
          <w:b w:val="false"/>
          <w:bCs w:val="false"/>
          <w:i w:val="false"/>
          <w:iCs w:val="false"/>
          <w:sz w:val="22"/>
          <w:szCs w:val="22"/>
          <w:vertAlign w:val="subscript"/>
        </w:rPr>
        <w:t xml:space="preserve">eff</w:t>
      </w:r>
      <w:r>
        <w:rPr>
          <w:rFonts w:ascii="Times New Roman" w:cs="Times New Roman" w:eastAsia="Times New Roman" w:hAnsi="Times New Roman"/>
          <w:b w:val="false"/>
          <w:bCs w:val="false"/>
          <w:i w:val="false"/>
          <w:iCs w:val="false"/>
          <w:sz w:val="22"/>
          <w:szCs w:val="22"/>
        </w:rPr>
        <w:t xml:space="preserve"> for an effective detector-response term under stated conditions. In the formal derivation, η has a specific variance-normalized definition arising from the mean shift of the z-statistic. Equation (1) is derived only under that formal definition. References in the main text to η</w:t>
      </w:r>
      <w:r>
        <w:rPr>
          <w:rFonts w:ascii="Times New Roman" w:cs="Times New Roman" w:eastAsia="Times New Roman" w:hAnsi="Times New Roman"/>
          <w:b w:val="false"/>
          <w:bCs w:val="false"/>
          <w:i w:val="false"/>
          <w:iCs w:val="false"/>
          <w:sz w:val="22"/>
          <w:szCs w:val="22"/>
          <w:vertAlign w:val="subscript"/>
        </w:rPr>
        <w:t xml:space="preserve">eff</w:t>
      </w:r>
      <w:r>
        <w:rPr>
          <w:rFonts w:ascii="Times New Roman" w:cs="Times New Roman" w:eastAsia="Times New Roman" w:hAnsi="Times New Roman"/>
          <w:b w:val="false"/>
          <w:bCs w:val="false"/>
          <w:i w:val="false"/>
          <w:iCs w:val="false"/>
          <w:sz w:val="22"/>
          <w:szCs w:val="22"/>
        </w:rPr>
        <w:t xml:space="preserve"> are heuristic and intended for sensitivity reasoning under non-ideal conditions rather than exact cross-system calculation.</w:t>
      </w:r>
    </w:p>
    <w:p>
      <w:pPr>
        <w:spacing w:after="160" w:before="0"/>
        <w:jc w:val="both"/>
      </w:pPr>
      <w:r>
        <w:rPr>
          <w:rFonts w:ascii="Times New Roman" w:cs="Times New Roman" w:eastAsia="Times New Roman" w:hAnsi="Times New Roman"/>
          <w:sz w:val="22"/>
          <w:szCs w:val="22"/>
        </w:rPr>
        <w:t xml:space="preserve">This expression should be read as a structural scaling result, not as a universal operational formula. In the formal model, η absorbs the local relationship between logit bias and green-token probability lift together with normalization by the baseline variance term. The corresponding heuristic quantity ηeff is used more loosely to summarize effective detector response under stated conditions, including possible degradation from detector design, calibration mismatch, or robustness loss. Accordingly, nᴴ is best understood as an analytic benchmark for how detectability scales, rather than as a directly usable external calculator in settings where watermark parameters and calibration details are undisclosed.</w:t>
      </w:r>
    </w:p>
    <w:p>
      <w:pPr>
        <w:spacing w:after="160" w:before="0"/>
        <w:jc w:val="both"/>
      </w:pPr>
      <w:r>
        <w:rPr>
          <w:rFonts w:ascii="Times New Roman" w:cs="Times New Roman" w:eastAsia="Times New Roman" w:hAnsi="Times New Roman"/>
          <w:b w:val="false"/>
          <w:bCs w:val="false"/>
          <w:i w:val="false"/>
          <w:iCs w:val="false"/>
          <w:sz w:val="22"/>
          <w:szCs w:val="22"/>
        </w:rPr>
        <w:t xml:space="preserve">Even when treated only illustratively, the sensitivity of n</w:t>
      </w:r>
      <w:r>
        <w:rPr>
          <w:rFonts w:ascii="Times New Roman" w:cs="Times New Roman" w:eastAsia="Times New Roman" w:hAnsi="Times New Roman"/>
          <w:b w:val="false"/>
          <w:bCs w:val="false"/>
          <w:i w:val="false"/>
          <w:iCs w:val="false"/>
          <w:sz w:val="22"/>
          <w:szCs w:val="22"/>
          <w:vertAlign w:val="subscript"/>
        </w:rPr>
        <w:t xml:space="preserve">H</w:t>
      </w:r>
      <w:r>
        <w:rPr>
          <w:rFonts w:ascii="Times New Roman" w:cs="Times New Roman" w:eastAsia="Times New Roman" w:hAnsi="Times New Roman"/>
          <w:b w:val="false"/>
          <w:bCs w:val="false"/>
          <w:i w:val="false"/>
          <w:iCs w:val="false"/>
          <w:sz w:val="22"/>
          <w:szCs w:val="22"/>
        </w:rPr>
        <w:t xml:space="preserve"> to η is substantial because n</w:t>
      </w:r>
      <w:r>
        <w:rPr>
          <w:rFonts w:ascii="Times New Roman" w:cs="Times New Roman" w:eastAsia="Times New Roman" w:hAnsi="Times New Roman"/>
          <w:b w:val="false"/>
          <w:bCs w:val="false"/>
          <w:i w:val="false"/>
          <w:iCs w:val="false"/>
          <w:sz w:val="22"/>
          <w:szCs w:val="22"/>
          <w:vertAlign w:val="subscript"/>
        </w:rPr>
        <w:t xml:space="preserve">H</w:t>
      </w:r>
      <w:r>
        <w:rPr>
          <w:rFonts w:ascii="Times New Roman" w:cs="Times New Roman" w:eastAsia="Times New Roman" w:hAnsi="Times New Roman"/>
          <w:b w:val="false"/>
          <w:bCs w:val="false"/>
          <w:i w:val="false"/>
          <w:iCs w:val="false"/>
          <w:sz w:val="22"/>
          <w:szCs w:val="22"/>
        </w:rPr>
        <w:t xml:space="preserve"> ∝ 1/η². Within the formal model, halving the combined signal term ηδ requires approximately four times as much text to maintain the same expected detector signal. In reduced-form sensitivity reasoning, the same quadratic intuition applies to η</w:t>
      </w:r>
      <w:r>
        <w:rPr>
          <w:rFonts w:ascii="Times New Roman" w:cs="Times New Roman" w:eastAsia="Times New Roman" w:hAnsi="Times New Roman"/>
          <w:b w:val="false"/>
          <w:bCs w:val="false"/>
          <w:i w:val="false"/>
          <w:iCs w:val="false"/>
          <w:sz w:val="22"/>
          <w:szCs w:val="22"/>
          <w:vertAlign w:val="subscript"/>
        </w:rPr>
        <w:t xml:space="preserve">eff</w:t>
      </w:r>
      <w:r>
        <w:rPr>
          <w:rFonts w:ascii="Times New Roman" w:cs="Times New Roman" w:eastAsia="Times New Roman" w:hAnsi="Times New Roman"/>
          <w:b w:val="false"/>
          <w:bCs w:val="false"/>
          <w:i w:val="false"/>
          <w:iCs w:val="false"/>
          <w:sz w:val="22"/>
          <w:szCs w:val="22"/>
        </w:rPr>
        <w:t xml:space="preserve">δ as a heuristic guide to the burden imposed by weakened effective response.</w:t>
      </w:r>
    </w:p>
    <w:p>
      <w:pPr>
        <w:spacing w:after="160" w:before="0"/>
        <w:jc w:val="both"/>
      </w:pPr>
      <w:r>
        <w:rPr>
          <w:rFonts w:ascii="Times New Roman" w:cs="Times New Roman" w:eastAsia="Times New Roman" w:hAnsi="Times New Roman"/>
          <w:b w:val="false"/>
          <w:bCs w:val="false"/>
          <w:i w:val="false"/>
          <w:iCs w:val="false"/>
          <w:sz w:val="22"/>
          <w:szCs w:val="22"/>
        </w:rPr>
        <w:t xml:space="preserve">The horizon itself must also be interpreted carefully. By construction, n</w:t>
      </w:r>
      <w:r>
        <w:rPr>
          <w:rFonts w:ascii="Times New Roman" w:cs="Times New Roman" w:eastAsia="Times New Roman" w:hAnsi="Times New Roman"/>
          <w:b w:val="false"/>
          <w:bCs w:val="false"/>
          <w:i w:val="false"/>
          <w:iCs w:val="false"/>
          <w:sz w:val="22"/>
          <w:szCs w:val="22"/>
          <w:vertAlign w:val="subscript"/>
        </w:rPr>
        <w:t xml:space="preserve">H</w:t>
      </w:r>
      <w:r>
        <w:rPr>
          <w:rFonts w:ascii="Times New Roman" w:cs="Times New Roman" w:eastAsia="Times New Roman" w:hAnsi="Times New Roman"/>
          <w:b w:val="false"/>
          <w:bCs w:val="false"/>
          <w:i w:val="false"/>
          <w:iCs w:val="false"/>
          <w:sz w:val="22"/>
          <w:szCs w:val="22"/>
        </w:rPr>
        <w:t xml:space="preserve"> marks the sample length at which the </w:t>
      </w:r>
      <w:r>
        <w:rPr>
          <w:rFonts w:ascii="Times New Roman" w:cs="Times New Roman" w:eastAsia="Times New Roman" w:hAnsi="Times New Roman"/>
          <w:b w:val="false"/>
          <w:bCs w:val="false"/>
          <w:i/>
          <w:iCs/>
          <w:sz w:val="22"/>
          <w:szCs w:val="22"/>
        </w:rPr>
        <w:t xml:space="preserve">expected</w:t>
      </w:r>
      <w:r>
        <w:rPr>
          <w:rFonts w:ascii="Times New Roman" w:cs="Times New Roman" w:eastAsia="Times New Roman" w:hAnsi="Times New Roman"/>
          <w:b w:val="false"/>
          <w:bCs w:val="false"/>
          <w:i w:val="false"/>
          <w:iCs w:val="false"/>
          <w:sz w:val="22"/>
          <w:szCs w:val="22"/>
        </w:rPr>
        <w:t xml:space="preserve"> detector statistic reaches the threshold z*. Under the Gaussian mean-shift model developed in Appendix B, this horizon corresponds to a 50% detection-power point. It is therefore best understood as a </w:t>
      </w:r>
      <w:r>
        <w:rPr>
          <w:rFonts w:ascii="Times New Roman" w:cs="Times New Roman" w:eastAsia="Times New Roman" w:hAnsi="Times New Roman"/>
          <w:b w:val="false"/>
          <w:bCs w:val="false"/>
          <w:i/>
          <w:iCs/>
          <w:sz w:val="22"/>
          <w:szCs w:val="22"/>
        </w:rPr>
        <w:t xml:space="preserve">detectability floor</w:t>
      </w:r>
      <w:r>
        <w:rPr>
          <w:rFonts w:ascii="Times New Roman" w:cs="Times New Roman" w:eastAsia="Times New Roman" w:hAnsi="Times New Roman"/>
          <w:b w:val="false"/>
          <w:bCs w:val="false"/>
          <w:i w:val="false"/>
          <w:iCs w:val="false"/>
          <w:sz w:val="22"/>
          <w:szCs w:val="22"/>
        </w:rPr>
        <w:t xml:space="preserve"> or lower-bound benchmark, not as a boundary of evidentiary sufficiency or strong institutional reliability.</w:t>
      </w:r>
    </w:p>
    <w:p>
      <w:pPr>
        <w:spacing w:after="160" w:before="0"/>
        <w:jc w:val="both"/>
      </w:pPr>
      <w:r>
        <w:rPr>
          <w:rFonts w:ascii="Times New Roman" w:cs="Times New Roman" w:eastAsia="Times New Roman" w:hAnsi="Times New Roman"/>
          <w:sz w:val="22"/>
          <w:szCs w:val="22"/>
        </w:rPr>
        <w:t xml:space="preserve">That distinction matters. Crossing a statistical detectability floor and satisfying a strong institutional evidentiary standard are related but distinct events. The former concerns model-based signal detectability under specified assumptions. The latter concerns whether the resulting evidence is sufficiently reliable, transparent, and interpretable to carry substantial evidentiary weight in institutional use. That second judgment depends not only on the existence of a signal, but also on desired power, disclosure, calibration, robustness, and the availability of corroboration.</w:t>
      </w:r>
    </w:p>
    <w:p>
      <w:pPr>
        <w:spacing w:after="160" w:before="0"/>
        <w:jc w:val="both"/>
      </w:pPr>
      <w:r>
        <w:rPr>
          <w:rFonts w:ascii="Times New Roman" w:cs="Times New Roman" w:eastAsia="Times New Roman" w:hAnsi="Times New Roman"/>
          <w:sz w:val="22"/>
          <w:szCs w:val="22"/>
        </w:rPr>
        <w:t xml:space="preserve">The scaling relation above is derived under a stylized mean-shift model with approximate token-level independence, linear accumulation of signal, and a Gaussian approximation for the normalized detector statistic. Within that model, the horizon identifies the sample length at which the mean detector statistic under the alternative reaches the threshold z*. This does not imply that the realized detector statistic exceeds z* with high probability, nor does it by itself determine any particular evidentiary threshold, likelihood ratio, posterior odds, or institutional sufficiency condition.</w:t>
      </w:r>
    </w:p>
    <w:p>
      <w:pPr>
        <w:spacing w:after="100" w:before="200"/>
      </w:pPr>
      <w:r>
        <w:rPr>
          <w:rFonts w:ascii="Times New Roman" w:cs="Times New Roman" w:eastAsia="Times New Roman" w:hAnsi="Times New Roman"/>
          <w:b/>
          <w:bCs/>
          <w:i/>
          <w:iCs/>
          <w:sz w:val="22"/>
          <w:szCs w:val="22"/>
        </w:rPr>
        <w:t xml:space="preserve">From a Detectability Floor to an Evidentiary Benchmark</w:t>
      </w:r>
    </w:p>
    <w:p>
      <w:pPr>
        <w:spacing w:after="160" w:before="0"/>
        <w:jc w:val="both"/>
      </w:pPr>
      <w:r>
        <w:rPr>
          <w:rFonts w:ascii="Times New Roman" w:cs="Times New Roman" w:eastAsia="Times New Roman" w:hAnsi="Times New Roman"/>
          <w:b w:val="false"/>
          <w:bCs w:val="false"/>
          <w:i w:val="false"/>
          <w:iCs w:val="false"/>
          <w:sz w:val="22"/>
          <w:szCs w:val="22"/>
        </w:rPr>
        <w:t xml:space="preserve">If the target is not mere detectability but a higher operational power level 1−β, then the Gaussian mean-shift model yields a corresponding evidentiary benchmark:</w:t>
      </w:r>
    </w:p>
    <w:p>
      <w:pPr>
        <w:spacing w:after="160" w:before="160"/>
        <w:jc w:val="center"/>
      </w:pPr>
      <w:r>
        <w:rPr>
          <w:rFonts w:ascii="Cambria Math" w:cs="Cambria Math" w:eastAsia="Cambria Math" w:hAnsi="Cambria Math"/>
          <w:i/>
          <w:iCs/>
          <w:sz w:val="22"/>
          <w:szCs w:val="22"/>
        </w:rPr>
        <w:t xml:space="preserve">nᴱ = (z* + z₁₋β)² / (η²δ²)    … (2)</w:t>
      </w:r>
    </w:p>
    <w:p>
      <w:pPr>
        <w:spacing w:after="160" w:before="0"/>
        <w:jc w:val="both"/>
      </w:pPr>
      <w:r>
        <w:rPr>
          <w:rFonts w:ascii="Times New Roman" w:cs="Times New Roman" w:eastAsia="Times New Roman" w:hAnsi="Times New Roman"/>
          <w:b w:val="false"/>
          <w:bCs w:val="false"/>
          <w:i w:val="false"/>
          <w:iCs w:val="false"/>
          <w:sz w:val="22"/>
          <w:szCs w:val="22"/>
        </w:rPr>
        <w:t xml:space="preserve">where z</w:t>
      </w:r>
      <w:r>
        <w:rPr>
          <w:rFonts w:ascii="Times New Roman" w:cs="Times New Roman" w:eastAsia="Times New Roman" w:hAnsi="Times New Roman"/>
          <w:b w:val="false"/>
          <w:bCs w:val="false"/>
          <w:i w:val="false"/>
          <w:iCs w:val="false"/>
          <w:sz w:val="22"/>
          <w:szCs w:val="22"/>
          <w:vertAlign w:val="subscript"/>
        </w:rPr>
        <w:t xml:space="preserve">1−β</w:t>
      </w:r>
      <w:r>
        <w:rPr>
          <w:rFonts w:ascii="Times New Roman" w:cs="Times New Roman" w:eastAsia="Times New Roman" w:hAnsi="Times New Roman"/>
          <w:b w:val="false"/>
          <w:bCs w:val="false"/>
          <w:i w:val="false"/>
          <w:iCs w:val="false"/>
          <w:sz w:val="22"/>
          <w:szCs w:val="22"/>
        </w:rPr>
        <w:t xml:space="preserve"> is the standard normal quantile associated with the desired power. Equation (2) makes explicit what the basic horizon alone can obscure: the amount of text needed for a higher-confidence institutional use may be substantially larger than the 50%-power floor n</w:t>
      </w:r>
      <w:r>
        <w:rPr>
          <w:rFonts w:ascii="Times New Roman" w:cs="Times New Roman" w:eastAsia="Times New Roman" w:hAnsi="Times New Roman"/>
          <w:b w:val="false"/>
          <w:bCs w:val="false"/>
          <w:i w:val="false"/>
          <w:iCs w:val="false"/>
          <w:sz w:val="22"/>
          <w:szCs w:val="22"/>
          <w:vertAlign w:val="subscript"/>
        </w:rPr>
        <w:t xml:space="preserve">H</w:t>
      </w:r>
      <w:r>
        <w:rPr>
          <w:rFonts w:ascii="Times New Roman" w:cs="Times New Roman" w:eastAsia="Times New Roman" w:hAnsi="Times New Roman"/>
          <w:b w:val="false"/>
          <w:bCs w:val="false"/>
          <w:i w:val="false"/>
          <w:iCs w:val="false"/>
          <w:sz w:val="22"/>
          <w:szCs w:val="22"/>
        </w:rPr>
        <w:t xml:space="preserve">.</w:t>
      </w:r>
    </w:p>
    <w:p>
      <w:pPr>
        <w:spacing w:after="160" w:before="0"/>
        <w:jc w:val="both"/>
      </w:pPr>
      <w:r>
        <w:rPr>
          <w:rFonts w:ascii="Times New Roman" w:cs="Times New Roman" w:eastAsia="Times New Roman" w:hAnsi="Times New Roman"/>
          <w:sz w:val="22"/>
          <w:szCs w:val="22"/>
        </w:rPr>
        <w:t xml:space="preserve">Indeed,</w:t>
      </w:r>
    </w:p>
    <w:p>
      <w:pPr>
        <w:spacing w:after="160" w:before="160"/>
        <w:jc w:val="center"/>
      </w:pPr>
      <w:r>
        <w:rPr>
          <w:rFonts w:ascii="Cambria Math" w:cs="Cambria Math" w:eastAsia="Cambria Math" w:hAnsi="Cambria Math"/>
          <w:i/>
          <w:iCs/>
          <w:sz w:val="22"/>
          <w:szCs w:val="22"/>
        </w:rPr>
        <w:t xml:space="preserve">nᴱ / nᴴ = (z* + z₁₋β)² / (z*)²</w:t>
      </w:r>
    </w:p>
    <w:p>
      <w:pPr>
        <w:spacing w:after="160" w:before="0"/>
        <w:jc w:val="both"/>
      </w:pPr>
      <w:r>
        <w:rPr>
          <w:rFonts w:ascii="Times New Roman" w:cs="Times New Roman" w:eastAsia="Times New Roman" w:hAnsi="Times New Roman"/>
          <w:sz w:val="22"/>
          <w:szCs w:val="22"/>
        </w:rPr>
        <w:t xml:space="preserve">For illustrative one-sided thresholds such as z* = 3, this ratio is about 1.64 for 80% power, about 2.04 for 90% power, and about 2.40 for 95% power. These are analytic sensitivity examples only. The practical implication is straightforward: even if a short text reaches the detectability floor, it may still lie materially below a power regime that would justify strong institutional weight.</w:t>
      </w:r>
    </w:p>
    <w:p>
      <w:pPr>
        <w:spacing w:after="160" w:before="0"/>
        <w:jc w:val="both"/>
      </w:pPr>
      <w:r>
        <w:rPr>
          <w:rFonts w:ascii="Times New Roman" w:cs="Times New Roman" w:eastAsia="Times New Roman" w:hAnsi="Times New Roman"/>
          <w:sz w:val="22"/>
          <w:szCs w:val="22"/>
        </w:rPr>
        <w:t xml:space="preserve">For practical orientation, a 500-word excerpt is often on the order of only a few hundred tokens. In parameter regimes where ηδ is weak, such samples may lie near or below the detectability floor nᴴ, and well below a higher-power benchmark nᴱ. This helps explain why short academic-integrity excerpts are especially poor candidates for strong watermark-based attribution absent transparent calibration and corroboration.</w:t>
      </w:r>
    </w:p>
    <w:p>
      <w:pPr>
        <w:spacing w:after="100" w:before="200"/>
      </w:pPr>
      <w:r>
        <w:rPr>
          <w:rFonts w:ascii="Times New Roman" w:cs="Times New Roman" w:eastAsia="Times New Roman" w:hAnsi="Times New Roman"/>
          <w:b/>
          <w:bCs/>
          <w:i/>
          <w:iCs/>
          <w:sz w:val="22"/>
          <w:szCs w:val="22"/>
        </w:rPr>
        <w:t xml:space="preserve">The Horizon Is Operationally Dynamic</w:t>
      </w:r>
    </w:p>
    <w:p>
      <w:pPr>
        <w:spacing w:after="160" w:before="0"/>
        <w:jc w:val="both"/>
      </w:pPr>
      <w:r>
        <w:rPr>
          <w:rFonts w:ascii="Times New Roman" w:cs="Times New Roman" w:eastAsia="Times New Roman" w:hAnsi="Times New Roman"/>
          <w:sz w:val="22"/>
          <w:szCs w:val="22"/>
        </w:rPr>
        <w:t xml:space="preserve">The Statistical Horizon should not be read as a static property of a watermarking problem once and for all. In practice, the effective signal term ηeffδ can shift as watermark construction changes, detector design improves, post-generation editing alters the signal, or disclosure quality allows external reviewers to model the system more accurately. A fixed text length may therefore occupy different evidentiary positions at different times or across different deployments.</w:t>
      </w:r>
    </w:p>
    <w:p>
      <w:pPr>
        <w:spacing w:after="160" w:before="0"/>
        <w:jc w:val="both"/>
      </w:pPr>
      <w:r>
        <w:rPr>
          <w:rFonts w:ascii="Times New Roman" w:cs="Times New Roman" w:eastAsia="Times New Roman" w:hAnsi="Times New Roman"/>
          <w:sz w:val="22"/>
          <w:szCs w:val="22"/>
        </w:rPr>
        <w:t xml:space="preserve">This point matters for governance. In a policy environment increasingly concerned with marking, detectability, interoperability, and provenance, institutions may be tempted to treat a detector output as though it had stable meaning across vendors, revisions, or attack conditions. The present framework counsels against that inference. The horizon is better understood as an operationally dynamic benchmark: a way to ask what sample length is required under stated conditions, not a way to assume that one detector result carries the same weight across changing technical or institutional settings.</w:t>
      </w:r>
    </w:p>
    <w:p>
      <w:pPr>
        <w:spacing w:after="80" w:before="0"/>
      </w:pPr>
      <w:r>
        <w:t xml:space="preserve"/>
      </w:r>
    </w:p>
    <w:p>
      <w:pPr>
        <w:pStyle w:val="Heading1"/>
        <w:spacing w:after="180" w:before="360"/>
      </w:pPr>
      <w:r>
        <w:rPr>
          <w:rFonts w:ascii="Times New Roman" w:cs="Times New Roman" w:eastAsia="Times New Roman" w:hAnsi="Times New Roman"/>
          <w:b/>
          <w:bCs/>
          <w:color w:val="1A1A1A"/>
          <w:sz w:val="28"/>
          <w:szCs w:val="28"/>
        </w:rPr>
        <w:t xml:space="preserve">3. Institutional Use and the “Safety Floor” Principle</w:t>
      </w:r>
    </w:p>
    <w:p>
      <w:pPr>
        <w:spacing w:after="160" w:before="0"/>
        <w:jc w:val="both"/>
      </w:pPr>
      <w:r>
        <w:rPr>
          <w:rFonts w:ascii="Times New Roman" w:cs="Times New Roman" w:eastAsia="Times New Roman" w:hAnsi="Times New Roman"/>
          <w:sz w:val="22"/>
          <w:szCs w:val="22"/>
        </w:rPr>
        <w:t xml:space="preserve">The Statistical Horizon has direct implications for responsible institutional use of watermark evidence, but not in the form of a universal token threshold. The horizon equation identifies a scaling relationship between watermark strength, detector response, and sample length. It does not by itself establish that any fixed number of tokens is generally sufficient for forensic, disciplinary, or regulatory use across watermarking systems.</w:t>
      </w:r>
    </w:p>
    <w:p>
      <w:pPr>
        <w:spacing w:after="160" w:before="0"/>
        <w:jc w:val="both"/>
      </w:pPr>
      <w:r>
        <w:rPr>
          <w:rFonts w:ascii="Times New Roman" w:cs="Times New Roman" w:eastAsia="Times New Roman" w:hAnsi="Times New Roman"/>
          <w:sz w:val="22"/>
          <w:szCs w:val="22"/>
        </w:rPr>
        <w:t xml:space="preserve">This limitation is not incidental. In real deployments, the quantities needed to interpret detector outputs may be partially or wholly undisclosed: watermark strength, green-list construction, detector design, calibration data, robustness to post-editing, and other system-specific parameters may not be available to external reviewers. Under those conditions, even a formally correct detector output may have uncertain evidentiary meaning.</w:t>
      </w:r>
    </w:p>
    <w:p>
      <w:pPr>
        <w:spacing w:after="160" w:before="0"/>
        <w:jc w:val="both"/>
      </w:pPr>
      <w:r>
        <w:rPr>
          <w:rFonts w:ascii="Times New Roman" w:cs="Times New Roman" w:eastAsia="Times New Roman" w:hAnsi="Times New Roman"/>
          <w:sz w:val="22"/>
          <w:szCs w:val="22"/>
        </w:rPr>
        <w:t xml:space="preserve">For purposes of this paper, AI watermark detection is treated as a machine-mediated statistical signal whose evidentiary weight depends on assumptions, calibration, sample length, and operator transparency. The discussion in this paper is framed in a general forensic-policy sense of responsible institutional use, rather than as an attempt to map the framework onto any single jurisdiction’s formal law of evidence.</w:t>
      </w:r>
    </w:p>
    <w:p>
      <w:pPr>
        <w:spacing w:after="160" w:before="0"/>
        <w:jc w:val="both"/>
      </w:pPr>
      <w:r>
        <w:rPr>
          <w:rFonts w:ascii="Times New Roman" w:cs="Times New Roman" w:eastAsia="Times New Roman" w:hAnsi="Times New Roman"/>
          <w:sz w:val="22"/>
          <w:szCs w:val="22"/>
        </w:rPr>
        <w:t xml:space="preserve">This cautionary stance reflects a more general concern with validation, calibrated limits, and transparent interpretation in institutional uses of technical evidence. The present paper does not claim that watermark detection is unique in this respect. Its narrower contribution is to show why watermark evidence is vulnerable to short-sample failure: low visibility and weakened effective response impose a quadratic sample-length penalty, making the gap between detectability and evidentiary sufficiency pronounced.</w:t>
      </w:r>
    </w:p>
    <w:p>
      <w:pPr>
        <w:spacing w:after="160" w:before="0"/>
        <w:jc w:val="both"/>
      </w:pPr>
      <w:r>
        <w:rPr>
          <w:rFonts w:ascii="Times New Roman" w:cs="Times New Roman" w:eastAsia="Times New Roman" w:hAnsi="Times New Roman"/>
          <w:b w:val="false"/>
          <w:bCs w:val="false"/>
          <w:i w:val="false"/>
          <w:iCs w:val="false"/>
          <w:sz w:val="22"/>
          <w:szCs w:val="22"/>
        </w:rPr>
        <w:t xml:space="preserve">In this paper, the </w:t>
      </w:r>
      <w:r>
        <w:rPr>
          <w:rFonts w:ascii="Times New Roman" w:cs="Times New Roman" w:eastAsia="Times New Roman" w:hAnsi="Times New Roman"/>
          <w:b w:val="false"/>
          <w:bCs w:val="false"/>
          <w:i/>
          <w:iCs/>
          <w:sz w:val="22"/>
          <w:szCs w:val="22"/>
        </w:rPr>
        <w:t xml:space="preserve">Safety Floor</w:t>
      </w:r>
      <w:r>
        <w:rPr>
          <w:rFonts w:ascii="Times New Roman" w:cs="Times New Roman" w:eastAsia="Times New Roman" w:hAnsi="Times New Roman"/>
          <w:b w:val="false"/>
          <w:bCs w:val="false"/>
          <w:i w:val="false"/>
          <w:iCs w:val="false"/>
          <w:sz w:val="22"/>
          <w:szCs w:val="22"/>
        </w:rPr>
        <w:t xml:space="preserve"> refers to the procedural stance that treats n</w:t>
      </w:r>
      <w:r>
        <w:rPr>
          <w:rFonts w:ascii="Times New Roman" w:cs="Times New Roman" w:eastAsia="Times New Roman" w:hAnsi="Times New Roman"/>
          <w:b w:val="false"/>
          <w:bCs w:val="false"/>
          <w:i w:val="false"/>
          <w:iCs w:val="false"/>
          <w:sz w:val="22"/>
          <w:szCs w:val="22"/>
          <w:vertAlign w:val="subscript"/>
        </w:rPr>
        <w:t xml:space="preserve">H</w:t>
      </w:r>
      <w:r>
        <w:rPr>
          <w:rFonts w:ascii="Times New Roman" w:cs="Times New Roman" w:eastAsia="Times New Roman" w:hAnsi="Times New Roman"/>
          <w:b w:val="false"/>
          <w:bCs w:val="false"/>
          <w:i w:val="false"/>
          <w:iCs w:val="false"/>
          <w:sz w:val="22"/>
          <w:szCs w:val="22"/>
        </w:rPr>
        <w:t xml:space="preserve"> as a necessary detectability floor but not a sufficient evidentiary condition, with stronger institutional claims requiring movement toward a higher-power benchmark such as n</w:t>
      </w:r>
      <w:r>
        <w:rPr>
          <w:rFonts w:ascii="Times New Roman" w:cs="Times New Roman" w:eastAsia="Times New Roman" w:hAnsi="Times New Roman"/>
          <w:b w:val="false"/>
          <w:bCs w:val="false"/>
          <w:i w:val="false"/>
          <w:iCs w:val="false"/>
          <w:sz w:val="22"/>
          <w:szCs w:val="22"/>
          <w:vertAlign w:val="subscript"/>
        </w:rPr>
        <w:t xml:space="preserve">E</w:t>
      </w:r>
      <w:r>
        <w:rPr>
          <w:rFonts w:ascii="Times New Roman" w:cs="Times New Roman" w:eastAsia="Times New Roman" w:hAnsi="Times New Roman"/>
          <w:b w:val="false"/>
          <w:bCs w:val="false"/>
          <w:i w:val="false"/>
          <w:iCs w:val="false"/>
          <w:sz w:val="22"/>
          <w:szCs w:val="22"/>
        </w:rPr>
        <w:t xml:space="preserve">.</w:t>
      </w:r>
    </w:p>
    <w:p>
      <w:pPr>
        <w:spacing w:after="160" w:before="0"/>
        <w:jc w:val="both"/>
      </w:pPr>
      <w:r>
        <w:rPr>
          <w:rFonts w:ascii="Times New Roman" w:cs="Times New Roman" w:eastAsia="Times New Roman" w:hAnsi="Times New Roman"/>
          <w:sz w:val="22"/>
          <w:szCs w:val="22"/>
        </w:rPr>
        <w:t xml:space="preserve">Where text is short, watermark strength is unknown, or calibration evidence is unavailable, the default institutional posture should be conservative. Detector outputs in such settings may be suggestive, but they should not ordinarily be treated as strong evidence of authorship.</w:t>
      </w:r>
    </w:p>
    <w:p>
      <w:pPr>
        <w:spacing w:after="160" w:before="0"/>
        <w:jc w:val="both"/>
      </w:pPr>
      <w:r>
        <w:rPr>
          <w:rFonts w:ascii="Times New Roman" w:cs="Times New Roman" w:eastAsia="Times New Roman" w:hAnsi="Times New Roman"/>
          <w:sz w:val="22"/>
          <w:szCs w:val="22"/>
        </w:rPr>
        <w:t xml:space="preserve">This framing becomes more useful when watermark evidence is situated within a broader provenance bundle. Metadata provenance, content credentials, platform disclosures, and record-keeping may each bear on whether a piece of content can be linked to a generative system or workflow (C2PA, 2025). The Statistical Horizon is not a substitute for those mechanisms. It can inform the weighting of watermark evidence for the narrower question of how much evidentiary force a detector output should carry when it is invoked within that broader bundle, though this paper does not formally model the combination of watermark evidence with other provenance signals.</w:t>
      </w:r>
    </w:p>
    <w:p>
      <w:pPr>
        <w:spacing w:after="160" w:before="0"/>
        <w:jc w:val="both"/>
      </w:pPr>
      <w:r>
        <w:rPr>
          <w:rFonts w:ascii="Times New Roman" w:cs="Times New Roman" w:eastAsia="Times New Roman" w:hAnsi="Times New Roman"/>
          <w:sz w:val="22"/>
          <w:szCs w:val="22"/>
        </w:rPr>
        <w:t xml:space="preserve">One possible procedural response is a modest disclosure principle. If an institution wishes to rely materially on watermark evidence, it should disclose enough about the detector family, calibration regime, sample-length comparability, and robustness assumptions to allow an external reviewer to assess whether the sample meaningfully exceeds a disclosed detectability floor and, where stronger claims are made, whether it approaches a higher evidentiary benchmark. This disclosure principle is normative rather than formally derived from cross-detector results in the present model; it is proposed as a procedural response to parameter sensitivity, opacity, and finite-sample uncertainty.</w:t>
      </w:r>
    </w:p>
    <w:p>
      <w:pPr>
        <w:spacing w:after="160" w:before="0"/>
        <w:jc w:val="both"/>
      </w:pPr>
      <w:r>
        <w:rPr>
          <w:rFonts w:ascii="Times New Roman" w:cs="Times New Roman" w:eastAsia="Times New Roman" w:hAnsi="Times New Roman"/>
          <w:sz w:val="22"/>
          <w:szCs w:val="22"/>
        </w:rPr>
        <w:t xml:space="preserve">For example, a minimally adequate showing in an academic-integrity setting might include disclosure of the detector family used, calibration results on texts of comparable length, reported false-positive behavior under ordinary editing or paraphrasing, and corroborating non-detector evidence tied to the same submission. This is offered as an illustrative operational benchmark, not as a universal rule across all institutional contexts.</w:t>
      </w:r>
    </w:p>
    <w:p>
      <w:pPr>
        <w:spacing w:after="160" w:before="0"/>
        <w:jc w:val="both"/>
      </w:pPr>
      <w:r>
        <w:rPr>
          <w:rFonts w:ascii="Times New Roman" w:cs="Times New Roman" w:eastAsia="Times New Roman" w:hAnsi="Times New Roman"/>
          <w:sz w:val="22"/>
          <w:szCs w:val="22"/>
        </w:rPr>
        <w:t xml:space="preserve">A further complication is adversarial degradation. In contemporary settings, the threat is not limited to benign paraphrasing or ordinary editing. Spoofing, watermark stealing or forgery, model adaptation, and cross-system attack strategies may either weaken a genuine signal or create a misleading appearance of one (Jovanović et al., 2024; Omidi et al., 2026; Zhang et al., 2026). Without claiming that the formal quadratic relationship extends exactly to these cases, the structural intuition is that reductions in effective signal-to-noise ratio compound as a sample-length burden, while forged or counterfeited signals create a distinct false-positive risk. These two attack modes raise distinct concerns that are not captured by the stylized model, but they reinforce the normative case for cautious treatment unless robustness conditions are disclosed and empirically supported.</w:t>
      </w:r>
    </w:p>
    <w:p>
      <w:pPr>
        <w:spacing w:after="160" w:before="0"/>
        <w:jc w:val="both"/>
      </w:pPr>
      <w:r>
        <w:rPr>
          <w:rFonts w:ascii="Times New Roman" w:cs="Times New Roman" w:eastAsia="Times New Roman" w:hAnsi="Times New Roman"/>
          <w:sz w:val="22"/>
          <w:szCs w:val="22"/>
        </w:rPr>
        <w:t xml:space="preserve">The claims in this section are normative rather than purely deductive. The formal model developed in this paper yields a stylized detectability benchmark, not a complete theory of evidentiary force, joint provenance assessment, or cross-detector institutional reliability. The policy proposals advanced here are therefore best understood as procedural responses motivated by parameter sensitivity, finite-sample uncertainty, opacity, and robustness concerns, rather than as results formally derived from the horizon equation alone.</w:t>
      </w:r>
    </w:p>
    <w:p>
      <w:pPr>
        <w:spacing w:after="160" w:before="0"/>
        <w:jc w:val="both"/>
      </w:pPr>
      <w:r>
        <w:rPr>
          <w:rFonts w:ascii="Times New Roman" w:cs="Times New Roman" w:eastAsia="Times New Roman" w:hAnsi="Times New Roman"/>
          <w:sz w:val="22"/>
          <w:szCs w:val="22"/>
        </w:rPr>
        <w:t xml:space="preserve">In practical terms:</w:t>
      </w:r>
    </w:p>
    <w:p>
      <w:pPr>
        <w:pStyle w:val="ListParagraph"/>
        <w:numPr>
          <w:ilvl w:val="0"/>
          <w:numId w:val="2"/>
        </w:numPr>
        <w:spacing w:after="60" w:before="60"/>
      </w:pPr>
      <w:r>
        <w:rPr>
          <w:rFonts w:ascii="Times New Roman" w:cs="Times New Roman" w:eastAsia="Times New Roman" w:hAnsi="Times New Roman"/>
          <w:sz w:val="22"/>
          <w:szCs w:val="22"/>
        </w:rPr>
        <w:t xml:space="preserve">A watermark “hit” on a short passage, absent disclosure and calibration, should not ordinarily be treated as proof of origin.</w:t>
      </w:r>
    </w:p>
    <w:p>
      <w:pPr>
        <w:pStyle w:val="ListParagraph"/>
        <w:numPr>
          <w:ilvl w:val="0"/>
          <w:numId w:val="2"/>
        </w:numPr>
        <w:spacing w:after="60" w:before="60"/>
      </w:pPr>
      <w:r>
        <w:rPr>
          <w:rFonts w:ascii="Times New Roman" w:cs="Times New Roman" w:eastAsia="Times New Roman" w:hAnsi="Times New Roman"/>
          <w:sz w:val="22"/>
          <w:szCs w:val="22"/>
        </w:rPr>
        <w:t xml:space="preserve">Reaching the detectability floor nᴴ does not by itself justify strong institutional weight.</w:t>
      </w:r>
    </w:p>
    <w:p>
      <w:pPr>
        <w:pStyle w:val="ListParagraph"/>
        <w:numPr>
          <w:ilvl w:val="0"/>
          <w:numId w:val="2"/>
        </w:numPr>
        <w:spacing w:after="60" w:before="60"/>
      </w:pPr>
      <w:r>
        <w:rPr>
          <w:rFonts w:ascii="Times New Roman" w:cs="Times New Roman" w:eastAsia="Times New Roman" w:hAnsi="Times New Roman"/>
          <w:sz w:val="22"/>
          <w:szCs w:val="22"/>
        </w:rPr>
        <w:t xml:space="preserve">Where system parameters and robustness conditions are undisclosed, the default forensic posture should be cautious and ordinarily non-attributive.</w:t>
      </w:r>
    </w:p>
    <w:p>
      <w:pPr>
        <w:pStyle w:val="ListParagraph"/>
        <w:numPr>
          <w:ilvl w:val="0"/>
          <w:numId w:val="2"/>
        </w:numPr>
        <w:spacing w:after="60" w:before="60"/>
      </w:pPr>
      <w:r>
        <w:rPr>
          <w:rFonts w:ascii="Times New Roman" w:cs="Times New Roman" w:eastAsia="Times New Roman" w:hAnsi="Times New Roman"/>
          <w:sz w:val="22"/>
          <w:szCs w:val="22"/>
        </w:rPr>
        <w:t xml:space="preserve">Stronger institutional use should require transparent calibration evidence, disclosure of relevant operating and robustness conditions, and corroboration from independent sources.</w:t>
      </w:r>
    </w:p>
    <w:p>
      <w:pPr>
        <w:spacing w:after="80" w:before="0"/>
      </w:pPr>
      <w:r>
        <w:t xml:space="preserve"/>
      </w:r>
    </w:p>
    <w:p>
      <w:pPr>
        <w:pStyle w:val="Heading1"/>
        <w:spacing w:after="180" w:before="360"/>
      </w:pPr>
      <w:r>
        <w:rPr>
          <w:rFonts w:ascii="Times New Roman" w:cs="Times New Roman" w:eastAsia="Times New Roman" w:hAnsi="Times New Roman"/>
          <w:b/>
          <w:bCs/>
          <w:color w:val="1A1A1A"/>
          <w:sz w:val="28"/>
          <w:szCs w:val="28"/>
        </w:rPr>
        <w:t xml:space="preserve">4. Conclusion: The Structural Limit of Probabilistic Attribution</w:t>
      </w:r>
    </w:p>
    <w:p>
      <w:pPr>
        <w:spacing w:after="160" w:before="0"/>
        <w:jc w:val="both"/>
      </w:pPr>
      <w:r>
        <w:rPr>
          <w:rFonts w:ascii="Times New Roman" w:cs="Times New Roman" w:eastAsia="Times New Roman" w:hAnsi="Times New Roman"/>
          <w:b w:val="false"/>
          <w:bCs w:val="false"/>
          <w:i w:val="false"/>
          <w:iCs w:val="false"/>
          <w:sz w:val="22"/>
          <w:szCs w:val="22"/>
        </w:rPr>
        <w:t xml:space="preserve">AI text watermarking represents a meaningful advance in digital provenance. Yet its evidentiary significance is constrained not only by implementation choices, but by structural limits imposed by statistical inference on finite text samples. This paper formalizes the </w:t>
      </w:r>
      <w:r>
        <w:rPr>
          <w:rFonts w:ascii="Times New Roman" w:cs="Times New Roman" w:eastAsia="Times New Roman" w:hAnsi="Times New Roman"/>
          <w:b w:val="false"/>
          <w:bCs w:val="false"/>
          <w:i/>
          <w:iCs/>
          <w:sz w:val="22"/>
          <w:szCs w:val="22"/>
        </w:rPr>
        <w:t xml:space="preserve">Statistical Horizon</w:t>
      </w:r>
      <w:r>
        <w:rPr>
          <w:rFonts w:ascii="Times New Roman" w:cs="Times New Roman" w:eastAsia="Times New Roman" w:hAnsi="Times New Roman"/>
          <w:b w:val="false"/>
          <w:bCs w:val="false"/>
          <w:i w:val="false"/>
          <w:iCs w:val="false"/>
          <w:sz w:val="22"/>
          <w:szCs w:val="22"/>
        </w:rPr>
        <w:t xml:space="preserve"> as a scaling benchmark for that problem and argues that detectability should not be confused with forensic sufficiency.</w:t>
      </w:r>
    </w:p>
    <w:p>
      <w:pPr>
        <w:spacing w:after="160" w:before="0"/>
        <w:jc w:val="both"/>
      </w:pPr>
      <w:r>
        <w:rPr>
          <w:rFonts w:ascii="Times New Roman" w:cs="Times New Roman" w:eastAsia="Times New Roman" w:hAnsi="Times New Roman"/>
          <w:sz w:val="22"/>
          <w:szCs w:val="22"/>
        </w:rPr>
        <w:t xml:space="preserve">The resulting claim is narrower than a universal admissibility rule, but more robust. As watermark strength decreases and operating conditions become less transparent, required sample length rises sharply and interpretation becomes increasingly dependent on hidden parameters, detector calibration, and disclosure. Under such conditions, short-text detections are especially poor candidates for strong institutional attribution.</w:t>
      </w:r>
    </w:p>
    <w:p>
      <w:pPr>
        <w:spacing w:after="160" w:before="0"/>
        <w:jc w:val="both"/>
      </w:pPr>
      <w:r>
        <w:rPr>
          <w:rFonts w:ascii="Times New Roman" w:cs="Times New Roman" w:eastAsia="Times New Roman" w:hAnsi="Times New Roman"/>
          <w:sz w:val="22"/>
          <w:szCs w:val="22"/>
        </w:rPr>
        <w:t xml:space="preserve">The paper’s contribution is not a new statistical test. It is the use of a simple scaling benchmark to illustrate a short-sample challenge in the stylized model, and to illustrate how a detectability floor may sit well below a plausible evidentiary threshold. In that sense, the framework can serve as a benchmark that informs disclosure and evidentiary weighting for probabilistic watermark evidence.</w:t>
      </w:r>
    </w:p>
    <w:p>
      <w:pPr>
        <w:spacing w:after="160" w:before="0"/>
        <w:jc w:val="both"/>
      </w:pPr>
      <w:r>
        <w:rPr>
          <w:rFonts w:ascii="Times New Roman" w:cs="Times New Roman" w:eastAsia="Times New Roman" w:hAnsi="Times New Roman"/>
          <w:sz w:val="22"/>
          <w:szCs w:val="22"/>
        </w:rPr>
        <w:t xml:space="preserve">In an era of layered provenance and probabilistic attribution, structural limits are not obstacles to governance. They are conditions for governing responsibly.</w:t>
      </w:r>
    </w:p>
    <w:p>
      <w:pPr>
        <w:spacing w:after="80" w:before="0"/>
      </w:pPr>
      <w:r>
        <w:t xml:space="preserve"/>
      </w:r>
    </w:p>
    <w:p>
      <w:pPr>
        <w:pBdr>
          <w:bottom w:val="single" w:color="AAAAAA" w:sz="6" w:space="1"/>
        </w:pBdr>
        <w:spacing w:after="160" w:before="160"/>
      </w:pPr>
      <w:r>
        <w:t xml:space="preserve"/>
      </w:r>
    </w:p>
    <w:p>
      <w:pPr>
        <w:pStyle w:val="Heading1"/>
        <w:spacing w:after="180" w:before="360"/>
      </w:pPr>
      <w:r>
        <w:rPr>
          <w:rFonts w:ascii="Times New Roman" w:cs="Times New Roman" w:eastAsia="Times New Roman" w:hAnsi="Times New Roman"/>
          <w:b/>
          <w:bCs/>
          <w:color w:val="1A1A1A"/>
          <w:sz w:val="28"/>
          <w:szCs w:val="28"/>
        </w:rPr>
        <w:t xml:space="preserve">Appendix A: Derivation of the Statistical Horizon</w:t>
      </w:r>
    </w:p>
    <w:p>
      <w:pPr>
        <w:spacing w:after="160" w:before="0"/>
        <w:jc w:val="both"/>
      </w:pPr>
      <w:r>
        <w:rPr>
          <w:rFonts w:ascii="Times New Roman" w:cs="Times New Roman" w:eastAsia="Times New Roman" w:hAnsi="Times New Roman"/>
          <w:sz w:val="22"/>
          <w:szCs w:val="22"/>
        </w:rPr>
        <w:t xml:space="preserve">The Statistical Horizon marks the structural boundary at which a watermark signal becomes statistically distinguishable from random noise in a finite text sample. The derivation starts from the canonical green-list logit-biasing framework of Kirchenbauer et al. (2023a) and abstracts to a variance-normalized detector-response parameter η. The formal derivation that follows is tied to the mean-shift z-test setting. Although newer likelihood-based or otherwise refined detectors are not reduced here to a single identical one-parameter form, they also rely on finite-sample statistical separation from a null baseline. Sample-length dependence is therefore treated here as a structurally plausible continuity across detector classes, while the specific quadratic scaling derived below is established only for the present z-test-style model.</w:t>
      </w:r>
    </w:p>
    <w:p>
      <w:pPr>
        <w:pStyle w:val="Heading2"/>
        <w:spacing w:after="120" w:before="240"/>
      </w:pPr>
      <w:r>
        <w:rPr>
          <w:rFonts w:ascii="Times New Roman" w:cs="Times New Roman" w:eastAsia="Times New Roman" w:hAnsi="Times New Roman"/>
          <w:b/>
          <w:bCs/>
          <w:color w:val="1A1A1A"/>
          <w:sz w:val="24"/>
          <w:szCs w:val="24"/>
        </w:rPr>
        <w:t xml:space="preserve">A.1 Preliminaries: Watermarking Generative Process</w:t>
      </w:r>
    </w:p>
    <w:p>
      <w:pPr>
        <w:spacing w:after="160" w:before="0"/>
        <w:jc w:val="both"/>
      </w:pPr>
      <w:r>
        <w:rPr>
          <w:rFonts w:ascii="Times New Roman" w:cs="Times New Roman" w:eastAsia="Times New Roman" w:hAnsi="Times New Roman"/>
          <w:sz w:val="22"/>
          <w:szCs w:val="22"/>
        </w:rPr>
        <w:t xml:space="preserve">At each generation step t, the LLM produces logits l⁼ᵗ⁽ ∈ ℝᵛ. A secret pseudorandom function (seeded by preceding tokens) partitions the vocabulary into a green list Gₜ of relative size γ ∈ (0,1). The watermarking rule adds a positive logit bias δ &gt; 0 to green-list tokens:</w:t>
      </w:r>
    </w:p>
    <w:p>
      <w:pPr>
        <w:spacing w:after="160" w:before="160"/>
        <w:jc w:val="center"/>
      </w:pPr>
      <w:r>
        <w:rPr>
          <w:rFonts w:ascii="Cambria Math" w:cs="Cambria Math" w:eastAsia="Cambria Math" w:hAnsi="Cambria Math"/>
          <w:i/>
          <w:iCs/>
          <w:sz w:val="22"/>
          <w:szCs w:val="22"/>
        </w:rPr>
        <w:t xml:space="preserve">lᵢ⁼ᵗ⁽ ↦ lᵢ⁼ᵗ⁽ + δ  if i ∈ Gₜ,  else  lᵢ⁼ᵗ⁽  (unchanged)</w:t>
      </w:r>
    </w:p>
    <w:p>
      <w:pPr>
        <w:spacing w:after="160" w:before="0"/>
        <w:jc w:val="both"/>
      </w:pPr>
      <w:r>
        <w:rPr>
          <w:rFonts w:ascii="Times New Roman" w:cs="Times New Roman" w:eastAsia="Times New Roman" w:hAnsi="Times New Roman"/>
          <w:sz w:val="22"/>
          <w:szCs w:val="22"/>
        </w:rPr>
        <w:t xml:space="preserve">After softmax normalization, the probability of sampling a green token rises from a baseline value p₀ to a perturbed value p₁(δ).</w:t>
      </w:r>
    </w:p>
    <w:p>
      <w:pPr>
        <w:spacing w:after="160" w:before="0"/>
        <w:jc w:val="both"/>
      </w:pPr>
      <w:r>
        <w:rPr>
          <w:rFonts w:ascii="Times New Roman" w:cs="Times New Roman" w:eastAsia="Times New Roman" w:hAnsi="Times New Roman"/>
          <w:sz w:val="22"/>
          <w:szCs w:val="22"/>
        </w:rPr>
        <w:t xml:space="preserve">For small-to-moderate δ, the induced probability lift may be linearized around δ = 0:</w:t>
      </w:r>
    </w:p>
    <w:p>
      <w:pPr>
        <w:spacing w:after="160" w:before="160"/>
        <w:jc w:val="center"/>
      </w:pPr>
      <w:r>
        <w:rPr>
          <w:rFonts w:ascii="Cambria Math" w:cs="Cambria Math" w:eastAsia="Cambria Math" w:hAnsi="Cambria Math"/>
          <w:i/>
          <w:iCs/>
          <w:sz w:val="22"/>
          <w:szCs w:val="22"/>
        </w:rPr>
        <w:t xml:space="preserve">p₁(δ) ≈ p₀ + κδ</w:t>
      </w:r>
    </w:p>
    <w:p>
      <w:pPr>
        <w:spacing w:after="160" w:before="0"/>
        <w:jc w:val="both"/>
      </w:pPr>
      <w:r>
        <w:rPr>
          <w:rFonts w:ascii="Times New Roman" w:cs="Times New Roman" w:eastAsia="Times New Roman" w:hAnsi="Times New Roman"/>
          <w:sz w:val="22"/>
          <w:szCs w:val="22"/>
        </w:rPr>
        <w:t xml:space="preserve">where κ is a local response coefficient determined by the underlying token distribution and the green-list construction.</w:t>
      </w:r>
    </w:p>
    <w:p>
      <w:pPr>
        <w:pStyle w:val="Heading2"/>
        <w:spacing w:after="120" w:before="240"/>
      </w:pPr>
      <w:r>
        <w:rPr>
          <w:rFonts w:ascii="Times New Roman" w:cs="Times New Roman" w:eastAsia="Times New Roman" w:hAnsi="Times New Roman"/>
          <w:b/>
          <w:bCs/>
          <w:color w:val="1A1A1A"/>
          <w:sz w:val="24"/>
          <w:szCs w:val="24"/>
        </w:rPr>
        <w:t xml:space="preserve">A.2 Classical z-Test Formulation</w:t>
      </w:r>
    </w:p>
    <w:p>
      <w:pPr>
        <w:spacing w:after="160" w:before="0"/>
        <w:jc w:val="both"/>
      </w:pPr>
      <w:r>
        <w:rPr>
          <w:rFonts w:ascii="Times New Roman" w:cs="Times New Roman" w:eastAsia="Times New Roman" w:hAnsi="Times New Roman"/>
          <w:sz w:val="22"/>
          <w:szCs w:val="22"/>
        </w:rPr>
        <w:t xml:space="preserve">Suppose a detector observes L generated tokens and counts the number of green tokens:</w:t>
      </w:r>
    </w:p>
    <w:p>
      <w:pPr>
        <w:spacing w:after="160" w:before="160"/>
        <w:jc w:val="center"/>
      </w:pPr>
      <w:r>
        <w:rPr>
          <w:rFonts w:ascii="Cambria Math" w:cs="Cambria Math" w:eastAsia="Cambria Math" w:hAnsi="Cambria Math"/>
          <w:i/>
          <w:iCs/>
          <w:sz w:val="22"/>
          <w:szCs w:val="22"/>
        </w:rPr>
        <w:t xml:space="preserve">X = Σₜ₌₁ᴸ 𝟙{wₜ ∈ Gₜ}</w:t>
      </w:r>
    </w:p>
    <w:p>
      <w:pPr>
        <w:spacing w:after="160" w:before="0"/>
        <w:jc w:val="both"/>
      </w:pPr>
      <w:r>
        <w:rPr>
          <w:rFonts w:ascii="Times New Roman" w:cs="Times New Roman" w:eastAsia="Times New Roman" w:hAnsi="Times New Roman"/>
          <w:sz w:val="22"/>
          <w:szCs w:val="22"/>
        </w:rPr>
        <w:t xml:space="preserve">Under the null hypothesis H₀ of no watermark:</w:t>
      </w:r>
    </w:p>
    <w:p>
      <w:pPr>
        <w:spacing w:after="160" w:before="160"/>
        <w:jc w:val="center"/>
      </w:pPr>
      <w:r>
        <w:rPr>
          <w:rFonts w:ascii="Cambria Math" w:cs="Cambria Math" w:eastAsia="Cambria Math" w:hAnsi="Cambria Math"/>
          <w:i/>
          <w:iCs/>
          <w:sz w:val="22"/>
          <w:szCs w:val="22"/>
        </w:rPr>
        <w:t xml:space="preserve">Eᴴ₀[X] = Lp₀,    Varᴴ₀(X) ≈ Lp₀(1−p₀)</w:t>
      </w:r>
    </w:p>
    <w:p>
      <w:pPr>
        <w:spacing w:after="160" w:before="0"/>
        <w:jc w:val="both"/>
      </w:pPr>
      <w:r>
        <w:rPr>
          <w:rFonts w:ascii="Times New Roman" w:cs="Times New Roman" w:eastAsia="Times New Roman" w:hAnsi="Times New Roman"/>
          <w:sz w:val="22"/>
          <w:szCs w:val="22"/>
        </w:rPr>
        <w:t xml:space="preserve">A standard normalized detector statistic is:</w:t>
      </w:r>
    </w:p>
    <w:p>
      <w:pPr>
        <w:spacing w:after="160" w:before="160"/>
        <w:jc w:val="center"/>
      </w:pPr>
      <w:r>
        <w:rPr>
          <w:rFonts w:ascii="Cambria Math" w:cs="Cambria Math" w:eastAsia="Cambria Math" w:hAnsi="Cambria Math"/>
          <w:i/>
          <w:iCs/>
          <w:sz w:val="22"/>
          <w:szCs w:val="22"/>
        </w:rPr>
        <w:t xml:space="preserve">Z = (X − Lp₀) / √(Lp₀(1−p₀))</w:t>
      </w:r>
    </w:p>
    <w:p>
      <w:pPr>
        <w:spacing w:after="160" w:before="0"/>
        <w:jc w:val="both"/>
      </w:pPr>
      <w:r>
        <w:rPr>
          <w:rFonts w:ascii="Times New Roman" w:cs="Times New Roman" w:eastAsia="Times New Roman" w:hAnsi="Times New Roman"/>
          <w:sz w:val="22"/>
          <w:szCs w:val="22"/>
        </w:rPr>
        <w:t xml:space="preserve">Under the watermarking alternative H₁:</w:t>
      </w:r>
    </w:p>
    <w:p>
      <w:pPr>
        <w:spacing w:after="160" w:before="160"/>
        <w:jc w:val="center"/>
      </w:pPr>
      <w:r>
        <w:rPr>
          <w:rFonts w:ascii="Cambria Math" w:cs="Cambria Math" w:eastAsia="Cambria Math" w:hAnsi="Cambria Math"/>
          <w:i/>
          <w:iCs/>
          <w:sz w:val="22"/>
          <w:szCs w:val="22"/>
        </w:rPr>
        <w:t xml:space="preserve">Eᴴ₁[X] ≈ L(p₀ + κδ)</w:t>
      </w:r>
    </w:p>
    <w:p>
      <w:pPr>
        <w:spacing w:after="160" w:before="0"/>
        <w:jc w:val="both"/>
      </w:pPr>
      <w:r>
        <w:rPr>
          <w:rFonts w:ascii="Times New Roman" w:cs="Times New Roman" w:eastAsia="Times New Roman" w:hAnsi="Times New Roman"/>
          <w:sz w:val="22"/>
          <w:szCs w:val="22"/>
        </w:rPr>
        <w:t xml:space="preserve">so the mean shift in the z-statistic is:</w:t>
      </w:r>
    </w:p>
    <w:p>
      <w:pPr>
        <w:spacing w:after="160" w:before="160"/>
        <w:jc w:val="center"/>
      </w:pPr>
      <w:r>
        <w:rPr>
          <w:rFonts w:ascii="Cambria Math" w:cs="Cambria Math" w:eastAsia="Cambria Math" w:hAnsi="Cambria Math"/>
          <w:i/>
          <w:iCs/>
          <w:sz w:val="22"/>
          <w:szCs w:val="22"/>
        </w:rPr>
        <w:t xml:space="preserve">μℤ = Lκδ / √(Lp₀(1−p₀)) = [κ / √(p₀(1−p₀))] · δ√L</w:t>
      </w:r>
    </w:p>
    <w:p>
      <w:pPr>
        <w:spacing w:after="160" w:before="0"/>
        <w:jc w:val="both"/>
      </w:pPr>
      <w:r>
        <w:rPr>
          <w:rFonts w:ascii="Times New Roman" w:cs="Times New Roman" w:eastAsia="Times New Roman" w:hAnsi="Times New Roman"/>
          <w:sz w:val="22"/>
          <w:szCs w:val="22"/>
        </w:rPr>
        <w:t xml:space="preserve">Define the variance-normalized detector-response term:</w:t>
      </w:r>
    </w:p>
    <w:p>
      <w:pPr>
        <w:spacing w:after="160" w:before="160"/>
        <w:jc w:val="center"/>
      </w:pPr>
      <w:r>
        <w:rPr>
          <w:rFonts w:ascii="Cambria Math" w:cs="Cambria Math" w:eastAsia="Cambria Math" w:hAnsi="Cambria Math"/>
          <w:i/>
          <w:iCs/>
          <w:sz w:val="22"/>
          <w:szCs w:val="22"/>
        </w:rPr>
        <w:t xml:space="preserve">η := κ / √(p₀(1−p₀))</w:t>
      </w:r>
    </w:p>
    <w:p>
      <w:pPr>
        <w:spacing w:after="160" w:before="0"/>
        <w:jc w:val="both"/>
      </w:pPr>
      <w:r>
        <w:rPr>
          <w:rFonts w:ascii="Times New Roman" w:cs="Times New Roman" w:eastAsia="Times New Roman" w:hAnsi="Times New Roman"/>
          <w:sz w:val="22"/>
          <w:szCs w:val="22"/>
        </w:rPr>
        <w:t xml:space="preserve">Then:</w:t>
      </w:r>
    </w:p>
    <w:p>
      <w:pPr>
        <w:spacing w:after="160" w:before="160"/>
        <w:jc w:val="center"/>
      </w:pPr>
      <w:r>
        <w:rPr>
          <w:rFonts w:ascii="Cambria Math" w:cs="Cambria Math" w:eastAsia="Cambria Math" w:hAnsi="Cambria Math"/>
          <w:i/>
          <w:iCs/>
          <w:sz w:val="22"/>
          <w:szCs w:val="22"/>
        </w:rPr>
        <w:t xml:space="preserve">μℤ = ηδ√L</w:t>
      </w:r>
    </w:p>
    <w:p>
      <w:pPr>
        <w:spacing w:after="160" w:before="0"/>
        <w:jc w:val="both"/>
      </w:pPr>
      <w:r>
        <w:rPr>
          <w:rFonts w:ascii="Times New Roman" w:cs="Times New Roman" w:eastAsia="Times New Roman" w:hAnsi="Times New Roman"/>
          <w:sz w:val="22"/>
          <w:szCs w:val="22"/>
        </w:rPr>
        <w:t xml:space="preserve">This definition makes explicit what η absorbs in the formal model: the local probability response of the watermark to logit bias, normalized by the null variance scale. The main text uses a separate heuristic symbol, ηeff, when speaking more broadly about effective detector response under non-ideal conditions.</w:t>
      </w:r>
    </w:p>
    <w:p>
      <w:pPr>
        <w:pStyle w:val="Heading2"/>
        <w:spacing w:after="120" w:before="240"/>
      </w:pPr>
      <w:r>
        <w:rPr>
          <w:rFonts w:ascii="Times New Roman" w:cs="Times New Roman" w:eastAsia="Times New Roman" w:hAnsi="Times New Roman"/>
          <w:b/>
          <w:bCs/>
          <w:color w:val="1A1A1A"/>
          <w:sz w:val="24"/>
          <w:szCs w:val="24"/>
        </w:rPr>
        <w:t xml:space="preserve">A.3 Horizon Length</w:t>
      </w:r>
    </w:p>
    <w:p>
      <w:pPr>
        <w:spacing w:after="160" w:before="0"/>
        <w:jc w:val="both"/>
      </w:pPr>
      <w:r>
        <w:rPr>
          <w:rFonts w:ascii="Times New Roman" w:cs="Times New Roman" w:eastAsia="Times New Roman" w:hAnsi="Times New Roman"/>
          <w:sz w:val="22"/>
          <w:szCs w:val="22"/>
        </w:rPr>
        <w:t xml:space="preserve">Let z* &gt; 0 denote the critical value of the detector statistic for a one-sided test. The Statistical Horizon is defined as the sample length nᴴ at which the expected detector statistic under H₁ reaches that threshold:</w:t>
      </w:r>
    </w:p>
    <w:p>
      <w:pPr>
        <w:spacing w:after="160" w:before="160"/>
        <w:jc w:val="center"/>
      </w:pPr>
      <w:r>
        <w:rPr>
          <w:rFonts w:ascii="Cambria Math" w:cs="Cambria Math" w:eastAsia="Cambria Math" w:hAnsi="Cambria Math"/>
          <w:i/>
          <w:iCs/>
          <w:sz w:val="22"/>
          <w:szCs w:val="22"/>
        </w:rPr>
        <w:t xml:space="preserve">ηδ√nᴴ = z*</w:t>
      </w:r>
    </w:p>
    <w:p>
      <w:pPr>
        <w:spacing w:after="160" w:before="0"/>
        <w:jc w:val="both"/>
      </w:pPr>
      <w:r>
        <w:rPr>
          <w:rFonts w:ascii="Times New Roman" w:cs="Times New Roman" w:eastAsia="Times New Roman" w:hAnsi="Times New Roman"/>
          <w:sz w:val="22"/>
          <w:szCs w:val="22"/>
        </w:rPr>
        <w:t xml:space="preserve">Solving for nᴴ yields:</w:t>
      </w:r>
    </w:p>
    <w:p>
      <w:pPr>
        <w:spacing w:after="160" w:before="160"/>
        <w:jc w:val="center"/>
      </w:pPr>
      <w:r>
        <w:rPr>
          <w:rFonts w:ascii="Cambria Math" w:cs="Cambria Math" w:eastAsia="Cambria Math" w:hAnsi="Cambria Math"/>
          <w:i/>
          <w:iCs/>
          <w:sz w:val="22"/>
          <w:szCs w:val="22"/>
        </w:rPr>
        <w:t xml:space="preserve">nᴴ = (z*)² / (η²δ²)</w:t>
      </w:r>
    </w:p>
    <w:p>
      <w:pPr>
        <w:pStyle w:val="Heading2"/>
        <w:spacing w:after="120" w:before="240"/>
      </w:pPr>
      <w:r>
        <w:rPr>
          <w:rFonts w:ascii="Times New Roman" w:cs="Times New Roman" w:eastAsia="Times New Roman" w:hAnsi="Times New Roman"/>
          <w:b/>
          <w:bCs/>
          <w:color w:val="1A1A1A"/>
          <w:sz w:val="24"/>
          <w:szCs w:val="24"/>
        </w:rPr>
        <w:t xml:space="preserve">A.4 Interpretive Limits</w:t>
      </w:r>
    </w:p>
    <w:p>
      <w:pPr>
        <w:spacing w:after="160" w:before="0"/>
        <w:jc w:val="both"/>
      </w:pPr>
      <w:r>
        <w:rPr>
          <w:rFonts w:ascii="Times New Roman" w:cs="Times New Roman" w:eastAsia="Times New Roman" w:hAnsi="Times New Roman"/>
          <w:sz w:val="22"/>
          <w:szCs w:val="22"/>
        </w:rPr>
        <w:t xml:space="preserve">The derivation is intentionally stylized. It assumes a z-test-like detector, approximate token independence, and a locally linear watermark response. These assumptions isolate the structural sample-length scaling, but they do not exhaust the technical details of deployed systems.</w:t>
      </w:r>
    </w:p>
    <w:p>
      <w:pPr>
        <w:spacing w:after="160" w:before="0"/>
        <w:jc w:val="both"/>
      </w:pPr>
      <w:r>
        <w:rPr>
          <w:rFonts w:ascii="Times New Roman" w:cs="Times New Roman" w:eastAsia="Times New Roman" w:hAnsi="Times New Roman"/>
          <w:sz w:val="22"/>
          <w:szCs w:val="22"/>
        </w:rPr>
        <w:t xml:space="preserve">A practically important point is the effect of dependence. Because green-list assignment is seeded by preceding tokens and generated text is itself autocorrelated, exact token-level independence is not expected in realistic samples. Under positive token-level correlation, the variance of X exceeds the independence approximation, so the formula above tends to understate required sample length. In that sense, the stylized derivation is plausibly optimistic: realistic dependence would typically strengthen, not weaken, the paper’s cautionary conclusion.</w:t>
      </w:r>
    </w:p>
    <w:p>
      <w:pPr>
        <w:spacing w:after="80" w:before="0"/>
      </w:pPr>
      <w:r>
        <w:t xml:space="preserve"/>
      </w:r>
    </w:p>
    <w:p>
      <w:pPr>
        <w:pStyle w:val="Heading1"/>
        <w:spacing w:after="180" w:before="360"/>
      </w:pPr>
      <w:r>
        <w:rPr>
          <w:rFonts w:ascii="Times New Roman" w:cs="Times New Roman" w:eastAsia="Times New Roman" w:hAnsi="Times New Roman"/>
          <w:b/>
          <w:bCs/>
          <w:color w:val="1A1A1A"/>
          <w:sz w:val="28"/>
          <w:szCs w:val="28"/>
        </w:rPr>
        <w:t xml:space="preserve">Appendix B: Power Analysis and Evidentiary Benchmarks</w:t>
      </w:r>
    </w:p>
    <w:p>
      <w:pPr>
        <w:spacing w:after="160" w:before="0"/>
        <w:jc w:val="both"/>
      </w:pPr>
      <w:r>
        <w:rPr>
          <w:rFonts w:ascii="Times New Roman" w:cs="Times New Roman" w:eastAsia="Times New Roman" w:hAnsi="Times New Roman"/>
          <w:sz w:val="22"/>
          <w:szCs w:val="22"/>
        </w:rPr>
        <w:t xml:space="preserve">Under the normal-approximation model:</w:t>
      </w:r>
    </w:p>
    <w:p>
      <w:pPr>
        <w:spacing w:after="160" w:before="160"/>
        <w:jc w:val="center"/>
      </w:pPr>
      <w:r>
        <w:rPr>
          <w:rFonts w:ascii="Cambria Math" w:cs="Cambria Math" w:eastAsia="Cambria Math" w:hAnsi="Cambria Math"/>
          <w:i/>
          <w:iCs/>
          <w:sz w:val="22"/>
          <w:szCs w:val="22"/>
        </w:rPr>
        <w:t xml:space="preserve">Z | H₁ ~ N(μ, 1),    μ = ηδ√L</w:t>
      </w:r>
    </w:p>
    <w:p>
      <w:pPr>
        <w:spacing w:after="160" w:before="0"/>
        <w:jc w:val="both"/>
      </w:pPr>
      <w:r>
        <w:rPr>
          <w:rFonts w:ascii="Times New Roman" w:cs="Times New Roman" w:eastAsia="Times New Roman" w:hAnsi="Times New Roman"/>
          <w:sz w:val="22"/>
          <w:szCs w:val="22"/>
        </w:rPr>
        <w:t xml:space="preserve">For a one-sided threshold test that rejects when Z ≥ z*, power is:</w:t>
      </w:r>
    </w:p>
    <w:p>
      <w:pPr>
        <w:spacing w:after="160" w:before="160"/>
        <w:jc w:val="center"/>
      </w:pPr>
      <w:r>
        <w:rPr>
          <w:rFonts w:ascii="Cambria Math" w:cs="Cambria Math" w:eastAsia="Cambria Math" w:hAnsi="Cambria Math"/>
          <w:i/>
          <w:iCs/>
          <w:sz w:val="22"/>
          <w:szCs w:val="22"/>
        </w:rPr>
        <w:t xml:space="preserve">Power(L) = 1 − Φ(z* − μ)</w:t>
      </w:r>
    </w:p>
    <w:p>
      <w:pPr>
        <w:spacing w:after="160" w:before="0"/>
        <w:jc w:val="both"/>
      </w:pPr>
      <w:r>
        <w:rPr>
          <w:rFonts w:ascii="Times New Roman" w:cs="Times New Roman" w:eastAsia="Times New Roman" w:hAnsi="Times New Roman"/>
          <w:sz w:val="22"/>
          <w:szCs w:val="22"/>
        </w:rPr>
        <w:t xml:space="preserve">where Φ denotes the standard normal cumulative distribution function.</w:t>
      </w:r>
    </w:p>
    <w:p>
      <w:pPr>
        <w:spacing w:after="160" w:before="0"/>
        <w:jc w:val="both"/>
      </w:pPr>
      <w:r>
        <w:rPr>
          <w:rFonts w:ascii="Times New Roman" w:cs="Times New Roman" w:eastAsia="Times New Roman" w:hAnsi="Times New Roman"/>
          <w:sz w:val="22"/>
          <w:szCs w:val="22"/>
        </w:rPr>
        <w:t xml:space="preserve">At the horizon length L = nᴴ:</w:t>
      </w:r>
    </w:p>
    <w:p>
      <w:pPr>
        <w:spacing w:after="160" w:before="160"/>
        <w:jc w:val="center"/>
      </w:pPr>
      <w:r>
        <w:rPr>
          <w:rFonts w:ascii="Cambria Math" w:cs="Cambria Math" w:eastAsia="Cambria Math" w:hAnsi="Cambria Math"/>
          <w:i/>
          <w:iCs/>
          <w:sz w:val="22"/>
          <w:szCs w:val="22"/>
        </w:rPr>
        <w:t xml:space="preserve">μ = ηδ√nᴴ = z*,    so    Power(nᴴ) = 1 − Φ(0) = 0.5</w:t>
      </w:r>
    </w:p>
    <w:p>
      <w:pPr>
        <w:spacing w:after="160" w:before="0"/>
        <w:jc w:val="both"/>
      </w:pPr>
      <w:r>
        <w:rPr>
          <w:rFonts w:ascii="Times New Roman" w:cs="Times New Roman" w:eastAsia="Times New Roman" w:hAnsi="Times New Roman"/>
          <w:sz w:val="22"/>
          <w:szCs w:val="22"/>
        </w:rPr>
        <w:t xml:space="preserve">Thus, in this stylized model, the Statistical Horizon corresponds to a 50% detection-power point.</w:t>
      </w:r>
    </w:p>
    <w:p>
      <w:pPr>
        <w:spacing w:after="160" w:before="0"/>
        <w:jc w:val="both"/>
      </w:pPr>
      <w:r>
        <w:rPr>
          <w:rFonts w:ascii="Times New Roman" w:cs="Times New Roman" w:eastAsia="Times New Roman" w:hAnsi="Times New Roman"/>
          <w:sz w:val="22"/>
          <w:szCs w:val="22"/>
        </w:rPr>
        <w:t xml:space="preserve">If instead the target power is 1−β, then one must solve:</w:t>
      </w:r>
    </w:p>
    <w:p>
      <w:pPr>
        <w:spacing w:after="160" w:before="160"/>
        <w:jc w:val="center"/>
      </w:pPr>
      <w:r>
        <w:rPr>
          <w:rFonts w:ascii="Cambria Math" w:cs="Cambria Math" w:eastAsia="Cambria Math" w:hAnsi="Cambria Math"/>
          <w:i/>
          <w:iCs/>
          <w:sz w:val="22"/>
          <w:szCs w:val="22"/>
        </w:rPr>
        <w:t xml:space="preserve">1 − Φ(z* − ηδ√L) = 1−β</w:t>
      </w:r>
    </w:p>
    <w:p>
      <w:pPr>
        <w:spacing w:after="160" w:before="0"/>
        <w:jc w:val="both"/>
      </w:pPr>
      <w:r>
        <w:rPr>
          <w:rFonts w:ascii="Times New Roman" w:cs="Times New Roman" w:eastAsia="Times New Roman" w:hAnsi="Times New Roman"/>
          <w:sz w:val="22"/>
          <w:szCs w:val="22"/>
        </w:rPr>
        <w:t xml:space="preserve">which yields:</w:t>
      </w:r>
    </w:p>
    <w:p>
      <w:pPr>
        <w:spacing w:after="160" w:before="160"/>
        <w:jc w:val="center"/>
      </w:pPr>
      <w:r>
        <w:rPr>
          <w:rFonts w:ascii="Cambria Math" w:cs="Cambria Math" w:eastAsia="Cambria Math" w:hAnsi="Cambria Math"/>
          <w:i/>
          <w:iCs/>
          <w:sz w:val="22"/>
          <w:szCs w:val="22"/>
        </w:rPr>
        <w:t xml:space="preserve">ηδ√L = z* + z₁₋β</w:t>
      </w:r>
    </w:p>
    <w:p>
      <w:pPr>
        <w:spacing w:after="160" w:before="0"/>
        <w:jc w:val="both"/>
      </w:pPr>
      <w:r>
        <w:rPr>
          <w:rFonts w:ascii="Times New Roman" w:cs="Times New Roman" w:eastAsia="Times New Roman" w:hAnsi="Times New Roman"/>
          <w:sz w:val="22"/>
          <w:szCs w:val="22"/>
        </w:rPr>
        <w:t xml:space="preserve">Hence the higher-power evidentiary benchmark is:</w:t>
      </w:r>
    </w:p>
    <w:p>
      <w:pPr>
        <w:spacing w:after="160" w:before="160"/>
        <w:jc w:val="center"/>
      </w:pPr>
      <w:r>
        <w:rPr>
          <w:rFonts w:ascii="Cambria Math" w:cs="Cambria Math" w:eastAsia="Cambria Math" w:hAnsi="Cambria Math"/>
          <w:i/>
          <w:iCs/>
          <w:sz w:val="22"/>
          <w:szCs w:val="22"/>
        </w:rPr>
        <w:t xml:space="preserve">nᴱ = (z* + z₁₋β)² / (η²δ²)</w:t>
      </w:r>
    </w:p>
    <w:p>
      <w:pPr>
        <w:spacing w:after="160" w:before="0"/>
        <w:jc w:val="both"/>
      </w:pPr>
      <w:r>
        <w:rPr>
          <w:rFonts w:ascii="Times New Roman" w:cs="Times New Roman" w:eastAsia="Times New Roman" w:hAnsi="Times New Roman"/>
          <w:sz w:val="22"/>
          <w:szCs w:val="22"/>
        </w:rPr>
        <w:t xml:space="preserve">For illustration, let z* = 3. Then nᴴ = 9 / (η²δ²). Table 1 gives illustrative values for nᴴ, together with nᴱ at 80% and 90% power. The η values in the table are chosen to illustrate scaling sensitivity only; mapping them to specific watermark implementations would require additional calibration not attempted here.</w:t>
      </w:r>
    </w:p>
    <w:p>
      <w:pPr>
        <w:spacing w:after="80" w:before="0"/>
      </w:pPr>
      <w:r>
        <w:t xml:space="preserve"/>
      </w:r>
    </w:p>
    <w:p>
      <w:pPr>
        <w:spacing w:after="80" w:before="80"/>
        <w:jc w:val="center"/>
      </w:pPr>
      <w:r>
        <w:rPr>
          <w:rFonts w:ascii="Times New Roman" w:cs="Times New Roman" w:eastAsia="Times New Roman" w:hAnsi="Times New Roman"/>
          <w:b/>
          <w:bCs/>
          <w:sz w:val="20"/>
          <w:szCs w:val="20"/>
        </w:rPr>
        <w:t xml:space="preserve">Table 1: Illustrative Detectability Floors and Higher-Power Evidentiary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4"/>
              <w:left w:val="single" w:color="AAAAAA" w:sz="4"/>
              <w:bottom w:val="single" w:color="555555" w:sz="8"/>
              <w:right w:val="single" w:color="AAAAAA"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η</w:t>
            </w:r>
          </w:p>
        </w:tc>
        <w:tc>
          <w:tcPr>
            <w:tcW w:type="dxa" w:w="1560"/>
            <w:tcBorders>
              <w:top w:val="single" w:color="AAAAAA" w:sz="4"/>
              <w:left w:val="single" w:color="AAAAAA" w:sz="4"/>
              <w:bottom w:val="single" w:color="555555" w:sz="8"/>
              <w:right w:val="single" w:color="AAAAAA"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δ</w:t>
            </w:r>
          </w:p>
        </w:tc>
        <w:tc>
          <w:tcPr>
            <w:tcW w:type="dxa" w:w="1560"/>
            <w:tcBorders>
              <w:top w:val="single" w:color="AAAAAA" w:sz="4"/>
              <w:left w:val="single" w:color="AAAAAA" w:sz="4"/>
              <w:bottom w:val="single" w:color="555555" w:sz="8"/>
              <w:right w:val="single" w:color="AAAAAA"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ηδ</w:t>
            </w:r>
          </w:p>
        </w:tc>
        <w:tc>
          <w:tcPr>
            <w:tcW w:type="dxa" w:w="1560"/>
            <w:tcBorders>
              <w:top w:val="single" w:color="AAAAAA" w:sz="4"/>
              <w:left w:val="single" w:color="AAAAAA" w:sz="4"/>
              <w:bottom w:val="single" w:color="555555" w:sz="8"/>
              <w:right w:val="single" w:color="AAAAAA"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nH</w:t>
            </w:r>
          </w:p>
        </w:tc>
        <w:tc>
          <w:tcPr>
            <w:tcW w:type="dxa" w:w="1560"/>
            <w:tcBorders>
              <w:top w:val="single" w:color="AAAAAA" w:sz="4"/>
              <w:left w:val="single" w:color="AAAAAA" w:sz="4"/>
              <w:bottom w:val="single" w:color="555555" w:sz="8"/>
              <w:right w:val="single" w:color="AAAAAA"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nE (80%)</w:t>
            </w:r>
          </w:p>
        </w:tc>
        <w:tc>
          <w:tcPr>
            <w:tcW w:type="dxa" w:w="1560"/>
            <w:tcBorders>
              <w:top w:val="single" w:color="AAAAAA" w:sz="4"/>
              <w:left w:val="single" w:color="AAAAAA" w:sz="4"/>
              <w:bottom w:val="single" w:color="555555" w:sz="8"/>
              <w:right w:val="single" w:color="AAAAAA"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nE (90%)</w:t>
            </w:r>
          </w:p>
        </w:tc>
      </w:tr>
      <w:tr>
        <w:trPr>
          <w:tblHeader w:val="false"/>
        </w:trP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0.64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22.0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36.1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44.8</w:t>
            </w:r>
          </w:p>
        </w:tc>
      </w:tr>
      <w:tr>
        <w:trPr>
          <w:tblHeader w:val="false"/>
        </w:trP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0.32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87.9</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144.1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179.1</w:t>
            </w:r>
          </w:p>
        </w:tc>
      </w:tr>
      <w:tr>
        <w:trPr>
          <w:tblHeader w:val="false"/>
        </w:trP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0.16</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351.6</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576.4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716.4</w:t>
            </w:r>
          </w:p>
        </w:tc>
      </w:tr>
      <w:tr>
        <w:trPr>
          <w:tblHeader w:val="false"/>
        </w:trP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0.16</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351.6</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576.4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716.4</w:t>
            </w:r>
          </w:p>
        </w:tc>
      </w:tr>
      <w:tr>
        <w:trPr>
          <w:tblHeader w:val="false"/>
        </w:trP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1406.3</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2305.6</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2865.5</w:t>
            </w:r>
          </w:p>
        </w:tc>
      </w:tr>
      <w:tr>
        <w:trPr>
          <w:tblHeader w:val="false"/>
        </w:trP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0.04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5625.0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9221.9</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iCs/>
                <w:sz w:val="20"/>
                <w:szCs w:val="20"/>
              </w:rPr>
              <w:t xml:space="preserve">11461.9</w:t>
            </w:r>
          </w:p>
        </w:tc>
      </w:tr>
    </w:tbl>
    <w:p>
      <w:pPr>
        <w:spacing w:after="160" w:before="80"/>
        <w:ind w:left="360" w:right="360"/>
        <w:jc w:val="center"/>
      </w:pPr>
      <w:r>
        <w:rPr>
          <w:rFonts w:ascii="Times New Roman" w:cs="Times New Roman" w:eastAsia="Times New Roman" w:hAnsi="Times New Roman"/>
          <w:i/>
          <w:iCs/>
          <w:sz w:val="18"/>
          <w:szCs w:val="18"/>
        </w:rPr>
        <w:t xml:space="preserve">Illustrative detectability floors and higher-power evidentiary benchmarks under the reduced-form model with z* = 3. Here nᴴ is the 50%-power detectability floor, while nᴱ gives illustrative higher-power benchmarks at 80% and 90% power. These values are analytic sensitivity examples only and should not be read as calibrated claims about any specific detector or deployment.</w:t>
      </w:r>
    </w:p>
    <w:p>
      <w:pPr>
        <w:spacing w:after="160" w:before="0"/>
        <w:jc w:val="both"/>
      </w:pPr>
      <w:r>
        <w:rPr>
          <w:rFonts w:ascii="Times New Roman" w:cs="Times New Roman" w:eastAsia="Times New Roman" w:hAnsi="Times New Roman"/>
          <w:sz w:val="22"/>
          <w:szCs w:val="22"/>
        </w:rPr>
        <w:t xml:space="preserve">For the same z* = 3, the ratio nᴱ/nᴴ is approximately 1.64 at 80% power, 2.04 at 90% power, and 2.40 at 95% power. The central practical implication is that a sample may clear the detectability floor while still remaining well below any plausible higher-power benchmark for institutional use.</w:t>
      </w:r>
    </w:p>
    <w:p>
      <w:pPr>
        <w:spacing w:after="80" w:before="0"/>
      </w:pPr>
      <w:r>
        <w:t xml:space="preserve"/>
      </w:r>
    </w:p>
    <w:p>
      <w:pPr>
        <w:pStyle w:val="Heading1"/>
        <w:spacing w:after="180" w:before="360"/>
      </w:pPr>
      <w:r>
        <w:rPr>
          <w:rFonts w:ascii="Times New Roman" w:cs="Times New Roman" w:eastAsia="Times New Roman" w:hAnsi="Times New Roman"/>
          <w:b/>
          <w:bCs/>
          <w:color w:val="1A1A1A"/>
          <w:sz w:val="28"/>
          <w:szCs w:val="28"/>
        </w:rPr>
        <w:t xml:space="preserve">Appendix C: Extension Notes on Detector Classes</w:t>
      </w:r>
    </w:p>
    <w:p>
      <w:pPr>
        <w:spacing w:after="160" w:before="0"/>
        <w:jc w:val="both"/>
      </w:pPr>
      <w:r>
        <w:rPr>
          <w:rFonts w:ascii="Times New Roman" w:cs="Times New Roman" w:eastAsia="Times New Roman" w:hAnsi="Times New Roman"/>
          <w:sz w:val="22"/>
          <w:szCs w:val="22"/>
        </w:rPr>
        <w:t xml:space="preserve">The formal derivation in Appendix A is specific to a z-test-style mean-shift detector. Other detector families, including likelihood-ratio or Bayesian detectors, may have different operating constants, calibration procedures, and robustness profiles. The present paper does not claim that all such detectors can be reduced exactly to the same one-parameter representation.</w:t>
      </w:r>
    </w:p>
    <w:p>
      <w:pPr>
        <w:spacing w:after="160" w:before="0"/>
        <w:jc w:val="both"/>
      </w:pPr>
      <w:r>
        <w:rPr>
          <w:rFonts w:ascii="Times New Roman" w:cs="Times New Roman" w:eastAsia="Times New Roman" w:hAnsi="Times New Roman"/>
          <w:sz w:val="22"/>
          <w:szCs w:val="22"/>
        </w:rPr>
        <w:t xml:space="preserve">What the paper claims is narrower. Across detector families, finite-sample performance plausibly depends on the magnitude of the induced separation between null and alternative distributions and on the amount of text available. The policy argument of the main text therefore does not rest on the claim that all detectors behave identically. It rests on the more modest point that opaque, parameter-sensitive, finite-sample statistical methods should not be given strong institutional weight without transparent support.</w:t>
      </w:r>
    </w:p>
    <w:p>
      <w:pPr>
        <w:spacing w:after="80" w:before="0"/>
      </w:pPr>
      <w:r>
        <w:t xml:space="preserve"/>
      </w:r>
    </w:p>
    <w:p>
      <w:pPr>
        <w:pBdr>
          <w:bottom w:val="single" w:color="AAAAAA" w:sz="6" w:space="1"/>
        </w:pBdr>
        <w:spacing w:after="160" w:before="160"/>
      </w:pPr>
      <w:r>
        <w:t xml:space="preserve"/>
      </w:r>
    </w:p>
    <w:p>
      <w:pPr>
        <w:pStyle w:val="Heading1"/>
        <w:spacing w:after="180" w:before="360"/>
      </w:pPr>
      <w:r>
        <w:rPr>
          <w:rFonts w:ascii="Times New Roman" w:cs="Times New Roman" w:eastAsia="Times New Roman" w:hAnsi="Times New Roman"/>
          <w:b/>
          <w:bCs/>
          <w:color w:val="1A1A1A"/>
          <w:sz w:val="28"/>
          <w:szCs w:val="28"/>
        </w:rPr>
        <w:t xml:space="preserve">References</w:t>
      </w:r>
    </w:p>
    <w:p>
      <w:pPr>
        <w:spacing w:after="80" w:before="80"/>
        <w:ind w:left="720" w:hanging="720"/>
      </w:pPr>
      <w:r>
        <w:rPr>
          <w:rFonts w:ascii="Times New Roman" w:cs="Times New Roman" w:eastAsia="Times New Roman" w:hAnsi="Times New Roman"/>
          <w:b/>
          <w:bCs/>
          <w:sz w:val="20"/>
          <w:szCs w:val="20"/>
        </w:rPr>
        <w:t xml:space="preserve">[Christ et al., 2023] </w:t>
      </w:r>
      <w:r>
        <w:rPr>
          <w:rFonts w:ascii="Times New Roman" w:cs="Times New Roman" w:eastAsia="Times New Roman" w:hAnsi="Times New Roman"/>
          <w:sz w:val="20"/>
          <w:szCs w:val="20"/>
        </w:rPr>
        <w:t xml:space="preserve">Christ, M., Gunn, S., and Zamir, O. (2023). Undetectable watermarks for language models. arXiv preprint arXiv:2306.09194.</w:t>
      </w:r>
    </w:p>
    <w:p>
      <w:pPr>
        <w:spacing w:after="80" w:before="80"/>
        <w:ind w:left="720" w:hanging="720"/>
      </w:pPr>
      <w:r>
        <w:rPr>
          <w:rFonts w:ascii="Times New Roman" w:cs="Times New Roman" w:eastAsia="Times New Roman" w:hAnsi="Times New Roman"/>
          <w:b/>
          <w:bCs/>
          <w:sz w:val="20"/>
          <w:szCs w:val="20"/>
        </w:rPr>
        <w:t xml:space="preserve">[C2PA, 2025] </w:t>
      </w:r>
      <w:r>
        <w:rPr>
          <w:rFonts w:ascii="Times New Roman" w:cs="Times New Roman" w:eastAsia="Times New Roman" w:hAnsi="Times New Roman"/>
          <w:sz w:val="20"/>
          <w:szCs w:val="20"/>
        </w:rPr>
        <w:t xml:space="preserve">Coalition for Content Provenance and Authenticity (C2PA). (2025). C2PA: Verifying media content sources. Available at: https://c2pa.org/.</w:t>
      </w:r>
    </w:p>
    <w:p>
      <w:pPr>
        <w:spacing w:after="80" w:before="80"/>
        <w:ind w:left="720" w:hanging="720"/>
      </w:pPr>
      <w:r>
        <w:rPr>
          <w:rFonts w:ascii="Times New Roman" w:cs="Times New Roman" w:eastAsia="Times New Roman" w:hAnsi="Times New Roman"/>
          <w:b/>
          <w:bCs/>
          <w:sz w:val="20"/>
          <w:szCs w:val="20"/>
        </w:rPr>
        <w:t xml:space="preserve">[European Commission, 2025] </w:t>
      </w:r>
      <w:r>
        <w:rPr>
          <w:rFonts w:ascii="Times New Roman" w:cs="Times New Roman" w:eastAsia="Times New Roman" w:hAnsi="Times New Roman"/>
          <w:sz w:val="20"/>
          <w:szCs w:val="20"/>
        </w:rPr>
        <w:t xml:space="preserve">European Commission. (2025). Code of Practice on marking and labelling of AI-generated content. European Commission, Digital Strategy. Available at: https://digital-strategy.ec.europa.eu/en/policies/code-practice-ai-generated-content.</w:t>
      </w:r>
    </w:p>
    <w:p>
      <w:pPr>
        <w:spacing w:after="80" w:before="80"/>
        <w:ind w:left="720" w:hanging="720"/>
      </w:pPr>
      <w:r>
        <w:rPr>
          <w:rFonts w:ascii="Times New Roman" w:cs="Times New Roman" w:eastAsia="Times New Roman" w:hAnsi="Times New Roman"/>
          <w:b/>
          <w:bCs/>
          <w:sz w:val="20"/>
          <w:szCs w:val="20"/>
        </w:rPr>
        <w:t xml:space="preserve">[European Commission, 2026] </w:t>
      </w:r>
      <w:r>
        <w:rPr>
          <w:rFonts w:ascii="Times New Roman" w:cs="Times New Roman" w:eastAsia="Times New Roman" w:hAnsi="Times New Roman"/>
          <w:sz w:val="20"/>
          <w:szCs w:val="20"/>
        </w:rPr>
        <w:t xml:space="preserve">European Commission. (2026). Commission publishes second draft of Code of Practice on marking and labelling of AI-generated content. European Commission, Digital Strategy, March 5, 2026.</w:t>
      </w:r>
    </w:p>
    <w:p>
      <w:pPr>
        <w:spacing w:after="80" w:before="80"/>
        <w:ind w:left="720" w:hanging="720"/>
      </w:pPr>
      <w:r>
        <w:rPr>
          <w:rFonts w:ascii="Times New Roman" w:cs="Times New Roman" w:eastAsia="Times New Roman" w:hAnsi="Times New Roman"/>
          <w:b/>
          <w:bCs/>
          <w:sz w:val="20"/>
          <w:szCs w:val="20"/>
        </w:rPr>
        <w:t xml:space="preserve">[Fairoze et al., 2023] </w:t>
      </w:r>
      <w:r>
        <w:rPr>
          <w:rFonts w:ascii="Times New Roman" w:cs="Times New Roman" w:eastAsia="Times New Roman" w:hAnsi="Times New Roman"/>
          <w:sz w:val="20"/>
          <w:szCs w:val="20"/>
        </w:rPr>
        <w:t xml:space="preserve">Fairoze, J., Garg, S., Jha, S., Mahloujifar, S., Mahmoody, M., and Wang, M. (2023). Publicly-Detectable Watermarking for Language Models. arXiv preprint arXiv:2310.18491.</w:t>
      </w:r>
    </w:p>
    <w:p>
      <w:pPr>
        <w:spacing w:after="80" w:before="80"/>
        <w:ind w:left="720" w:hanging="720"/>
      </w:pPr>
      <w:r>
        <w:rPr>
          <w:rFonts w:ascii="Times New Roman" w:cs="Times New Roman" w:eastAsia="Times New Roman" w:hAnsi="Times New Roman"/>
          <w:b/>
          <w:bCs/>
          <w:sz w:val="20"/>
          <w:szCs w:val="20"/>
        </w:rPr>
        <w:t xml:space="preserve">[Hu et al., 2024] </w:t>
      </w:r>
      <w:r>
        <w:rPr>
          <w:rFonts w:ascii="Times New Roman" w:cs="Times New Roman" w:eastAsia="Times New Roman" w:hAnsi="Times New Roman"/>
          <w:sz w:val="20"/>
          <w:szCs w:val="20"/>
        </w:rPr>
        <w:t xml:space="preserve">Hu, Z., Chen, L., Wu, X., Wu, Y., Zhang, H., and Huang, H. (2024). Unbiased Watermark for Large Language Models. In Proceedings of the International Conference on Learning Representations.</w:t>
      </w:r>
    </w:p>
    <w:p>
      <w:pPr>
        <w:spacing w:after="80" w:before="80"/>
        <w:ind w:left="720" w:hanging="720"/>
      </w:pPr>
      <w:r>
        <w:rPr>
          <w:rFonts w:ascii="Times New Roman" w:cs="Times New Roman" w:eastAsia="Times New Roman" w:hAnsi="Times New Roman"/>
          <w:b/>
          <w:bCs/>
          <w:sz w:val="20"/>
          <w:szCs w:val="20"/>
        </w:rPr>
        <w:t xml:space="preserve">[Jovanović et al., 2024] </w:t>
      </w:r>
      <w:r>
        <w:rPr>
          <w:rFonts w:ascii="Times New Roman" w:cs="Times New Roman" w:eastAsia="Times New Roman" w:hAnsi="Times New Roman"/>
          <w:sz w:val="20"/>
          <w:szCs w:val="20"/>
        </w:rPr>
        <w:t xml:space="preserve">Jovanović, N., Staab, R., and Vechev, M. (2024). Watermark Stealing in Large Language Models. In Proceedings of the 41st International Conference on Machine Learning.</w:t>
      </w:r>
    </w:p>
    <w:p>
      <w:pPr>
        <w:spacing w:after="80" w:before="80"/>
        <w:ind w:left="720" w:hanging="720"/>
      </w:pPr>
      <w:r>
        <w:rPr>
          <w:rFonts w:ascii="Times New Roman" w:cs="Times New Roman" w:eastAsia="Times New Roman" w:hAnsi="Times New Roman"/>
          <w:b/>
          <w:bCs/>
          <w:sz w:val="20"/>
          <w:szCs w:val="20"/>
        </w:rPr>
        <w:t xml:space="preserve">[Kirchenbauer et al., 2023a] </w:t>
      </w:r>
      <w:r>
        <w:rPr>
          <w:rFonts w:ascii="Times New Roman" w:cs="Times New Roman" w:eastAsia="Times New Roman" w:hAnsi="Times New Roman"/>
          <w:sz w:val="20"/>
          <w:szCs w:val="20"/>
        </w:rPr>
        <w:t xml:space="preserve">Kirchenbauer, J., Geiping, J., Wen, Y., Katz, J., Miers, I., Goldstein, T., and Roth, D. (2023a). A watermark for large language models. In Proceedings of the 40th International Conference on Machine Learning.</w:t>
      </w:r>
    </w:p>
    <w:p>
      <w:pPr>
        <w:spacing w:after="80" w:before="80"/>
        <w:ind w:left="720" w:hanging="720"/>
      </w:pPr>
      <w:r>
        <w:rPr>
          <w:rFonts w:ascii="Times New Roman" w:cs="Times New Roman" w:eastAsia="Times New Roman" w:hAnsi="Times New Roman"/>
          <w:b/>
          <w:bCs/>
          <w:sz w:val="20"/>
          <w:szCs w:val="20"/>
        </w:rPr>
        <w:t xml:space="preserve">[Kirchenbauer et al., 2023b] </w:t>
      </w:r>
      <w:r>
        <w:rPr>
          <w:rFonts w:ascii="Times New Roman" w:cs="Times New Roman" w:eastAsia="Times New Roman" w:hAnsi="Times New Roman"/>
          <w:sz w:val="20"/>
          <w:szCs w:val="20"/>
        </w:rPr>
        <w:t xml:space="preserve">Kirchenbauer, J., Geiping, J., Wen, Y., Katz, J., Miers, I., Goldstein, T., and Roth, D. (2023b). On the reliability of watermarking large language models. arXiv preprint arXiv:2306.04634.</w:t>
      </w:r>
    </w:p>
    <w:p>
      <w:pPr>
        <w:spacing w:after="80" w:before="80"/>
        <w:ind w:left="720" w:hanging="720"/>
      </w:pPr>
      <w:r>
        <w:rPr>
          <w:rFonts w:ascii="Times New Roman" w:cs="Times New Roman" w:eastAsia="Times New Roman" w:hAnsi="Times New Roman"/>
          <w:b/>
          <w:bCs/>
          <w:sz w:val="20"/>
          <w:szCs w:val="20"/>
        </w:rPr>
        <w:t xml:space="preserve">[Kuditipudi et al., 2024] </w:t>
      </w:r>
      <w:r>
        <w:rPr>
          <w:rFonts w:ascii="Times New Roman" w:cs="Times New Roman" w:eastAsia="Times New Roman" w:hAnsi="Times New Roman"/>
          <w:sz w:val="20"/>
          <w:szCs w:val="20"/>
        </w:rPr>
        <w:t xml:space="preserve">Kuditipudi, R., Thickstun, J., Hashimoto, T., and Liang, P. (2024). Robust distortion-free watermarking for language models. Transactions on Machine Learning Research.</w:t>
      </w:r>
    </w:p>
    <w:p>
      <w:pPr>
        <w:spacing w:after="80" w:before="80"/>
        <w:ind w:left="720" w:hanging="720"/>
      </w:pPr>
      <w:r>
        <w:rPr>
          <w:rFonts w:ascii="Times New Roman" w:cs="Times New Roman" w:eastAsia="Times New Roman" w:hAnsi="Times New Roman"/>
          <w:b/>
          <w:bCs/>
          <w:sz w:val="20"/>
          <w:szCs w:val="20"/>
        </w:rPr>
        <w:t xml:space="preserve">[Li et al., 2025] </w:t>
      </w:r>
      <w:r>
        <w:rPr>
          <w:rFonts w:ascii="Times New Roman" w:cs="Times New Roman" w:eastAsia="Times New Roman" w:hAnsi="Times New Roman"/>
          <w:sz w:val="20"/>
          <w:szCs w:val="20"/>
        </w:rPr>
        <w:t xml:space="preserve">Li, X., Ruan, F., Wang, H., Long, Q., and Su, W. J. (2025). A statistical framework of watermarks for large language models: Pivot, detection efficiency and optimal rules. The Annals of Statistics, 53(1), 322–351.</w:t>
      </w:r>
    </w:p>
    <w:p>
      <w:pPr>
        <w:spacing w:after="80" w:before="80"/>
        <w:ind w:left="720" w:hanging="720"/>
      </w:pPr>
      <w:r>
        <w:rPr>
          <w:rFonts w:ascii="Times New Roman" w:cs="Times New Roman" w:eastAsia="Times New Roman" w:hAnsi="Times New Roman"/>
          <w:b/>
          <w:bCs/>
          <w:sz w:val="20"/>
          <w:szCs w:val="20"/>
        </w:rPr>
        <w:t xml:space="preserve">[Omidi et al., 2026] </w:t>
      </w:r>
      <w:r>
        <w:rPr>
          <w:rFonts w:ascii="Times New Roman" w:cs="Times New Roman" w:eastAsia="Times New Roman" w:hAnsi="Times New Roman"/>
          <w:sz w:val="20"/>
          <w:szCs w:val="20"/>
        </w:rPr>
        <w:t xml:space="preserve">Omidi, R., Dong, Y., and Wang, B. (2026). On Google’s SynthID-Text LLM Watermarking System: Theoretical Analysis and Empirical Validation. arXiv preprint arXiv:2603.03410.</w:t>
      </w:r>
    </w:p>
    <w:p>
      <w:pPr>
        <w:spacing w:after="80" w:before="80"/>
        <w:ind w:left="720" w:hanging="720"/>
      </w:pPr>
      <w:r>
        <w:rPr>
          <w:rFonts w:ascii="Times New Roman" w:cs="Times New Roman" w:eastAsia="Times New Roman" w:hAnsi="Times New Roman"/>
          <w:b/>
          <w:bCs/>
          <w:sz w:val="20"/>
          <w:szCs w:val="20"/>
        </w:rPr>
        <w:t xml:space="preserve">[Ren et al., 2024] </w:t>
      </w:r>
      <w:r>
        <w:rPr>
          <w:rFonts w:ascii="Times New Roman" w:cs="Times New Roman" w:eastAsia="Times New Roman" w:hAnsi="Times New Roman"/>
          <w:sz w:val="20"/>
          <w:szCs w:val="20"/>
        </w:rPr>
        <w:t xml:space="preserve">Ren, J., Xu, H., Liu, Y., Cui, Y., Wang, S., Yin, D., and Tang, J. (2024). A Robust Semantics-based Watermark for Large Language Models against Paraphrasing. In Findings of the Association for Computational Linguistics: NAACL 2024, pages 613–625.</w:t>
      </w:r>
    </w:p>
    <w:p>
      <w:pPr>
        <w:spacing w:after="80" w:before="80"/>
        <w:ind w:left="720" w:hanging="720"/>
      </w:pPr>
      <w:r>
        <w:rPr>
          <w:rFonts w:ascii="Times New Roman" w:cs="Times New Roman" w:eastAsia="Times New Roman" w:hAnsi="Times New Roman"/>
          <w:b/>
          <w:bCs/>
          <w:sz w:val="20"/>
          <w:szCs w:val="20"/>
        </w:rPr>
        <w:t xml:space="preserve">[Zhang et al., 2026] </w:t>
      </w:r>
      <w:r>
        <w:rPr>
          <w:rFonts w:ascii="Times New Roman" w:cs="Times New Roman" w:eastAsia="Times New Roman" w:hAnsi="Times New Roman"/>
          <w:sz w:val="20"/>
          <w:szCs w:val="20"/>
        </w:rPr>
        <w:t xml:space="preserve">Zhang, S., Chen, Y., Han, J., Cheng, B., and Ma, J. (2026). Beyond A Fixed Seal: Adaptive Stealing Watermark in Large Language Models. arXiv preprint arXiv:2604.10893.</w:t>
      </w:r>
    </w:p>
    <w:p>
      <w:pPr>
        <w:spacing w:after="160" w:before="0"/>
      </w:pPr>
      <w:r>
        <w:t xml:space="preserve"/>
      </w:r>
    </w:p>
    <w:sectPr>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1A1A"/>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2026-04-16T18:08:29.702Z</dcterms:created>
  <dcterms:modified xsi:type="dcterms:W3CDTF">2026-04-16T18:08:29.703Z</dcterms:modified>
</cp:coreProperties>
</file>

<file path=docProps/custom.xml><?xml version="1.0" encoding="utf-8"?>
<Properties xmlns="http://schemas.openxmlformats.org/officeDocument/2006/custom-properties" xmlns:vt="http://schemas.openxmlformats.org/officeDocument/2006/docPropsVTypes"/>
</file>