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BillGen Professional Audit &amp; Architecture System</w:t>
        <w:br/>
      </w:r>
      <w:r>
        <w:t>Final Specification — Legal/VAT, Accounting, GDPR, Architecture, Performance &amp; Resilience</w:t>
      </w:r>
    </w:p>
    <w:p>
      <w:pPr>
        <w:jc w:val="center"/>
      </w:pPr>
      <w:r>
        <w:rPr>
          <w:i/>
        </w:rPr>
        <w:t>Version 1.0 • 28 August 2026</w:t>
      </w:r>
    </w:p>
    <w:p>
      <w:pPr>
        <w:pStyle w:val="Heading1"/>
      </w:pPr>
      <w:r>
        <w:t>0. Purpose and Scope</w:t>
      </w:r>
    </w:p>
    <w:p>
      <w:r>
        <w:t>This document defines a repeatable, evidence-driven audit system for BillGen. It is intentionally designed as a multi-agent professional review rather than a one-shot prompt. The system must inspect the actual SaaS source code, deployment configuration, dependencies, data model, document generation, integrations and policies; run deterministic scanners and performance tests where possible; compare observed behaviour against Belgian/EU requirements and engineering best practices; preserve evidence; and produce findings that can be re-verified after changes.</w:t>
      </w:r>
    </w:p>
    <w:p>
      <w:r>
        <w:t>The system contains four specialist agents: (1) Belgian Legal/VAT &amp; E-invoicing Adviser, (2) Professional Accountant/Accounting Systems Adviser, (3) GDPR/Privacy Adviser, and (4) System Architect/Infrastructure/Security Engineer. An Audit Orchestrator coordinates them.</w:t>
      </w:r>
    </w:p>
    <w:p>
      <w:r>
        <w:t>Important boundary: the agents must distinguish statutory requirements from recommendations, product choices, security best practice and assumptions. Legal conclusions must cite authoritative sources and be marked for professional confirmation when the facts or law require it.</w:t>
      </w:r>
    </w:p>
    <w:p>
      <w:pPr>
        <w:pStyle w:val="Heading1"/>
      </w:pPr>
      <w:r>
        <w:t>1. Core Design Principles</w:t>
      </w:r>
    </w:p>
    <w:p>
      <w:pPr>
        <w:pStyle w:val="ListBullet"/>
      </w:pPr>
      <w:r>
        <w:t>Evidence first: conclusions must point to source files, configuration, runtime observations, test results, or authoritative legal sources.</w:t>
      </w:r>
    </w:p>
    <w:p>
      <w:pPr>
        <w:pStyle w:val="ListBullet"/>
      </w:pPr>
      <w:r>
        <w:t>No hallucinated compliance: absence of evidence is not evidence of compliance.</w:t>
      </w:r>
    </w:p>
    <w:p>
      <w:pPr>
        <w:pStyle w:val="ListBullet"/>
      </w:pPr>
      <w:r>
        <w:t>Continuous rather than one-shot: audits have IDs, baselines, finding lifecycles, regressions and verification runs.</w:t>
      </w:r>
    </w:p>
    <w:p>
      <w:pPr>
        <w:pStyle w:val="ListBullet"/>
      </w:pPr>
      <w:r>
        <w:t>Deterministic checks before LLM reasoning: use dependency scanners, secret scanners, SAST, schema/API inspection and load testing where possible.</w:t>
      </w:r>
    </w:p>
    <w:p>
      <w:pPr>
        <w:pStyle w:val="ListBullet"/>
      </w:pPr>
      <w:r>
        <w:t>Common finding schema: all agents produce machine-readable findings so they can be correlated.</w:t>
      </w:r>
    </w:p>
    <w:p>
      <w:pPr>
        <w:pStyle w:val="ListBullet"/>
      </w:pPr>
      <w:r>
        <w:t>Separation of concerns: skill instructions, regulatory rules, scanners, evidence, orchestration and reporting are separate layers.</w:t>
      </w:r>
    </w:p>
    <w:p>
      <w:pPr>
        <w:pStyle w:val="ListBullet"/>
      </w:pPr>
      <w:r>
        <w:t>Source of truth: business documents are represented as structured domain data; PDF and structured e-invoice formats are renderings of that source model.</w:t>
      </w:r>
    </w:p>
    <w:p>
      <w:pPr>
        <w:pStyle w:val="ListBullet"/>
      </w:pPr>
      <w:r>
        <w:t>Least privilege and tenant isolation are first-class concerns.</w:t>
      </w:r>
    </w:p>
    <w:p>
      <w:pPr>
        <w:pStyle w:val="ListBullet"/>
      </w:pPr>
      <w:r>
        <w:t>Current-law awareness: Belgian/EU requirements must carry effective dates and authoritative sources.</w:t>
      </w:r>
    </w:p>
    <w:p>
      <w:pPr>
        <w:pStyle w:val="ListBullet"/>
      </w:pPr>
      <w:r>
        <w:t>Risk-based engineering: do not prescribe multi-region/high-availability infrastructure without demonstrating the business requirement.</w:t>
      </w:r>
    </w:p>
    <w:p>
      <w:pPr>
        <w:pStyle w:val="Heading1"/>
      </w:pPr>
      <w:r>
        <w:t>2. Proposed Repository / Audit Engine Structure</w:t>
      </w:r>
    </w:p>
    <w:p>
      <w:r>
        <w:t>Recommended implementation layout:</w:t>
      </w:r>
    </w:p>
    <w:p>
      <w:pPr/>
      <w:r>
        <w:t>billgen-audit/</w:t>
        <w:br/>
        <w:t>├── agents/</w:t>
        <w:br/>
        <w:t>│   ├── legal-vat/</w:t>
        <w:br/>
        <w:t>│   │   ├── SKILL.md</w:t>
        <w:br/>
        <w:t>│   │   ├── checklist.yaml</w:t>
        <w:br/>
        <w:t>│   │   └── prompts/</w:t>
        <w:br/>
        <w:t>│   ├── accounting/</w:t>
        <w:br/>
        <w:t>│   │   ├── SKILL.md</w:t>
        <w:br/>
        <w:t>│   │   ├── checklist.yaml</w:t>
        <w:br/>
        <w:t>│   │   └── prompts/</w:t>
        <w:br/>
        <w:t>│   ├── gdpr/</w:t>
        <w:br/>
        <w:t>│   │   ├── SKILL.md</w:t>
        <w:br/>
        <w:t>│   │   ├── checklist.yaml</w:t>
        <w:br/>
        <w:t>│   │   └── prompts/</w:t>
        <w:br/>
        <w:t>│   └── architecture/</w:t>
        <w:br/>
        <w:t>│       ├── SKILL.md</w:t>
        <w:br/>
        <w:t>│       ├── checklist.yaml</w:t>
        <w:br/>
        <w:t>│       └── prompts/</w:t>
        <w:br/>
        <w:t>├── rules/</w:t>
        <w:br/>
        <w:t>│   ├── belgium-vat.yaml</w:t>
        <w:br/>
        <w:t>│   ├── belgium-e-invoicing.yaml</w:t>
        <w:br/>
        <w:t>│   ├── peppol.yaml</w:t>
        <w:br/>
        <w:t>│   ├── gdpr.yaml</w:t>
        <w:br/>
        <w:t>│   └── security.yaml</w:t>
        <w:br/>
        <w:t>├── scanners/</w:t>
        <w:br/>
        <w:t>│   ├── repository/</w:t>
        <w:br/>
        <w:t>│   ├── dependencies/</w:t>
        <w:br/>
        <w:t>│   ├── secrets/</w:t>
        <w:br/>
        <w:t>│   ├── sast/</w:t>
        <w:br/>
        <w:t>│   ├── routes/</w:t>
        <w:br/>
        <w:t>│   ├── database/</w:t>
        <w:br/>
        <w:t>│   ├── infrastructure/</w:t>
        <w:br/>
        <w:t>│   └── performance/</w:t>
        <w:br/>
        <w:t>├── evidence/</w:t>
        <w:br/>
        <w:t>├── findings/</w:t>
        <w:br/>
        <w:t>├── orchestrator/</w:t>
        <w:br/>
        <w:t>├── reports/</w:t>
        <w:br/>
        <w:t>│   ├── html/</w:t>
        <w:br/>
        <w:t>│   ├── markdown/</w:t>
        <w:br/>
        <w:t>│   └── pdf/</w:t>
        <w:br/>
        <w:t>└── audits/</w:t>
        <w:br/>
        <w:t xml:space="preserve">    ├── audit-001/</w:t>
        <w:br/>
        <w:t xml:space="preserve">    └── audit-002/</w:t>
      </w:r>
    </w:p>
    <w:p>
      <w:pPr>
        <w:pStyle w:val="Heading1"/>
      </w:pPr>
      <w:r>
        <w:t>3. Audit Lifecycle</w:t>
      </w:r>
    </w:p>
    <w:p>
      <w:r>
        <w:t>An audit should execute in phases. Each phase produces artifacts consumed by later phases.</w:t>
      </w:r>
    </w:p>
    <w:p>
      <w:pPr>
        <w:pStyle w:val="Heading2"/>
      </w:pPr>
      <w:r>
        <w:t>Phase 0 — Intake</w:t>
      </w:r>
    </w:p>
    <w:p>
      <w:r>
        <w:t>Collect repository, deployment information, policies, sample documents, environments and non-secret configuration.</w:t>
      </w:r>
    </w:p>
    <w:p>
      <w:pPr>
        <w:pStyle w:val="Heading2"/>
      </w:pPr>
      <w:r>
        <w:t>Phase 1 — Discovery</w:t>
      </w:r>
    </w:p>
    <w:p>
      <w:r>
        <w:t>Detect languages, frameworks, deployable components, databases, routes, integrations, storage and CI/CD.</w:t>
      </w:r>
    </w:p>
    <w:p>
      <w:pPr>
        <w:pStyle w:val="Heading2"/>
      </w:pPr>
      <w:r>
        <w:t>Phase 2 — Deterministic scanning</w:t>
      </w:r>
    </w:p>
    <w:p>
      <w:r>
        <w:t>Run dependency/EOL, secret, SAST, license, infrastructure, schema and API checks.</w:t>
      </w:r>
    </w:p>
    <w:p>
      <w:pPr>
        <w:pStyle w:val="Heading2"/>
      </w:pPr>
      <w:r>
        <w:t>Phase 3 — Specialist analysis</w:t>
      </w:r>
    </w:p>
    <w:p>
      <w:r>
        <w:t>Run Legal/VAT, Accounting, GDPR and Architecture agents against evidence.</w:t>
      </w:r>
    </w:p>
    <w:p>
      <w:pPr>
        <w:pStyle w:val="Heading2"/>
      </w:pPr>
      <w:r>
        <w:t>Phase 4 — Dynamic testing</w:t>
      </w:r>
    </w:p>
    <w:p>
      <w:r>
        <w:t>Where authorized and safe, run functional tests, authorization tests, document tests and load/performance tests.</w:t>
      </w:r>
    </w:p>
    <w:p>
      <w:pPr>
        <w:pStyle w:val="Heading2"/>
      </w:pPr>
      <w:r>
        <w:t>Phase 5 — Correlation</w:t>
      </w:r>
    </w:p>
    <w:p>
      <w:r>
        <w:t>Merge overlapping findings and identify cross-domain/systemic issues.</w:t>
      </w:r>
    </w:p>
    <w:p>
      <w:pPr>
        <w:pStyle w:val="Heading2"/>
      </w:pPr>
      <w:r>
        <w:t>Phase 6 — Risk scoring</w:t>
      </w:r>
    </w:p>
    <w:p>
      <w:r>
        <w:t>Assign severity, likelihood, impact, confidence, evidence quality and remediation priority.</w:t>
      </w:r>
    </w:p>
    <w:p>
      <w:pPr>
        <w:pStyle w:val="Heading2"/>
      </w:pPr>
      <w:r>
        <w:t>Phase 7 — Reporting</w:t>
      </w:r>
    </w:p>
    <w:p>
      <w:r>
        <w:t>Generate executive summary, detailed findings, architecture diagrams, test results and roadmap.</w:t>
      </w:r>
    </w:p>
    <w:p>
      <w:pPr>
        <w:pStyle w:val="Heading2"/>
      </w:pPr>
      <w:r>
        <w:t>Phase 8 — Verification</w:t>
      </w:r>
    </w:p>
    <w:p>
      <w:r>
        <w:t>After fixes, rerun affected checks and mark findings VERIFIED only when evidence confirms remediation.</w:t>
      </w:r>
    </w:p>
    <w:p>
      <w:pPr>
        <w:pStyle w:val="Heading1"/>
      </w:pPr>
      <w:r>
        <w:t>4. Standard Finding Schema</w:t>
      </w:r>
    </w:p>
    <w:p>
      <w:r>
        <w:t>All agents should emit the same basic structure:</w:t>
      </w:r>
    </w:p>
    <w:p>
      <w:r>
        <w:t>{</w:t>
        <w:br/>
        <w:t xml:space="preserve">  "id": "ARCH-001",</w:t>
        <w:br/>
        <w:t xml:space="preserve">  "agent": "architecture",</w:t>
        <w:br/>
        <w:t xml:space="preserve">  "severity": "CRITICAL",</w:t>
        <w:br/>
        <w:t xml:space="preserve">  "category": "authorization",</w:t>
        <w:br/>
        <w:t xml:space="preserve">  "title": "Invoice endpoint lacks tenant ownership check",</w:t>
        <w:br/>
        <w:t xml:space="preserve">  "location": {</w:t>
        <w:br/>
        <w:t xml:space="preserve">    "file": "src/api/invoices.ts",</w:t>
        <w:br/>
        <w:t xml:space="preserve">    "line": 84</w:t>
        <w:br/>
        <w:t xml:space="preserve">  },</w:t>
        <w:br/>
        <w:t xml:space="preserve">  "evidence": "Invoice is loaded by ID without organization predicate.",</w:t>
        <w:br/>
        <w:t xml:space="preserve">  "impact": "A user who knows another invoice ID may access another tenant's data.",</w:t>
        <w:br/>
        <w:t xml:space="preserve">  "requirement_type": "security_best_practice",</w:t>
        <w:br/>
        <w:t xml:space="preserve">  "recommendation": "Enforce organization ownership at the service/repository boundary.",</w:t>
        <w:br/>
        <w:t xml:space="preserve">  "confidence": 0.96,</w:t>
        <w:br/>
        <w:t xml:space="preserve">  "status": "OPEN",</w:t>
        <w:br/>
        <w:t xml:space="preserve">  "verification_test": "Attempt cross-tenant GET using authenticated test users.",</w:t>
        <w:br/>
        <w:t xml:space="preserve">  "references": []</w:t>
        <w:br/>
        <w:t>}</w:t>
      </w:r>
    </w:p>
    <w:p>
      <w:r>
        <w:t>Severity should normally be CRITICAL / HIGH / MEDIUM / LOW / INFORMATIONAL. Confidence is separate from severity: a high-impact finding with weak evidence should not be silently presented as proven.</w:t>
      </w:r>
    </w:p>
    <w:p>
      <w:pPr>
        <w:pStyle w:val="Heading1"/>
      </w:pPr>
      <w:r>
        <w:t>5. Agent 1 — Belgian Legal, VAT &amp; E-invoicing Adviser</w:t>
      </w:r>
    </w:p>
    <w:p>
      <w:r>
        <w:t>Mission: determine whether BillGen's document lifecycle, VAT logic, invoicing workflows, credit-note handling, electronic invoicing and related product behaviour are consistent with applicable Belgian/EU requirements.</w:t>
      </w:r>
    </w:p>
    <w:p>
      <w:pPr>
        <w:pStyle w:val="Heading2"/>
      </w:pPr>
      <w:r>
        <w:t>5.1 Required questions</w:t>
      </w:r>
    </w:p>
    <w:p>
      <w:pPr>
        <w:pStyle w:val="ListNumber"/>
      </w:pPr>
      <w:r>
        <w:t>What legal entity operates BillGen, from which jurisdiction, and for which customer jurisdictions is the product offered?</w:t>
      </w:r>
    </w:p>
    <w:p>
      <w:pPr>
        <w:pStyle w:val="ListNumber"/>
      </w:pPr>
      <w:r>
        <w:t>Which customer types are supported: B2B, B2C, B2G, intra-EU and international?</w:t>
      </w:r>
    </w:p>
    <w:p>
      <w:pPr>
        <w:pStyle w:val="ListNumber"/>
      </w:pPr>
      <w:r>
        <w:t>What invoice information is mandatory for each relevant scenario?</w:t>
      </w:r>
    </w:p>
    <w:p>
      <w:pPr>
        <w:pStyle w:val="ListNumber"/>
      </w:pPr>
      <w:r>
        <w:t>How are VAT numbers validated, normalized and displayed?</w:t>
      </w:r>
    </w:p>
    <w:p>
      <w:pPr>
        <w:pStyle w:val="ListNumber"/>
      </w:pPr>
      <w:r>
        <w:t>Which VAT rates and exemptions are supported, and how are effective dates handled?</w:t>
      </w:r>
    </w:p>
    <w:p>
      <w:pPr>
        <w:pStyle w:val="ListNumber"/>
      </w:pPr>
      <w:r>
        <w:t>How are reverse-charge, intra-community and export scenarios represented?</w:t>
      </w:r>
    </w:p>
    <w:p>
      <w:pPr>
        <w:pStyle w:val="ListNumber"/>
      </w:pPr>
      <w:r>
        <w:t>How are quotes/devis/offertes distinguished from invoices?</w:t>
      </w:r>
    </w:p>
    <w:p>
      <w:pPr>
        <w:pStyle w:val="ListNumber"/>
      </w:pPr>
      <w:r>
        <w:t>How are invoices finalized, numbered, issued, corrected and cancelled?</w:t>
      </w:r>
    </w:p>
    <w:p>
      <w:pPr>
        <w:pStyle w:val="ListNumber"/>
      </w:pPr>
      <w:r>
        <w:t>Are issued invoices mutable? If so, what is the legal/accounting correction mechanism?</w:t>
      </w:r>
    </w:p>
    <w:p>
      <w:pPr>
        <w:pStyle w:val="ListNumber"/>
      </w:pPr>
      <w:r>
        <w:t>How are credit notes linked to original invoices?</w:t>
      </w:r>
    </w:p>
    <w:p>
      <w:pPr>
        <w:pStyle w:val="ListNumber"/>
      </w:pPr>
      <w:r>
        <w:t>How are negative lines, refunds, discounts and partial credit notes handled?</w:t>
      </w:r>
    </w:p>
    <w:p>
      <w:pPr>
        <w:pStyle w:val="ListNumber"/>
      </w:pPr>
      <w:r>
        <w:t>How are rounding rules implemented and tested?</w:t>
      </w:r>
    </w:p>
    <w:p>
      <w:pPr>
        <w:pStyle w:val="ListNumber"/>
      </w:pPr>
      <w:r>
        <w:t>How are invoice dates, service/supply dates, due dates and payment terms represented?</w:t>
      </w:r>
    </w:p>
    <w:p>
      <w:pPr>
        <w:pStyle w:val="ListNumber"/>
      </w:pPr>
      <w:r>
        <w:t>How long and in what form are relevant records retained?</w:t>
      </w:r>
    </w:p>
    <w:p>
      <w:pPr>
        <w:pStyle w:val="ListNumber"/>
      </w:pPr>
      <w:r>
        <w:t>Does the system support structured Belgian B2B e-invoicing where required?</w:t>
      </w:r>
    </w:p>
    <w:p>
      <w:pPr>
        <w:pStyle w:val="ListNumber"/>
      </w:pPr>
      <w:r>
        <w:t>What Peppol participant identifiers and access-point/provider relationships are used?</w:t>
      </w:r>
    </w:p>
    <w:p>
      <w:pPr>
        <w:pStyle w:val="ListNumber"/>
      </w:pPr>
      <w:r>
        <w:t>What structured format is produced, e.g. UBL/Peppol BIS Billing, and how is it validated?</w:t>
      </w:r>
    </w:p>
    <w:p>
      <w:pPr>
        <w:pStyle w:val="ListNumber"/>
      </w:pPr>
      <w:r>
        <w:t>How are transmission failures, retries, duplicates and delivery statuses handled?</w:t>
      </w:r>
    </w:p>
    <w:p>
      <w:pPr>
        <w:pStyle w:val="ListNumber"/>
      </w:pPr>
      <w:r>
        <w:t>Are PDF and structured invoice representations generated from the same authoritative document model?</w:t>
      </w:r>
    </w:p>
    <w:p>
      <w:pPr>
        <w:pStyle w:val="ListNumber"/>
      </w:pPr>
      <w:r>
        <w:t>What legal notices and contractual terms appear on quotes, invoices and credit notes?</w:t>
      </w:r>
    </w:p>
    <w:p>
      <w:pPr>
        <w:pStyle w:val="Heading2"/>
      </w:pPr>
      <w:r>
        <w:t>5.2 Document rules</w:t>
      </w:r>
    </w:p>
    <w:p>
      <w:r>
        <w:t>The agent must test quote → invoice → credit-note lifecycle integrity. A credit note is a corrective financial document, not a replacement for editing the original issued invoice. The system should preserve the relationship to the original document.</w:t>
      </w:r>
    </w:p>
    <w:p>
      <w:r>
        <w:t>Recommended conceptual model:</w:t>
        <w:br/>
        <w:br/>
        <w:t>Quote</w:t>
        <w:br/>
        <w:t xml:space="preserve">  └── acceptance / conversion ──&gt; Invoice</w:t>
        <w:br/>
        <w:t xml:space="preserve">                                  ├── Payment(s)</w:t>
        <w:br/>
        <w:t xml:space="preserve">                                  └── Credit Note(s)</w:t>
        <w:br/>
        <w:br/>
        <w:t>Credit Note</w:t>
        <w:br/>
        <w:t xml:space="preserve">  └── references original Invoice</w:t>
        <w:br/>
        <w:br/>
        <w:t>Document status:</w:t>
        <w:br/>
        <w:t>DRAFT → FINALIZED → SENT → PARTIALLY_PAID → PAID / OVERDUE</w:t>
        <w:br/>
        <w:t xml:space="preserve">                          └──────────────→ CREDITED / CORRECTED</w:t>
        <w:br/>
        <w:br/>
        <w:t>Issued financial documents should normally become immutable at the accounting-relevant field level.</w:t>
      </w:r>
    </w:p>
    <w:p>
      <w:pPr>
        <w:pStyle w:val="Heading2"/>
      </w:pPr>
      <w:r>
        <w:t>5.3 Peppol / structured e-invoicing</w:t>
      </w:r>
    </w:p>
    <w:p>
      <w:r>
        <w:t>The agent must separately inspect visual invoice correctness and machine-readable e-invoice correctness. It should validate business rules, identifiers, VAT totals, line totals, payable amount, references and required fields. The architecture must also distinguish generation from transmission: a valid UBL document and successful Peppol delivery are separate states.</w:t>
      </w:r>
    </w:p>
    <w:p>
      <w:pPr>
        <w:pStyle w:val="Heading1"/>
      </w:pPr>
      <w:r>
        <w:t>6. Agent 2 — Professional Accountant / Accounting Systems Adviser</w:t>
      </w:r>
    </w:p>
    <w:p>
      <w:r>
        <w:t>Mission: assess whether BillGen produces reliable, auditable and accountant-friendly financial records and workflows.</w:t>
      </w:r>
    </w:p>
    <w:p>
      <w:pPr>
        <w:pStyle w:val="Heading2"/>
      </w:pPr>
      <w:r>
        <w:t>6.1 Required questions</w:t>
      </w:r>
    </w:p>
    <w:p>
      <w:pPr>
        <w:pStyle w:val="ListNumber"/>
      </w:pPr>
      <w:r>
        <w:t>What is the authoritative accounting representation of an invoice?</w:t>
      </w:r>
    </w:p>
    <w:p>
      <w:pPr>
        <w:pStyle w:val="ListNumber"/>
      </w:pPr>
      <w:r>
        <w:t>Can finalized invoices be changed without creating an explicit correction?</w:t>
      </w:r>
    </w:p>
    <w:p>
      <w:pPr>
        <w:pStyle w:val="ListNumber"/>
      </w:pPr>
      <w:r>
        <w:t>Is invoice numbering sequential and protected against accidental reuse or collisions?</w:t>
      </w:r>
    </w:p>
    <w:p>
      <w:pPr>
        <w:pStyle w:val="ListNumber"/>
      </w:pPr>
      <w:r>
        <w:t>What happens under concurrent invoice creation?</w:t>
      </w:r>
    </w:p>
    <w:p>
      <w:pPr>
        <w:pStyle w:val="ListNumber"/>
      </w:pPr>
      <w:r>
        <w:t>Are totals calculated from line data rather than trusted client input?</w:t>
      </w:r>
    </w:p>
    <w:p>
      <w:pPr>
        <w:pStyle w:val="ListNumber"/>
      </w:pPr>
      <w:r>
        <w:t>Are net, VAT and gross totals independently validated?</w:t>
      </w:r>
    </w:p>
    <w:p>
      <w:pPr>
        <w:pStyle w:val="ListNumber"/>
      </w:pPr>
      <w:r>
        <w:t>How are discounts represented: line, document, percentage, fixed amount?</w:t>
      </w:r>
    </w:p>
    <w:p>
      <w:pPr>
        <w:pStyle w:val="ListNumber"/>
      </w:pPr>
      <w:r>
        <w:t>How are taxes calculated when multiple rates appear on one invoice?</w:t>
      </w:r>
    </w:p>
    <w:p>
      <w:pPr>
        <w:pStyle w:val="ListNumber"/>
      </w:pPr>
      <w:r>
        <w:t>How are payments recorded and allocated to invoices?</w:t>
      </w:r>
    </w:p>
    <w:p>
      <w:pPr>
        <w:pStyle w:val="ListNumber"/>
      </w:pPr>
      <w:r>
        <w:t>Are partial payments supported?</w:t>
      </w:r>
    </w:p>
    <w:p>
      <w:pPr>
        <w:pStyle w:val="ListNumber"/>
      </w:pPr>
      <w:r>
        <w:t>How are refunds represented?</w:t>
      </w:r>
    </w:p>
    <w:p>
      <w:pPr>
        <w:pStyle w:val="ListNumber"/>
      </w:pPr>
      <w:r>
        <w:t>How are credit notes reflected in outstanding balances?</w:t>
      </w:r>
    </w:p>
    <w:p>
      <w:pPr>
        <w:pStyle w:val="ListNumber"/>
      </w:pPr>
      <w:r>
        <w:t>Can a credit note exceed the relevant invoice, and what rules apply?</w:t>
      </w:r>
    </w:p>
    <w:p>
      <w:pPr>
        <w:pStyle w:val="ListNumber"/>
      </w:pPr>
      <w:r>
        <w:t>How are overdue invoices determined?</w:t>
      </w:r>
    </w:p>
    <w:p>
      <w:pPr>
        <w:pStyle w:val="ListNumber"/>
      </w:pPr>
      <w:r>
        <w:t>How are accounting periods represented?</w:t>
      </w:r>
    </w:p>
    <w:p>
      <w:pPr>
        <w:pStyle w:val="ListNumber"/>
      </w:pPr>
      <w:r>
        <w:t>Can historical documents be reproduced exactly as issued?</w:t>
      </w:r>
    </w:p>
    <w:p>
      <w:pPr>
        <w:pStyle w:val="ListNumber"/>
      </w:pPr>
      <w:r>
        <w:t>Is there an audit trail showing who performed accounting-relevant actions?</w:t>
      </w:r>
    </w:p>
    <w:p>
      <w:pPr>
        <w:pStyle w:val="ListNumber"/>
      </w:pPr>
      <w:r>
        <w:t>Can data be exported for accountants or accounting software?</w:t>
      </w:r>
    </w:p>
    <w:p>
      <w:pPr>
        <w:pStyle w:val="ListNumber"/>
      </w:pPr>
      <w:r>
        <w:t>Are duplicates prevented at the business and database level?</w:t>
      </w:r>
    </w:p>
    <w:p>
      <w:pPr>
        <w:pStyle w:val="ListNumber"/>
      </w:pPr>
      <w:r>
        <w:t>What happens if an email, PDF renderer, payment provider or Peppol provider fails after the invoice is finalized?</w:t>
      </w:r>
    </w:p>
    <w:p>
      <w:pPr>
        <w:pStyle w:val="Heading2"/>
      </w:pPr>
      <w:r>
        <w:t>6.2 Core invariants to test</w:t>
      </w:r>
    </w:p>
    <w:p>
      <w:r>
        <w:t>Examples:</w:t>
        <w:br/>
        <w:br/>
        <w:t>invoice.total = sum(line.net_amount) + invoice.total_vat</w:t>
        <w:br/>
        <w:t>credit_note.total &lt;= relevant_creditable_amount   [unless business/legal model explicitly permits otherwise]</w:t>
        <w:br/>
        <w:t>finalized_invoice.number is unique</w:t>
        <w:br/>
        <w:t>finalized_invoice.number is never silently reused</w:t>
        <w:br/>
        <w:t>payment.allocated_amount &lt;= payment.amount</w:t>
        <w:br/>
        <w:t>sum(invoice.payment_allocations) + outstanding_balance = invoice.total_after_credits</w:t>
        <w:br/>
        <w:br/>
        <w:t>The exact rules must be adapted to BillGen's chosen accounting model and Belgian requirements.</w:t>
      </w:r>
    </w:p>
    <w:p>
      <w:pPr>
        <w:pStyle w:val="Heading1"/>
      </w:pPr>
      <w:r>
        <w:t>7. Agent 3 — GDPR / Privacy Adviser</w:t>
      </w:r>
    </w:p>
    <w:p>
      <w:r>
        <w:t>Mission: assess BillGen's processing of personal data across product functionality, infrastructure, vendors, cookies, analytics, authentication, logs, documents, backups and support operations.</w:t>
      </w:r>
    </w:p>
    <w:p>
      <w:pPr>
        <w:pStyle w:val="Heading2"/>
      </w:pPr>
      <w:r>
        <w:t>7.1 Data inventory questions</w:t>
      </w:r>
    </w:p>
    <w:p>
      <w:pPr>
        <w:pStyle w:val="ListNumber"/>
      </w:pPr>
      <w:r>
        <w:t>What personal data is collected during registration?</w:t>
      </w:r>
    </w:p>
    <w:p>
      <w:pPr>
        <w:pStyle w:val="ListNumber"/>
      </w:pPr>
      <w:r>
        <w:t>What data is stored about organization members, customers, contacts, billing recipients and employees?</w:t>
      </w:r>
    </w:p>
    <w:p>
      <w:pPr>
        <w:pStyle w:val="ListNumber"/>
      </w:pPr>
      <w:r>
        <w:t>Which invoice fields can contain personal data?</w:t>
      </w:r>
    </w:p>
    <w:p>
      <w:pPr>
        <w:pStyle w:val="ListNumber"/>
      </w:pPr>
      <w:r>
        <w:t>What IP addresses, device identifiers, logs or telemetry are retained?</w:t>
      </w:r>
    </w:p>
    <w:p>
      <w:pPr>
        <w:pStyle w:val="ListNumber"/>
      </w:pPr>
      <w:r>
        <w:t>Which cookies and tracking technologies are present?</w:t>
      </w:r>
    </w:p>
    <w:p>
      <w:pPr>
        <w:pStyle w:val="ListNumber"/>
      </w:pPr>
      <w:r>
        <w:t>Which analytics, support, monitoring and marketing services receive data?</w:t>
      </w:r>
    </w:p>
    <w:p>
      <w:pPr>
        <w:pStyle w:val="ListNumber"/>
      </w:pPr>
      <w:r>
        <w:t>What AI/LLM services receive customer or invoice data, if any?</w:t>
      </w:r>
    </w:p>
    <w:p>
      <w:pPr>
        <w:pStyle w:val="ListNumber"/>
      </w:pPr>
      <w:r>
        <w:t>Who is controller, processor and subprocessor for each processing activity?</w:t>
      </w:r>
    </w:p>
    <w:p>
      <w:pPr>
        <w:pStyle w:val="ListNumber"/>
      </w:pPr>
      <w:r>
        <w:t>What is the legal basis for each relevant processing purpose?</w:t>
      </w:r>
    </w:p>
    <w:p>
      <w:pPr>
        <w:pStyle w:val="ListNumber"/>
      </w:pPr>
      <w:r>
        <w:t>What retention period applies to each category?</w:t>
      </w:r>
    </w:p>
    <w:p>
      <w:pPr>
        <w:pStyle w:val="ListNumber"/>
      </w:pPr>
      <w:r>
        <w:t>How are deletion and data-subject requests handled?</w:t>
      </w:r>
    </w:p>
    <w:p>
      <w:pPr>
        <w:pStyle w:val="ListNumber"/>
      </w:pPr>
      <w:r>
        <w:t>How is data exported?</w:t>
      </w:r>
    </w:p>
    <w:p>
      <w:pPr>
        <w:pStyle w:val="ListNumber"/>
      </w:pPr>
      <w:r>
        <w:t>How are backups handled when a user requests deletion?</w:t>
      </w:r>
    </w:p>
    <w:p>
      <w:pPr>
        <w:pStyle w:val="ListNumber"/>
      </w:pPr>
      <w:r>
        <w:t>Where is data hosted and are any transfers outside the EEA involved?</w:t>
      </w:r>
    </w:p>
    <w:p>
      <w:pPr>
        <w:pStyle w:val="ListNumber"/>
      </w:pPr>
      <w:r>
        <w:t>Are appropriate transfer mechanisms and safeguards documented where needed?</w:t>
      </w:r>
    </w:p>
    <w:p>
      <w:pPr>
        <w:pStyle w:val="ListNumber"/>
      </w:pPr>
      <w:r>
        <w:t>Is a DPA available for business customers where required?</w:t>
      </w:r>
    </w:p>
    <w:p>
      <w:pPr>
        <w:pStyle w:val="ListNumber"/>
      </w:pPr>
      <w:r>
        <w:t>Is a subprocessor list maintained?</w:t>
      </w:r>
    </w:p>
    <w:p>
      <w:pPr>
        <w:pStyle w:val="ListNumber"/>
      </w:pPr>
      <w:r>
        <w:t>Are privacy and cookie notices consistent with actual code?</w:t>
      </w:r>
    </w:p>
    <w:p>
      <w:pPr>
        <w:pStyle w:val="ListNumber"/>
      </w:pPr>
      <w:r>
        <w:t>Are non-essential cookies/tracking blocked until valid consent where required?</w:t>
      </w:r>
    </w:p>
    <w:p>
      <w:pPr>
        <w:pStyle w:val="ListNumber"/>
      </w:pPr>
      <w:r>
        <w:t>Can consent be withdrawn as easily as it was given?</w:t>
      </w:r>
    </w:p>
    <w:p>
      <w:pPr>
        <w:pStyle w:val="ListNumber"/>
      </w:pPr>
      <w:r>
        <w:t>How are personal-data breaches detected, escalated and documented?</w:t>
      </w:r>
    </w:p>
    <w:p>
      <w:pPr>
        <w:pStyle w:val="ListNumber"/>
      </w:pPr>
      <w:r>
        <w:t>What technical and organizational security measures are documented?</w:t>
      </w:r>
    </w:p>
    <w:p>
      <w:pPr>
        <w:pStyle w:val="Heading2"/>
      </w:pPr>
      <w:r>
        <w:t>7.2 Code-vs-policy consistency</w:t>
      </w:r>
    </w:p>
    <w:p>
      <w:r>
        <w:t>The agent must compare policy claims to implementation. Example: if the privacy policy says no analytics cookies are used before consent, the scanner should inspect analytics initialization and consent-gating code. Policy-only compliance is insufficient.</w:t>
      </w:r>
    </w:p>
    <w:p>
      <w:pPr>
        <w:pStyle w:val="Heading1"/>
      </w:pPr>
      <w:r>
        <w:t>8. Agent 4 — System Architect / Infrastructure / Security Engineer</w:t>
      </w:r>
    </w:p>
    <w:p>
      <w:r>
        <w:t>Mission: reconstruct the real system, identify technical risks, test performance and resilience, and produce current-state and target-state architecture.</w:t>
      </w:r>
    </w:p>
    <w:p>
      <w:pPr>
        <w:pStyle w:val="Heading2"/>
      </w:pPr>
      <w:r>
        <w:t>8.1 Deployment structure and hosting</w:t>
      </w:r>
    </w:p>
    <w:p>
      <w:pPr>
        <w:pStyle w:val="ListNumber"/>
      </w:pPr>
      <w:r>
        <w:t>What separately deployable parts exist: marketing website, frontend, API/backend, workers, database, cache, object storage, email, auth, payments, Peppol and other services?</w:t>
      </w:r>
    </w:p>
    <w:p>
      <w:pPr>
        <w:pStyle w:val="ListNumber"/>
      </w:pPr>
      <w:r>
        <w:t>Where is each component hosted and in which geographic region?</w:t>
      </w:r>
    </w:p>
    <w:p>
      <w:pPr>
        <w:pStyle w:val="ListNumber"/>
      </w:pPr>
      <w:r>
        <w:t>Which environments exist: development, staging, production?</w:t>
      </w:r>
    </w:p>
    <w:p>
      <w:pPr>
        <w:pStyle w:val="ListNumber"/>
      </w:pPr>
      <w:r>
        <w:t>How are deployments triggered and rolled back?</w:t>
      </w:r>
    </w:p>
    <w:p>
      <w:pPr>
        <w:pStyle w:val="ListNumber"/>
      </w:pPr>
      <w:r>
        <w:t>Is infrastructure represented as code?</w:t>
      </w:r>
    </w:p>
    <w:p>
      <w:pPr>
        <w:pStyle w:val="ListNumber"/>
      </w:pPr>
      <w:r>
        <w:t>How are secrets and environment variables managed?</w:t>
      </w:r>
    </w:p>
    <w:p>
      <w:pPr>
        <w:pStyle w:val="ListNumber"/>
      </w:pPr>
      <w:r>
        <w:t>Which components are stateful?</w:t>
      </w:r>
    </w:p>
    <w:p>
      <w:pPr>
        <w:pStyle w:val="ListNumber"/>
      </w:pPr>
      <w:r>
        <w:t>Which components are horizontally scalable?</w:t>
      </w:r>
    </w:p>
    <w:p>
      <w:pPr>
        <w:pStyle w:val="ListNumber"/>
      </w:pPr>
      <w:r>
        <w:t>What are the current single points of failure?</w:t>
      </w:r>
    </w:p>
    <w:p>
      <w:pPr>
        <w:pStyle w:val="ListNumber"/>
      </w:pPr>
      <w:r>
        <w:t>Can a production environment be reproduced from source-controlled configuration?</w:t>
      </w:r>
    </w:p>
    <w:p>
      <w:pPr>
        <w:pStyle w:val="Heading2"/>
      </w:pPr>
      <w:r>
        <w:t>8.2 Authentication, authorization and tenant isolation</w:t>
      </w:r>
    </w:p>
    <w:p>
      <w:r>
        <w:t>The audit must distinguish authentication (who are you?) from authorization (what may you access?). It must trace ownership checks from HTTP request through middleware/service/repository to database.</w:t>
      </w:r>
    </w:p>
    <w:p>
      <w:r>
        <w:t>Example threat test:</w:t>
        <w:br/>
        <w:br/>
        <w:t>User A authenticates</w:t>
        <w:br/>
        <w:t>User A creates invoice 123</w:t>
        <w:br/>
        <w:t>User B authenticates</w:t>
        <w:br/>
        <w:t>User B requests invoice 123</w:t>
        <w:br/>
        <w:br/>
        <w:t>Expected:</w:t>
        <w:br/>
        <w:t>403/404 according to the chosen security contract.</w:t>
        <w:br/>
        <w:br/>
        <w:t>Dangerous implementation:</w:t>
        <w:br/>
        <w:t>GET /invoices/:id</w:t>
        <w:br/>
        <w:t xml:space="preserve">  → SELECT * FROM invoices WHERE id = :id</w:t>
        <w:br/>
        <w:br/>
        <w:t>Safer conceptual implementation:</w:t>
        <w:br/>
        <w:t>SELECT *</w:t>
        <w:br/>
        <w:t>FROM invoices</w:t>
        <w:br/>
        <w:t>WHERE id = :id</w:t>
        <w:br/>
        <w:t xml:space="preserve">  AND organization_id = :current_organization_id</w:t>
        <w:br/>
        <w:br/>
        <w:t>The exact implementation may use repository policies, row-level security, service-layer checks or another design.</w:t>
      </w:r>
    </w:p>
    <w:p>
      <w:pPr>
        <w:pStyle w:val="ListNumber"/>
      </w:pPr>
      <w:r>
        <w:t>Do users have accounts, and where is identity managed?</w:t>
      </w:r>
    </w:p>
    <w:p>
      <w:pPr>
        <w:pStyle w:val="ListNumber"/>
      </w:pPr>
      <w:r>
        <w:t>Is authentication first-party or delegated to an identity provider using OAuth/OIDC?</w:t>
      </w:r>
    </w:p>
    <w:p>
      <w:pPr>
        <w:pStyle w:val="ListNumber"/>
      </w:pPr>
      <w:r>
        <w:t>How are passwords, sessions, access tokens and refresh tokens handled?</w:t>
      </w:r>
    </w:p>
    <w:p>
      <w:pPr>
        <w:pStyle w:val="ListNumber"/>
      </w:pPr>
      <w:r>
        <w:t>Is MFA available where appropriate?</w:t>
      </w:r>
    </w:p>
    <w:p>
      <w:pPr>
        <w:pStyle w:val="ListNumber"/>
      </w:pPr>
      <w:r>
        <w:t>How are account recovery and email verification handled?</w:t>
      </w:r>
    </w:p>
    <w:p>
      <w:pPr>
        <w:pStyle w:val="ListNumber"/>
      </w:pPr>
      <w:r>
        <w:t>How are roles and permissions represented?</w:t>
      </w:r>
    </w:p>
    <w:p>
      <w:pPr>
        <w:pStyle w:val="ListNumber"/>
      </w:pPr>
      <w:r>
        <w:t>How is organization/company membership represented?</w:t>
      </w:r>
    </w:p>
    <w:p>
      <w:pPr>
        <w:pStyle w:val="ListNumber"/>
      </w:pPr>
      <w:r>
        <w:t>Can a user belong to multiple organizations?</w:t>
      </w:r>
    </w:p>
    <w:p>
      <w:pPr>
        <w:pStyle w:val="ListNumber"/>
      </w:pPr>
      <w:r>
        <w:t>Are every organization-scoped query and mutation protected by tenant context?</w:t>
      </w:r>
    </w:p>
    <w:p>
      <w:pPr>
        <w:pStyle w:val="ListNumber"/>
      </w:pPr>
      <w:r>
        <w:t>Are object IDs enumerable and, if so, are ownership checks still enforced?</w:t>
      </w:r>
    </w:p>
    <w:p>
      <w:pPr>
        <w:pStyle w:val="ListNumber"/>
      </w:pPr>
      <w:r>
        <w:t>Are authorization checks duplicated in the frontend only, or enforced server-side?</w:t>
      </w:r>
    </w:p>
    <w:p>
      <w:pPr>
        <w:pStyle w:val="ListNumber"/>
      </w:pPr>
      <w:r>
        <w:t>Are background jobs also tenant-aware?</w:t>
      </w:r>
    </w:p>
    <w:p>
      <w:pPr>
        <w:pStyle w:val="ListNumber"/>
      </w:pPr>
      <w:r>
        <w:t>Can support/admin users access customer data, and is that access audited?</w:t>
      </w:r>
    </w:p>
    <w:p>
      <w:pPr>
        <w:pStyle w:val="Heading2"/>
      </w:pPr>
      <w:r>
        <w:t>8.3 Dependencies and technology lifecycle</w:t>
      </w:r>
    </w:p>
    <w:p>
      <w:r>
        <w:t>Inventory runtimes, frameworks, ORM/database drivers, PDF generators, authentication libraries, SDKs, external APIs, cloud services and transitive packages. Record versions, support/EOL status, security advisories, upgrade complexity and vendor lock-in.</w:t>
      </w:r>
    </w:p>
    <w:p>
      <w:r>
        <w:t>Dependency record example:</w:t>
        <w:br/>
        <w:br/>
        <w:t>{</w:t>
        <w:br/>
        <w:t xml:space="preserve">  "name": "framework-x",</w:t>
        <w:br/>
        <w:t xml:space="preserve">  "version": "4.2.1",</w:t>
        <w:br/>
        <w:t xml:space="preserve">  "runtime": "node-22",</w:t>
        <w:br/>
        <w:t xml:space="preserve">  "purpose": "web framework",</w:t>
        <w:br/>
        <w:t xml:space="preserve">  "direct": true,</w:t>
        <w:br/>
        <w:t xml:space="preserve">  "support_status": "supported",</w:t>
        <w:br/>
        <w:t xml:space="preserve">  "eol_date": null,</w:t>
        <w:br/>
        <w:t xml:space="preserve">  "upgrade_risk": "medium"</w:t>
        <w:br/>
        <w:t>}</w:t>
      </w:r>
    </w:p>
    <w:p>
      <w:pPr>
        <w:pStyle w:val="Heading2"/>
      </w:pPr>
      <w:r>
        <w:t>8.4 Data architecture and formats</w:t>
      </w:r>
    </w:p>
    <w:p>
      <w:r>
        <w:t>Classify data as structured, semi-structured or unstructured and map where it is created, transformed, stored, backed up, exported and deleted.</w:t>
      </w:r>
    </w:p>
    <w:p>
      <w:r>
        <w:t>Example:</w:t>
        <w:br/>
        <w:br/>
        <w:t>Structured:</w:t>
        <w:br/>
        <w:t xml:space="preserve">  PostgreSQL → users, organizations, customers, invoices, lines, payments</w:t>
        <w:br/>
        <w:br/>
        <w:t>Semi-structured:</w:t>
        <w:br/>
        <w:t xml:space="preserve">  JSON APIs, webhook payloads, configuration, UBL/XML</w:t>
        <w:br/>
        <w:br/>
        <w:t>Unstructured:</w:t>
        <w:br/>
        <w:t xml:space="preserve">  PDFs, logos, attachments, support uploads</w:t>
        <w:br/>
        <w:br/>
        <w:t>Critical design question:</w:t>
        <w:br/>
        <w:t xml:space="preserve">  Is the structured invoice model the source of truth?</w:t>
        <w:br/>
        <w:br/>
        <w:t>Preferred:</w:t>
        <w:br/>
        <w:t xml:space="preserve">  Invoice Domain Model</w:t>
        <w:br/>
        <w:t xml:space="preserve">       ├── PDF renderer</w:t>
        <w:br/>
        <w:t xml:space="preserve">       ├── UBL renderer</w:t>
        <w:br/>
        <w:t xml:space="preserve">       ├── email representation</w:t>
        <w:br/>
        <w:t xml:space="preserve">       └── API representation</w:t>
      </w:r>
    </w:p>
    <w:p>
      <w:pPr>
        <w:pStyle w:val="Heading2"/>
      </w:pPr>
      <w:r>
        <w:t>8.5 Availability, RTO, RPO and disaster recovery</w:t>
      </w:r>
    </w:p>
    <w:p>
      <w:r>
        <w:t>The agent must establish business-appropriate Recovery Time Objective (RTO) and Recovery Point Objective (RPO), then compare them with actual architecture.</w:t>
      </w:r>
    </w:p>
    <w:p>
      <w:pPr>
        <w:pStyle w:val="ListNumber"/>
      </w:pPr>
      <w:r>
        <w:t>How much downtime is acceptable?</w:t>
      </w:r>
    </w:p>
    <w:p>
      <w:pPr>
        <w:pStyle w:val="ListNumber"/>
      </w:pPr>
      <w:r>
        <w:t>How much recently created data may be lost?</w:t>
      </w:r>
    </w:p>
    <w:p>
      <w:pPr>
        <w:pStyle w:val="ListNumber"/>
      </w:pPr>
      <w:r>
        <w:t>How often are database backups taken?</w:t>
      </w:r>
    </w:p>
    <w:p>
      <w:pPr>
        <w:pStyle w:val="ListNumber"/>
      </w:pPr>
      <w:r>
        <w:t>Where are backups stored?</w:t>
      </w:r>
    </w:p>
    <w:p>
      <w:pPr>
        <w:pStyle w:val="ListNumber"/>
      </w:pPr>
      <w:r>
        <w:t>Are backups encrypted?</w:t>
      </w:r>
    </w:p>
    <w:p>
      <w:pPr>
        <w:pStyle w:val="ListNumber"/>
      </w:pPr>
      <w:r>
        <w:t>How long are backups retained?</w:t>
      </w:r>
    </w:p>
    <w:p>
      <w:pPr>
        <w:pStyle w:val="ListNumber"/>
      </w:pPr>
      <w:r>
        <w:t>Are backups isolated from production credentials?</w:t>
      </w:r>
    </w:p>
    <w:p>
      <w:pPr>
        <w:pStyle w:val="ListNumber"/>
      </w:pPr>
      <w:r>
        <w:t>Has restoration actually been tested?</w:t>
      </w:r>
    </w:p>
    <w:p>
      <w:pPr>
        <w:pStyle w:val="ListNumber"/>
      </w:pPr>
      <w:r>
        <w:t>How quickly can infrastructure be rebuilt?</w:t>
      </w:r>
    </w:p>
    <w:p>
      <w:pPr>
        <w:pStyle w:val="ListNumber"/>
      </w:pPr>
      <w:r>
        <w:t>Is database replication required by the business risk?</w:t>
      </w:r>
    </w:p>
    <w:p>
      <w:pPr>
        <w:pStyle w:val="ListNumber"/>
      </w:pPr>
      <w:r>
        <w:t>Is a failover application instance necessary, or is managed recovery sufficient?</w:t>
      </w:r>
    </w:p>
    <w:p>
      <w:pPr>
        <w:pStyle w:val="ListNumber"/>
      </w:pPr>
      <w:r>
        <w:t>How are deployments rolled back?</w:t>
      </w:r>
    </w:p>
    <w:p>
      <w:pPr>
        <w:pStyle w:val="ListNumber"/>
      </w:pPr>
      <w:r>
        <w:t>What happens if the primary database, storage, email, Peppol or authentication provider fails?</w:t>
      </w:r>
    </w:p>
    <w:p>
      <w:r>
        <w:t>Do not prescribe active-active or multi-region deployment automatically. For an early-stage SaaS, a managed database with tested automated backups, a reproducible deployment and appropriate monitoring may be sufficient. The audit must justify the chosen resilience level.</w:t>
      </w:r>
    </w:p>
    <w:p>
      <w:pPr>
        <w:pStyle w:val="Heading2"/>
      </w:pPr>
      <w:r>
        <w:t>8.6 Performance and capacity testing</w:t>
      </w:r>
    </w:p>
    <w:p>
      <w:r>
        <w:t>The architecture agent must measure capacity rather than inventing it. Testing must be authorized, controlled and performed against a safe test/staging environment unless production testing is explicitly approved.</w:t>
      </w:r>
    </w:p>
    <w:p>
      <w:r>
        <w:t>Load progression:</w:t>
        <w:br/>
        <w:br/>
        <w:t>10 concurrent users</w:t>
        <w:br/>
        <w:t>25</w:t>
        <w:br/>
        <w:t>50</w:t>
        <w:br/>
        <w:t>100</w:t>
        <w:br/>
        <w:t>250</w:t>
        <w:br/>
        <w:t>500</w:t>
        <w:br/>
        <w:br/>
        <w:t>Measure:</w:t>
        <w:br/>
        <w:t>- requests/sec</w:t>
        <w:br/>
        <w:t>- p50/p95/p99 latency</w:t>
        <w:br/>
        <w:t>- error rate</w:t>
        <w:br/>
        <w:t>- CPU</w:t>
        <w:br/>
        <w:t>- memory</w:t>
        <w:br/>
        <w:t>- DB CPU</w:t>
        <w:br/>
        <w:t>- DB connection count</w:t>
        <w:br/>
        <w:t>- queue depth</w:t>
        <w:br/>
        <w:t>- external API latency</w:t>
        <w:br/>
        <w:t>- PDF generation time</w:t>
        <w:br/>
        <w:t>- throughput</w:t>
        <w:br/>
        <w:br/>
        <w:t>Business scenarios:</w:t>
        <w:br/>
        <w:t>A. browse/search invoices</w:t>
        <w:br/>
        <w:t>B. create invoices concurrently</w:t>
        <w:br/>
        <w:t>C. generate PDFs concurrently</w:t>
        <w:br/>
        <w:t>D. send invoices concurrently</w:t>
        <w:br/>
        <w:t>E. generate structured e-invoices</w:t>
        <w:br/>
        <w:t>F. Peppol submission burst</w:t>
        <w:br/>
        <w:t>G. month-end spike</w:t>
        <w:br/>
        <w:t>H. external dependency slowdown</w:t>
      </w:r>
    </w:p>
    <w:p>
      <w:r>
        <w:t>The report must state the tested configuration, workload, duration, dataset size and bottleneck. Example conclusion: “At 100 concurrent invoice-generation users, p95 latency is 1.8 s and database CPU reaches 94%; adding API instances alone is unlikely to solve the bottleneck.”</w:t>
      </w:r>
    </w:p>
    <w:p>
      <w:pPr>
        <w:pStyle w:val="Heading2"/>
      </w:pPr>
      <w:r>
        <w:t>8.7 Scalability, queues, backpressure and overload protection</w:t>
      </w:r>
    </w:p>
    <w:p>
      <w:r>
        <w:t>The agent must determine how BillGen behaves when demand exceeds the capacity of one process/instance. It should inspect whether workloads are synchronous or asynchronous and whether expensive operations can be queued.</w:t>
      </w:r>
    </w:p>
    <w:p>
      <w:r>
        <w:t>Preferred conceptual pattern for expensive work:</w:t>
        <w:br/>
        <w:br/>
        <w:t>POST /invoices</w:t>
        <w:br/>
        <w:t xml:space="preserve">   ↓</w:t>
        <w:br/>
        <w:t>API validates request</w:t>
        <w:br/>
        <w:t xml:space="preserve">   ↓</w:t>
        <w:br/>
        <w:t>Transaction creates/finalizes invoice</w:t>
        <w:br/>
        <w:t xml:space="preserve">   ↓</w:t>
        <w:br/>
        <w:t>Job queued</w:t>
        <w:br/>
        <w:t xml:space="preserve">   ↓</w:t>
        <w:br/>
        <w:t>Worker pool</w:t>
        <w:br/>
        <w:t xml:space="preserve">   ├── PDF generation</w:t>
        <w:br/>
        <w:t xml:space="preserve">   ├── email delivery</w:t>
        <w:br/>
        <w:t xml:space="preserve">   ├── Peppol submission</w:t>
        <w:br/>
        <w:t xml:space="preserve">   └── bulk processing</w:t>
        <w:br/>
        <w:br/>
        <w:t>Worker properties:</w:t>
        <w:br/>
        <w:t>- bounded concurrency</w:t>
        <w:br/>
        <w:t>- retries</w:t>
        <w:br/>
        <w:t>- exponential backoff</w:t>
        <w:br/>
        <w:t>- idempotency</w:t>
        <w:br/>
        <w:t>- dead-letter handling</w:t>
        <w:br/>
        <w:t>- observable status</w:t>
        <w:br/>
        <w:t>- tenant-aware authorization</w:t>
        <w:br/>
        <w:br/>
        <w:t>Horizontal API scaling:</w:t>
        <w:br/>
        <w:br/>
        <w:t xml:space="preserve">                 Load Balancer</w:t>
        <w:br/>
        <w:t xml:space="preserve">                /      |      \</w:t>
        <w:br/>
        <w:t xml:space="preserve">            API #1   API #2   API #3</w:t>
        <w:br/>
        <w:t xml:space="preserve">                \      |      /</w:t>
        <w:br/>
        <w:t xml:space="preserve">                    Database</w:t>
        <w:br/>
        <w:br/>
        <w:t>The correct solution depends on the measured bottleneck. Scaling the backend does not solve a saturated database or a slow third-party API.</w:t>
      </w:r>
    </w:p>
    <w:p>
      <w:pPr>
        <w:pStyle w:val="Heading2"/>
      </w:pPr>
      <w:r>
        <w:t>8.8 Monitoring and observability</w:t>
      </w:r>
    </w:p>
    <w:p>
      <w:pPr>
        <w:pStyle w:val="ListNumber"/>
      </w:pPr>
      <w:r>
        <w:t>How are application errors detected?</w:t>
      </w:r>
    </w:p>
    <w:p>
      <w:pPr>
        <w:pStyle w:val="ListNumber"/>
      </w:pPr>
      <w:r>
        <w:t>How are uptime and latency monitored?</w:t>
      </w:r>
    </w:p>
    <w:p>
      <w:pPr>
        <w:pStyle w:val="ListNumber"/>
      </w:pPr>
      <w:r>
        <w:t>Are logs centralized and searchable?</w:t>
      </w:r>
    </w:p>
    <w:p>
      <w:pPr>
        <w:pStyle w:val="ListNumber"/>
      </w:pPr>
      <w:r>
        <w:t>Are correlation/request IDs available?</w:t>
      </w:r>
    </w:p>
    <w:p>
      <w:pPr>
        <w:pStyle w:val="ListNumber"/>
      </w:pPr>
      <w:r>
        <w:t>Are database health and connection saturation monitored?</w:t>
      </w:r>
    </w:p>
    <w:p>
      <w:pPr>
        <w:pStyle w:val="ListNumber"/>
      </w:pPr>
      <w:r>
        <w:t>Are queue depth and failed jobs monitored?</w:t>
      </w:r>
    </w:p>
    <w:p>
      <w:pPr>
        <w:pStyle w:val="ListNumber"/>
      </w:pPr>
      <w:r>
        <w:t>Are PDF, email and Peppol failures visible?</w:t>
      </w:r>
    </w:p>
    <w:p>
      <w:pPr>
        <w:pStyle w:val="ListNumber"/>
      </w:pPr>
      <w:r>
        <w:t>Are security events monitored?</w:t>
      </w:r>
    </w:p>
    <w:p>
      <w:pPr>
        <w:pStyle w:val="ListNumber"/>
      </w:pPr>
      <w:r>
        <w:t>Who receives alerts?</w:t>
      </w:r>
    </w:p>
    <w:p>
      <w:pPr>
        <w:pStyle w:val="ListNumber"/>
      </w:pPr>
      <w:r>
        <w:t>What alert thresholds exist?</w:t>
      </w:r>
    </w:p>
    <w:p>
      <w:pPr>
        <w:pStyle w:val="ListNumber"/>
      </w:pPr>
      <w:r>
        <w:t>Can the team distinguish customer-specific failures from global outages?</w:t>
      </w:r>
    </w:p>
    <w:p>
      <w:pPr>
        <w:pStyle w:val="Heading2"/>
      </w:pPr>
      <w:r>
        <w:t>8.9 Incident response and recovery</w:t>
      </w:r>
    </w:p>
    <w:p>
      <w:r>
        <w:t>Incident lifecycle:</w:t>
        <w:br/>
        <w:br/>
        <w:t>Detection</w:t>
        <w:br/>
        <w:t xml:space="preserve">  ↓</w:t>
        <w:br/>
        <w:t>Triage</w:t>
        <w:br/>
        <w:t xml:space="preserve">  ↓</w:t>
        <w:br/>
        <w:t>Containment</w:t>
        <w:br/>
        <w:t xml:space="preserve">  ↓</w:t>
        <w:br/>
        <w:t>Investigation</w:t>
        <w:br/>
        <w:t xml:space="preserve">  ↓</w:t>
        <w:br/>
        <w:t>Recovery</w:t>
        <w:br/>
        <w:t xml:space="preserve">  ↓</w:t>
        <w:br/>
        <w:t>Data integrity verification</w:t>
        <w:br/>
        <w:t xml:space="preserve">  ↓</w:t>
        <w:br/>
        <w:t>Customer/regulatory communication where required</w:t>
        <w:br/>
        <w:t xml:space="preserve">  ↓</w:t>
        <w:br/>
        <w:t>Post-incident review</w:t>
        <w:br/>
        <w:t xml:space="preserve">  ↓</w:t>
        <w:br/>
        <w:t>Corrective actions</w:t>
      </w:r>
    </w:p>
    <w:p>
      <w:r>
        <w:t>Technical recovery and GDPR breach obligations must remain distinct but coordinated.</w:t>
      </w:r>
    </w:p>
    <w:p>
      <w:pPr>
        <w:pStyle w:val="Heading1"/>
      </w:pPr>
      <w:r>
        <w:t>9. Cross-Agent Correlation</w:t>
      </w:r>
    </w:p>
    <w:p>
      <w:r>
        <w:t>The Audit Orchestrator must merge findings that describe the same systemic issue. Example:</w:t>
      </w:r>
    </w:p>
    <w:p>
      <w:r>
        <w:t>Legal:</w:t>
        <w:br/>
        <w:t xml:space="preserve">  Finalized invoices should not be silently altered.</w:t>
        <w:br/>
        <w:br/>
        <w:t>Accounting:</w:t>
        <w:br/>
        <w:t xml:space="preserve">  Issued invoices are editable.</w:t>
        <w:br/>
        <w:br/>
        <w:t>Architecture:</w:t>
        <w:br/>
        <w:t xml:space="preserve">  PUT /invoice/:id allows modification after finalization.</w:t>
        <w:br/>
        <w:br/>
        <w:t>GDPR/Security:</w:t>
        <w:br/>
        <w:t xml:space="preserve">  No audit event records who changed accounting-relevant fields.</w:t>
        <w:br/>
        <w:br/>
        <w:t>Orchestrated result:</w:t>
        <w:br/>
        <w:t xml:space="preserve">  HIGH/CRITICAL systemic finding — document integrity and auditability failure.</w:t>
      </w:r>
    </w:p>
    <w:p>
      <w:pPr>
        <w:pStyle w:val="Heading1"/>
      </w:pPr>
      <w:r>
        <w:t>10. Document Engine — Quotes, Invoices and Credit Notes</w:t>
      </w:r>
    </w:p>
    <w:p>
      <w:r>
        <w:t>BillGen should not implement three independent template systems. Build one document/template engine with document-type-specific rules.</w:t>
      </w:r>
    </w:p>
    <w:p>
      <w:r>
        <w:t>DocumentTemplate</w:t>
        <w:br/>
        <w:t>├── type: QUOTE | INVOICE | CREDIT_NOTE</w:t>
        <w:br/>
        <w:t>├── version</w:t>
        <w:br/>
        <w:t>├── layout</w:t>
        <w:br/>
        <w:t>├── typography</w:t>
        <w:br/>
        <w:t>├── logo / brand</w:t>
        <w:br/>
        <w:t>├── sections</w:t>
        <w:br/>
        <w:t>├── fields</w:t>
        <w:br/>
        <w:t>├── conditional blocks</w:t>
        <w:br/>
        <w:t>├── localization</w:t>
        <w:br/>
        <w:t>└── rendering configuration</w:t>
        <w:br/>
        <w:br/>
        <w:t>Domain data:</w:t>
        <w:br/>
        <w:t>Quote ──────────┐</w:t>
        <w:br/>
        <w:t>Invoice ────────┼──&gt; Template Engine ──&gt; PDF</w:t>
        <w:br/>
        <w:t>Credit Note ────┘                    └──&gt; structured representation where applicable</w:t>
      </w:r>
    </w:p>
    <w:p>
      <w:r>
        <w:t>The visual editor should customize presentation, not redefine legal/accounting truth. Required fields must remain enforced by the domain model and document validators.</w:t>
      </w:r>
    </w:p>
    <w:p>
      <w:r>
        <w:t>Recommended monetization: Tier 1 includes standard templates; Tier 2 includes the visual document designer, custom layouts, multiple templates, branding and advanced custom fields. Tier 3 can expose higher-volume automation, APIs, integrations, multi-company and advanced accountant workflows. These are product decisions, not technical limits.</w:t>
      </w:r>
    </w:p>
    <w:p>
      <w:pPr>
        <w:pStyle w:val="Heading1"/>
      </w:pPr>
      <w:r>
        <w:t>11. Recommended Domain Model</w:t>
      </w:r>
    </w:p>
    <w:p>
      <w:r>
        <w:t>Organization</w:t>
        <w:br/>
        <w:t>├── Members</w:t>
        <w:br/>
        <w:t>├── Customers</w:t>
        <w:br/>
        <w:t>├── Products / Services</w:t>
        <w:br/>
        <w:t>├── DocumentTemplates</w:t>
        <w:br/>
        <w:t>├── Quotes</w:t>
        <w:br/>
        <w:t>│   └── QuoteLines</w:t>
        <w:br/>
        <w:t>├── Invoices</w:t>
        <w:br/>
        <w:t>│   ├── InvoiceLines</w:t>
        <w:br/>
        <w:t>│   ├── Payments / Allocations</w:t>
        <w:br/>
        <w:t>│   └── CreditNotes</w:t>
        <w:br/>
        <w:t>├── CreditNotes</w:t>
        <w:br/>
        <w:t>│   └── CreditNoteLines</w:t>
        <w:br/>
        <w:t>├── Documents / Attachments</w:t>
        <w:br/>
        <w:t>├── AuditEvents</w:t>
        <w:br/>
        <w:t>└── IntegrationAccounts / ExternalIdentifiers</w:t>
        <w:br/>
        <w:br/>
        <w:t>Important:</w:t>
        <w:br/>
        <w:t>- Organization/tenant context must be explicit.</w:t>
        <w:br/>
        <w:t>- Financial documents require immutable finalized versions.</w:t>
        <w:br/>
        <w:t>- External identifiers and transmission states should be separate from core document identity.</w:t>
        <w:br/>
        <w:t>- Generated files should be treated as artifacts of source data, not the financial source of truth.</w:t>
      </w:r>
    </w:p>
    <w:p>
      <w:pPr>
        <w:pStyle w:val="Heading1"/>
      </w:pPr>
      <w:r>
        <w:t>12. API / Router Design Expectations</w:t>
      </w:r>
    </w:p>
    <w:p>
      <w:r>
        <w:t>Illustrative API surface:</w:t>
        <w:br/>
        <w:br/>
        <w:t>POST   /organizations</w:t>
        <w:br/>
        <w:t>GET    /customers</w:t>
        <w:br/>
        <w:t>POST   /customers</w:t>
        <w:br/>
        <w:br/>
        <w:t>GET    /quotes</w:t>
        <w:br/>
        <w:t>POST   /quotes</w:t>
        <w:br/>
        <w:t>GET    /quotes/:id</w:t>
        <w:br/>
        <w:t>POST   /quotes/:id/finalize</w:t>
        <w:br/>
        <w:t>POST   /quotes/:id/convert-to-invoice</w:t>
        <w:br/>
        <w:br/>
        <w:t>GET    /invoices</w:t>
        <w:br/>
        <w:t>POST   /invoices</w:t>
        <w:br/>
        <w:t>GET    /invoices/:id</w:t>
        <w:br/>
        <w:t>POST   /invoices/:id/finalize</w:t>
        <w:br/>
        <w:t>POST   /invoices/:id/send</w:t>
        <w:br/>
        <w:t>POST   /invoices/:id/credit-notes</w:t>
        <w:br/>
        <w:br/>
        <w:t>GET    /credit-notes</w:t>
        <w:br/>
        <w:t>POST   /credit-notes</w:t>
        <w:br/>
        <w:br/>
        <w:t>GET    /documents/:id/status</w:t>
        <w:br/>
        <w:t>GET    /audit-events</w:t>
        <w:br/>
        <w:br/>
        <w:t>The exact endpoints may differ. The audit should verify:</w:t>
        <w:br/>
        <w:t>- authentication</w:t>
        <w:br/>
        <w:t>- authorization</w:t>
        <w:br/>
        <w:t>- validation</w:t>
        <w:br/>
        <w:t>- tenant isolation</w:t>
        <w:br/>
        <w:t>- idempotency</w:t>
        <w:br/>
        <w:t>- pagination</w:t>
        <w:br/>
        <w:t>- rate limiting</w:t>
        <w:br/>
        <w:t>- error contract</w:t>
        <w:br/>
        <w:t>- transaction boundaries</w:t>
        <w:br/>
        <w:t>- audit events</w:t>
        <w:br/>
        <w:t>- concurrency behaviour</w:t>
      </w:r>
    </w:p>
    <w:p>
      <w:pPr>
        <w:pStyle w:val="Heading1"/>
      </w:pPr>
      <w:r>
        <w:t>13. Test Catalogue</w:t>
      </w:r>
    </w:p>
    <w:p>
      <w:pPr>
        <w:pStyle w:val="Heading2"/>
      </w:pPr>
      <w:r>
        <w:t>Authorization</w:t>
      </w:r>
    </w:p>
    <w:p>
      <w:r>
        <w:t>Cross-tenant resource access, role escalation, direct object references, background-job isolation.</w:t>
      </w:r>
    </w:p>
    <w:p>
      <w:pPr>
        <w:pStyle w:val="Heading2"/>
      </w:pPr>
      <w:r>
        <w:t>Financial correctness</w:t>
      </w:r>
    </w:p>
    <w:p>
      <w:r>
        <w:t>Line totals, VAT totals, rounding, discounts, credits, payments and concurrent numbering.</w:t>
      </w:r>
    </w:p>
    <w:p>
      <w:pPr>
        <w:pStyle w:val="Heading2"/>
      </w:pPr>
      <w:r>
        <w:t>Document lifecycle</w:t>
      </w:r>
    </w:p>
    <w:p>
      <w:r>
        <w:t>Draft/finalized immutability, conversion, credit-note references, resend/retry.</w:t>
      </w:r>
    </w:p>
    <w:p>
      <w:pPr>
        <w:pStyle w:val="Heading2"/>
      </w:pPr>
      <w:r>
        <w:t>Peppol/e-invoicing</w:t>
      </w:r>
    </w:p>
    <w:p>
      <w:r>
        <w:t>Schema/business-rule validation, identifiers, duplicate handling, transmission retry/state.</w:t>
      </w:r>
    </w:p>
    <w:p>
      <w:pPr>
        <w:pStyle w:val="Heading2"/>
      </w:pPr>
      <w:r>
        <w:t>GDPR</w:t>
      </w:r>
    </w:p>
    <w:p>
      <w:r>
        <w:t>Export, deletion, consent gating, access controls, retention and policy/code consistency.</w:t>
      </w:r>
    </w:p>
    <w:p>
      <w:pPr>
        <w:pStyle w:val="Heading2"/>
      </w:pPr>
      <w:r>
        <w:t>Dependencies</w:t>
      </w:r>
    </w:p>
    <w:p>
      <w:r>
        <w:t>Known vulnerabilities, EOL versions, transitive risks, lockfile integrity.</w:t>
      </w:r>
    </w:p>
    <w:p>
      <w:pPr>
        <w:pStyle w:val="Heading2"/>
      </w:pPr>
      <w:r>
        <w:t>Performance</w:t>
      </w:r>
    </w:p>
    <w:p>
      <w:r>
        <w:t>Concurrent reads/writes, invoice creation, PDF generation, month-end burst.</w:t>
      </w:r>
    </w:p>
    <w:p>
      <w:pPr>
        <w:pStyle w:val="Heading2"/>
      </w:pPr>
      <w:r>
        <w:t>Resilience</w:t>
      </w:r>
    </w:p>
    <w:p>
      <w:r>
        <w:t>Database restore, dependency failure, queue failure, worker restart, deployment rollback.</w:t>
      </w:r>
    </w:p>
    <w:p>
      <w:pPr>
        <w:pStyle w:val="Heading2"/>
      </w:pPr>
      <w:r>
        <w:t>Security</w:t>
      </w:r>
    </w:p>
    <w:p>
      <w:r>
        <w:t>Secrets, session handling, rate limits, injection, CSRF where applicable, secure headers and logging.</w:t>
      </w:r>
    </w:p>
    <w:p>
      <w:pPr>
        <w:pStyle w:val="Heading1"/>
      </w:pPr>
      <w:r>
        <w:t>14. Audit Deliverables</w:t>
      </w:r>
    </w:p>
    <w:p>
      <w:pPr>
        <w:pStyle w:val="ListBullet"/>
      </w:pPr>
      <w:r>
        <w:t>Executive audit summary</w:t>
      </w:r>
    </w:p>
    <w:p>
      <w:pPr>
        <w:pStyle w:val="ListBullet"/>
      </w:pPr>
      <w:r>
        <w:t>Detailed findings with evidence</w:t>
      </w:r>
    </w:p>
    <w:p>
      <w:pPr>
        <w:pStyle w:val="ListBullet"/>
      </w:pPr>
      <w:r>
        <w:t>Current-state architecture diagram</w:t>
      </w:r>
    </w:p>
    <w:p>
      <w:pPr>
        <w:pStyle w:val="ListBullet"/>
      </w:pPr>
      <w:r>
        <w:t>Target-state architecture diagram</w:t>
      </w:r>
    </w:p>
    <w:p>
      <w:pPr>
        <w:pStyle w:val="ListBullet"/>
      </w:pPr>
      <w:r>
        <w:t>Deployment topology</w:t>
      </w:r>
    </w:p>
    <w:p>
      <w:pPr>
        <w:pStyle w:val="ListBullet"/>
      </w:pPr>
      <w:r>
        <w:t>Data-flow diagram</w:t>
      </w:r>
    </w:p>
    <w:p>
      <w:pPr>
        <w:pStyle w:val="ListBullet"/>
      </w:pPr>
      <w:r>
        <w:t>Authentication/authorization flow</w:t>
      </w:r>
    </w:p>
    <w:p>
      <w:pPr>
        <w:pStyle w:val="ListBullet"/>
      </w:pPr>
      <w:r>
        <w:t>Database/domain model</w:t>
      </w:r>
    </w:p>
    <w:p>
      <w:pPr>
        <w:pStyle w:val="ListBullet"/>
      </w:pPr>
      <w:r>
        <w:t>API/router inventory</w:t>
      </w:r>
    </w:p>
    <w:p>
      <w:pPr>
        <w:pStyle w:val="ListBullet"/>
      </w:pPr>
      <w:r>
        <w:t>Dependency and EOL inventory</w:t>
      </w:r>
    </w:p>
    <w:p>
      <w:pPr>
        <w:pStyle w:val="ListBullet"/>
      </w:pPr>
      <w:r>
        <w:t>Performance test report</w:t>
      </w:r>
    </w:p>
    <w:p>
      <w:pPr>
        <w:pStyle w:val="ListBullet"/>
      </w:pPr>
      <w:r>
        <w:t>RTO/RPO assessment</w:t>
      </w:r>
    </w:p>
    <w:p>
      <w:pPr>
        <w:pStyle w:val="ListBullet"/>
      </w:pPr>
      <w:r>
        <w:t>GDPR data inventory and gap analysis</w:t>
      </w:r>
    </w:p>
    <w:p>
      <w:pPr>
        <w:pStyle w:val="ListBullet"/>
      </w:pPr>
      <w:r>
        <w:t>Belgian VAT/e-invoicing gap analysis</w:t>
      </w:r>
    </w:p>
    <w:p>
      <w:pPr>
        <w:pStyle w:val="ListBullet"/>
      </w:pPr>
      <w:r>
        <w:t>Peppol readiness assessment</w:t>
      </w:r>
    </w:p>
    <w:p>
      <w:pPr>
        <w:pStyle w:val="ListBullet"/>
      </w:pPr>
      <w:r>
        <w:t>Document engine assessment</w:t>
      </w:r>
    </w:p>
    <w:p>
      <w:pPr>
        <w:pStyle w:val="ListBullet"/>
      </w:pPr>
      <w:r>
        <w:t>Risk register</w:t>
      </w:r>
    </w:p>
    <w:p>
      <w:pPr>
        <w:pStyle w:val="ListBullet"/>
      </w:pPr>
      <w:r>
        <w:t>Prioritized remediation roadmap</w:t>
      </w:r>
    </w:p>
    <w:p>
      <w:pPr>
        <w:pStyle w:val="ListBullet"/>
      </w:pPr>
      <w:r>
        <w:t>Machine-readable findings JSON</w:t>
      </w:r>
    </w:p>
    <w:p>
      <w:pPr>
        <w:pStyle w:val="ListBullet"/>
      </w:pPr>
      <w:r>
        <w:t>Audit-to-audit diff showing resolved, open, new and regressed findings</w:t>
      </w:r>
    </w:p>
    <w:p>
      <w:pPr>
        <w:pStyle w:val="Heading1"/>
      </w:pPr>
      <w:r>
        <w:t>15. Recommended Audit Report Format</w:t>
      </w:r>
    </w:p>
    <w:p>
      <w:r>
        <w:t>BillGen Professional Audit</w:t>
        <w:br/>
        <w:t>──────────────────────────────</w:t>
        <w:br/>
        <w:t>Overall risk: AMBER</w:t>
        <w:br/>
        <w:br/>
        <w:t>Legal/VAT                 72/100</w:t>
        <w:br/>
        <w:t>Accounting                61/100</w:t>
        <w:br/>
        <w:t>GDPR                      78/100</w:t>
        <w:br/>
        <w:t>Architecture              67/100</w:t>
        <w:br/>
        <w:t>Security                  74/100</w:t>
        <w:br/>
        <w:t>Document Engine           55/100</w:t>
        <w:br/>
        <w:t>Peppol Readiness          40/100</w:t>
        <w:br/>
        <w:t>Performance               63/100</w:t>
        <w:br/>
        <w:t>Resilience                70/100</w:t>
        <w:br/>
        <w:br/>
        <w:t>CRITICAL</w:t>
        <w:br/>
        <w:t>- ...</w:t>
        <w:br/>
        <w:t>HIGH</w:t>
        <w:br/>
        <w:t>- ...</w:t>
        <w:br/>
        <w:t>MEDIUM</w:t>
        <w:br/>
        <w:t>- ...</w:t>
        <w:br/>
        <w:br/>
        <w:t>Capacity:</w:t>
        <w:br/>
        <w:t>- tested concurrent users: ...</w:t>
        <w:br/>
        <w:t>- invoice throughput: ...</w:t>
        <w:br/>
        <w:t>- p95 latency: ...</w:t>
        <w:br/>
        <w:t>- primary bottleneck: ...</w:t>
        <w:br/>
        <w:br/>
        <w:t>Roadmap:</w:t>
        <w:br/>
        <w:t>P0 — must fix</w:t>
        <w:br/>
        <w:t>P1 — before professional launch</w:t>
        <w:br/>
        <w:t>P2 — premium / scale improvements</w:t>
      </w:r>
    </w:p>
    <w:p>
      <w:pPr>
        <w:pStyle w:val="Heading1"/>
      </w:pPr>
      <w:r>
        <w:t>16. Pre-Audit BillGen Intake Pack</w:t>
      </w:r>
    </w:p>
    <w:p>
      <w:r>
        <w:t>Before the SaaS is uploaded, collect as much of the following as exists:</w:t>
      </w:r>
    </w:p>
    <w:p>
      <w:pPr>
        <w:pStyle w:val="ListBullet"/>
      </w:pPr>
      <w:r>
        <w:t>Full source code repository</w:t>
      </w:r>
    </w:p>
    <w:p>
      <w:pPr>
        <w:pStyle w:val="ListBullet"/>
      </w:pPr>
      <w:r>
        <w:t>README and local setup instructions</w:t>
      </w:r>
    </w:p>
    <w:p>
      <w:pPr>
        <w:pStyle w:val="ListBullet"/>
      </w:pPr>
      <w:r>
        <w:t>.env.example only — never real secrets</w:t>
      </w:r>
    </w:p>
    <w:p>
      <w:pPr>
        <w:pStyle w:val="ListBullet"/>
      </w:pPr>
      <w:r>
        <w:t>Current deployment/infrastructure configuration</w:t>
      </w:r>
    </w:p>
    <w:p>
      <w:pPr>
        <w:pStyle w:val="ListBullet"/>
      </w:pPr>
      <w:r>
        <w:t>CI/CD configuration</w:t>
      </w:r>
    </w:p>
    <w:p>
      <w:pPr>
        <w:pStyle w:val="ListBullet"/>
      </w:pPr>
      <w:r>
        <w:t>Database schema/migrations if present</w:t>
      </w:r>
    </w:p>
    <w:p>
      <w:pPr>
        <w:pStyle w:val="ListBullet"/>
      </w:pPr>
      <w:r>
        <w:t>API/router definitions</w:t>
      </w:r>
    </w:p>
    <w:p>
      <w:pPr>
        <w:pStyle w:val="ListBullet"/>
      </w:pPr>
      <w:r>
        <w:t>Authentication configuration</w:t>
      </w:r>
    </w:p>
    <w:p>
      <w:pPr>
        <w:pStyle w:val="ListBullet"/>
      </w:pPr>
      <w:r>
        <w:t>Current invoice/quote/credit-note implementation</w:t>
      </w:r>
    </w:p>
    <w:p>
      <w:pPr>
        <w:pStyle w:val="ListBullet"/>
      </w:pPr>
      <w:r>
        <w:t>PDF/email templates</w:t>
      </w:r>
    </w:p>
    <w:p>
      <w:pPr>
        <w:pStyle w:val="ListBullet"/>
      </w:pPr>
      <w:r>
        <w:t>Sample fictional invoice, quote and credit note</w:t>
      </w:r>
    </w:p>
    <w:p>
      <w:pPr>
        <w:pStyle w:val="ListBullet"/>
      </w:pPr>
      <w:r>
        <w:t>Current Terms &amp; Conditions</w:t>
      </w:r>
    </w:p>
    <w:p>
      <w:pPr>
        <w:pStyle w:val="ListBullet"/>
      </w:pPr>
      <w:r>
        <w:t>Privacy Policy</w:t>
      </w:r>
    </w:p>
    <w:p>
      <w:pPr>
        <w:pStyle w:val="ListBullet"/>
      </w:pPr>
      <w:r>
        <w:t>Cookie Policy</w:t>
      </w:r>
    </w:p>
    <w:p>
      <w:pPr>
        <w:pStyle w:val="ListBullet"/>
      </w:pPr>
      <w:r>
        <w:t>DPA if available</w:t>
      </w:r>
    </w:p>
    <w:p>
      <w:pPr>
        <w:pStyle w:val="ListBullet"/>
      </w:pPr>
      <w:r>
        <w:t>Subprocessor list</w:t>
      </w:r>
    </w:p>
    <w:p>
      <w:pPr>
        <w:pStyle w:val="ListBullet"/>
      </w:pPr>
      <w:r>
        <w:t>Security policy</w:t>
      </w:r>
    </w:p>
    <w:p>
      <w:pPr>
        <w:pStyle w:val="ListBullet"/>
      </w:pPr>
      <w:r>
        <w:t>Retention/deletion policy</w:t>
      </w:r>
    </w:p>
    <w:p>
      <w:pPr>
        <w:pStyle w:val="ListBullet"/>
      </w:pPr>
      <w:r>
        <w:t>Incident response procedure</w:t>
      </w:r>
    </w:p>
    <w:p>
      <w:pPr>
        <w:pStyle w:val="ListBullet"/>
      </w:pPr>
      <w:r>
        <w:t>List of third-party services</w:t>
      </w:r>
    </w:p>
    <w:p>
      <w:pPr>
        <w:pStyle w:val="ListBullet"/>
      </w:pPr>
      <w:r>
        <w:t>Analytics/tracking inventory</w:t>
      </w:r>
    </w:p>
    <w:p>
      <w:pPr>
        <w:pStyle w:val="ListBullet"/>
      </w:pPr>
      <w:r>
        <w:t>Peppol/e-invoicing provider documentation if applicable</w:t>
      </w:r>
    </w:p>
    <w:p>
      <w:pPr>
        <w:pStyle w:val="ListBullet"/>
      </w:pPr>
      <w:r>
        <w:t>Pricing and planned tiers</w:t>
      </w:r>
    </w:p>
    <w:p>
      <w:pPr>
        <w:pStyle w:val="ListBullet"/>
      </w:pPr>
      <w:r>
        <w:t>Product roadmap</w:t>
      </w:r>
    </w:p>
    <w:p>
      <w:pPr>
        <w:pStyle w:val="ListBullet"/>
      </w:pPr>
      <w:r>
        <w:t>Known limitations / technical debt</w:t>
      </w:r>
    </w:p>
    <w:p>
      <w:r>
        <w:t>Never include production passwords, API keys, private certificates, database credentials or real customer personal data in the audit package.</w:t>
      </w:r>
    </w:p>
    <w:p>
      <w:pPr>
        <w:pStyle w:val="Heading1"/>
      </w:pPr>
      <w:r>
        <w:t>17. Authoritative Source Strategy</w:t>
      </w:r>
    </w:p>
    <w:p>
      <w:r>
        <w:t>The legal/GDPR agents should maintain a source registry rather than embedding laws as static prompt text. Each rule should include jurisdiction, effective date, topic, requirement classification, authoritative source and last-reviewed date. Belgian government/FPS Finance, Belgian Data Protection Authority, EU legislation and official Peppol documentation should be preferred for primary requirements.</w:t>
      </w:r>
    </w:p>
    <w:p>
      <w:r>
        <w:t>Rule example:</w:t>
        <w:br/>
        <w:br/>
        <w:t>{</w:t>
        <w:br/>
        <w:t xml:space="preserve">  "id": "BE-EINV-001",</w:t>
        <w:br/>
        <w:t xml:space="preserve">  "jurisdiction": "Belgium",</w:t>
        <w:br/>
        <w:t xml:space="preserve">  "topic": "structured_b2b_e_invoicing",</w:t>
        <w:br/>
        <w:t xml:space="preserve">  "effective_from": "2026-01-01",</w:t>
        <w:br/>
        <w:t xml:space="preserve">  "classification": "legal_requirement",</w:t>
        <w:br/>
        <w:t xml:space="preserve">  "requirement": "...",</w:t>
        <w:br/>
        <w:t xml:space="preserve">  "source_url": "...",</w:t>
        <w:br/>
        <w:t xml:space="preserve">  "last_reviewed": "2026-08-28"</w:t>
        <w:br/>
        <w:t>}</w:t>
        <w:br/>
        <w:br/>
        <w:t>Rules must be reviewed when regulation changes. The system should never silently treat an outdated rule as current.</w:t>
      </w:r>
    </w:p>
    <w:p>
      <w:pPr>
        <w:pStyle w:val="Heading1"/>
      </w:pPr>
      <w:r>
        <w:t>18. Final Operating Model</w:t>
      </w:r>
    </w:p>
    <w:p>
      <w:r>
        <w:t xml:space="preserve">                         ┌─────────────────────┐</w:t>
        <w:br/>
        <w:t xml:space="preserve">                         │   Audit Orchestrator │</w:t>
        <w:br/>
        <w:t xml:space="preserve">                         └──────────┬──────────┘</w:t>
        <w:br/>
        <w:t xml:space="preserve">                                    │</w:t>
        <w:br/>
        <w:t xml:space="preserve">          ┌─────────────────────────┼─────────────────────────┐</w:t>
        <w:br/>
        <w:t xml:space="preserve">          ↓                         ↓                         ↓</w:t>
        <w:br/>
        <w:t xml:space="preserve">   🇧🇪 Legal/VAT              🧾 Accounting              🔐 GDPR</w:t>
        <w:br/>
        <w:t xml:space="preserve">          │                         │                         │</w:t>
        <w:br/>
        <w:t xml:space="preserve">          └─────────────────────────┼─────────────────────────┘</w:t>
        <w:br/>
        <w:t xml:space="preserve">                                    ↓</w:t>
        <w:br/>
        <w:t xml:space="preserve">                         🏗️ Architecture Agent</w:t>
        <w:br/>
        <w:t xml:space="preserve">                                    │</w:t>
        <w:br/>
        <w:t xml:space="preserve">                                    ↓</w:t>
        <w:br/>
        <w:t xml:space="preserve">                         Deterministic Scanners</w:t>
        <w:br/>
        <w:t xml:space="preserve">                                    │</w:t>
        <w:br/>
        <w:t xml:space="preserve">                  ┌─────────────────┼─────────────────┐</w:t>
        <w:br/>
        <w:t xml:space="preserve">                  ↓                 ↓                 ↓</w:t>
        <w:br/>
        <w:t xml:space="preserve">              Repository          Runtime          Load Tests</w:t>
        <w:br/>
        <w:t xml:space="preserve">                  │                 │                 │</w:t>
        <w:br/>
        <w:t xml:space="preserve">                  └─────────────────┼─────────────────┘</w:t>
        <w:br/>
        <w:t xml:space="preserve">                                    ↓</w:t>
        <w:br/>
        <w:t xml:space="preserve">                             Evidence Store</w:t>
        <w:br/>
        <w:t xml:space="preserve">                                    ↓</w:t>
        <w:br/>
        <w:t xml:space="preserve">                              Findings DB</w:t>
        <w:br/>
        <w:t xml:space="preserve">                                    ↓</w:t>
        <w:br/>
        <w:t xml:space="preserve">                   ┌────────────────┴────────────────┐</w:t>
        <w:br/>
        <w:t xml:space="preserve">                   ↓                                 ↓</w:t>
        <w:br/>
        <w:t xml:space="preserve">             Human Reports                    Machine Output</w:t>
        <w:br/>
        <w:t xml:space="preserve">             HTML / PDF / MD                    JSON / API</w:t>
        <w:br/>
        <w:t xml:space="preserve">                                    │</w:t>
        <w:br/>
        <w:t xml:space="preserve">                                    ↓</w:t>
        <w:br/>
        <w:t xml:space="preserve">                              Audit Baseline</w:t>
        <w:br/>
        <w:t xml:space="preserve">                                    ↓</w:t>
        <w:br/>
        <w:t xml:space="preserve">                            Next Audit / Diff</w:t>
      </w:r>
    </w:p>
    <w:p>
      <w:r>
        <w:t>This is the final recommended architecture for the audit system itself. The .md skill files remain important, but they are only one layer: they define agent behaviour. The actual system runs scanners, tools, tests, evidence collection, specialist agents, correlation and reporting.</w:t>
      </w:r>
    </w:p>
    <w:p>
      <w:pPr>
        <w:pStyle w:val="Heading1"/>
      </w:pPr>
      <w:r>
        <w:t>19. Definition of Done for the First BillGen Audit</w:t>
      </w:r>
    </w:p>
    <w:p>
      <w:pPr>
        <w:pStyle w:val="ListBullet"/>
      </w:pPr>
      <w:r>
        <w:t>All four agents have completed their scoped review.</w:t>
      </w:r>
    </w:p>
    <w:p>
      <w:pPr>
        <w:pStyle w:val="ListBullet"/>
      </w:pPr>
      <w:r>
        <w:t>Every material conclusion has evidence or is explicitly marked as an assumption.</w:t>
      </w:r>
    </w:p>
    <w:p>
      <w:pPr>
        <w:pStyle w:val="ListBullet"/>
      </w:pPr>
      <w:r>
        <w:t>All critical/high findings have reproducible verification steps.</w:t>
      </w:r>
    </w:p>
    <w:p>
      <w:pPr>
        <w:pStyle w:val="ListBullet"/>
      </w:pPr>
      <w:r>
        <w:t>Authentication and cross-tenant authorization have been tested.</w:t>
      </w:r>
    </w:p>
    <w:p>
      <w:pPr>
        <w:pStyle w:val="ListBullet"/>
      </w:pPr>
      <w:r>
        <w:t>Dependency versions and lifecycle risks have been inventoried.</w:t>
      </w:r>
    </w:p>
    <w:p>
      <w:pPr>
        <w:pStyle w:val="ListBullet"/>
      </w:pPr>
      <w:r>
        <w:t>Data structures and formats have been mapped.</w:t>
      </w:r>
    </w:p>
    <w:p>
      <w:pPr>
        <w:pStyle w:val="ListBullet"/>
      </w:pPr>
      <w:r>
        <w:t>Deployment topology and hosting locations have been documented.</w:t>
      </w:r>
    </w:p>
    <w:p>
      <w:pPr>
        <w:pStyle w:val="ListBullet"/>
      </w:pPr>
      <w:r>
        <w:t>RTO/RPO assumptions have been documented and compared with actual backup/recovery measures.</w:t>
      </w:r>
    </w:p>
    <w:p>
      <w:pPr>
        <w:pStyle w:val="ListBullet"/>
      </w:pPr>
      <w:r>
        <w:t>Performance tests have been run in an authorized environment and bottlenecks identified.</w:t>
      </w:r>
    </w:p>
    <w:p>
      <w:pPr>
        <w:pStyle w:val="ListBullet"/>
      </w:pPr>
      <w:r>
        <w:t>Scalability behaviour under burst load has been documented.</w:t>
      </w:r>
    </w:p>
    <w:p>
      <w:pPr>
        <w:pStyle w:val="ListBullet"/>
      </w:pPr>
      <w:r>
        <w:t>Belgian VAT/invoicing and structured e-invoicing requirements have been mapped to implementation.</w:t>
      </w:r>
    </w:p>
    <w:p>
      <w:pPr>
        <w:pStyle w:val="ListBullet"/>
      </w:pPr>
      <w:r>
        <w:t>GDPR processing, cookies, subprocessors, retention and user rights have been mapped.</w:t>
      </w:r>
    </w:p>
    <w:p>
      <w:pPr>
        <w:pStyle w:val="ListBullet"/>
      </w:pPr>
      <w:r>
        <w:t>Quote/invoice/credit-note domain lifecycle has been reviewed.</w:t>
      </w:r>
    </w:p>
    <w:p>
      <w:pPr>
        <w:pStyle w:val="ListBullet"/>
      </w:pPr>
      <w:r>
        <w:t>PDF and structured document generation have been assessed against a common source-of-truth model.</w:t>
      </w:r>
    </w:p>
    <w:p>
      <w:pPr>
        <w:pStyle w:val="ListBullet"/>
      </w:pPr>
      <w:r>
        <w:t>A current-state and target-state architecture has been produced.</w:t>
      </w:r>
    </w:p>
    <w:p>
      <w:pPr>
        <w:pStyle w:val="ListBullet"/>
      </w:pPr>
      <w:r>
        <w:t>A P0/P1/P2 roadmap has been produced.</w:t>
      </w:r>
    </w:p>
    <w:p>
      <w:pPr>
        <w:pStyle w:val="ListBullet"/>
      </w:pPr>
      <w:r>
        <w:t>The audit is stored as a baseline that can be compared with future audits.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