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240"/>
      </w:pPr>
      <w:r>
        <w:rPr>
          <w:rFonts w:ascii="Noto Sans CJK SC" w:hAnsi="Noto Sans CJK SC" w:eastAsia="Noto Sans CJK SC"/>
          <w:b/>
          <w:color w:val="138A82"/>
          <w:sz w:val="36"/>
        </w:rPr>
        <w:t>MoBoBrain</w:t>
      </w:r>
    </w:p>
    <w:p>
      <w:pPr>
        <w:spacing w:after="160"/>
      </w:pPr>
      <w:r>
        <w:rPr>
          <w:rFonts w:ascii="Noto Sans CJK SC" w:hAnsi="Noto Sans CJK SC" w:eastAsia="Noto Sans CJK SC"/>
          <w:b/>
          <w:color w:val="142D4E"/>
          <w:sz w:val="58"/>
        </w:rPr>
        <w:t>云端知识库与个人数字档案</w:t>
      </w:r>
    </w:p>
    <w:p>
      <w:pPr>
        <w:spacing w:after="480"/>
      </w:pPr>
      <w:r>
        <w:rPr>
          <w:rFonts w:ascii="Noto Sans CJK SC" w:hAnsi="Noto Sans CJK SC" w:eastAsia="Noto Sans CJK SC"/>
          <w:color w:val="1769AA"/>
          <w:sz w:val="28"/>
        </w:rPr>
        <w:t>部署架构、X Subscription / Grok Bot 协作、成本预算与安全治理整合方案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38A82"/>
          </w:tcPr>
          <w:p>
            <w:r/>
          </w:p>
        </w:tc>
      </w:tr>
    </w:tbl>
    <w:p>
      <w:pPr>
        <w:spacing w:before="0" w:after="8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6F3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2" w:color="138A82"/>
              <w:bottom w:val="nil"/>
              <w:right w:val="nil"/>
            </w:tcBorders>
          </w:tcPr>
          <w:p>
            <w:pPr>
              <w:spacing w:before="0" w:after="80" w:line="264" w:lineRule="auto"/>
            </w:pPr>
            <w:r>
              <w:rPr>
                <w:rFonts w:ascii="Noto Sans CJK SC" w:hAnsi="Noto Sans CJK SC" w:eastAsia="Noto Sans CJK SC"/>
                <w:b/>
                <w:color w:val="138A82"/>
                <w:sz w:val="21"/>
              </w:rPr>
              <w:t>本方案的核心结论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203047"/>
                <w:sz w:val="19"/>
              </w:rPr>
              <w:t>两个网站应拥有独立的应用、权限和数据边界；网站运行与文件存储交由云基础设施，Grok Bot 用于辅助开发和内容自动化。取消本地硬盘可以减少一次性支出，但不等于取消云端备份成本。若把当前 X Subscription Super 也纳入 ¥2,400/年的总预算，整体预算将明显超出。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1769AA"/>
          <w:sz w:val="26"/>
        </w:rPr>
        <w:t>本文件覆盖范围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color w:val="203047"/>
          <w:sz w:val="20"/>
        </w:rPr>
        <w:t>双站点定位、功能边界与数据组织方式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color w:val="203047"/>
          <w:sz w:val="20"/>
        </w:rPr>
        <w:t>三套可选架构：传统云服务、纯 AI/第三方托管、X Subscription + 轻量云服务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color w:val="203047"/>
          <w:sz w:val="20"/>
        </w:rPr>
        <w:t>云服务器、OSS、域名、公网流量及 X Subscription 的年度成本模型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color w:val="203047"/>
          <w:sz w:val="20"/>
        </w:rPr>
        <w:t>中国大陆 ICP 备案、私有文件访问控制、备份与恢复策略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color w:val="203047"/>
          <w:sz w:val="20"/>
        </w:rPr>
        <w:t>部署顺序、阶段路线、风险清单及采购前核验项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color w:val="203047"/>
          <w:sz w:val="20"/>
        </w:rPr>
        <w:t>配套 HTML 仪表板：可调整存储量、下载流量、AI 套餐和汇率并动态重算</w:t>
      </w:r>
    </w:p>
    <w:p>
      <w:pPr>
        <w:spacing w:before="200" w:after="160" w:line="276" w:lineRule="auto"/>
      </w:pPr>
      <w:r>
        <w:rPr>
          <w:rFonts w:ascii="Noto Sans CJK SC" w:hAnsi="Noto Sans CJK SC" w:eastAsia="Noto Sans CJK SC"/>
          <w:b w:val="0"/>
          <w:i w:val="0"/>
          <w:color w:val="566579"/>
          <w:sz w:val="19"/>
        </w:rPr>
        <w:t>适用基线：两个独立网站；个人档案目标容量不超过 1TB；网站及文件以在线访问为主；部分内容公开，私人档案仅本人可见；此前提出中国大陆备案要求。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i/>
          <w:color w:val="566579"/>
          <w:sz w:val="18"/>
        </w:rPr>
        <w:t>方案版本：2026-10-20。价格与服务条款会变化，购买时以服务商控制台和官方价目页显示为准。</w:t>
      </w:r>
    </w:p>
    <w:p>
      <w:r>
        <w:br w:type="page"/>
      </w:r>
    </w:p>
    <w:p>
      <w:pPr>
        <w:spacing w:before="200" w:after="40" w:line="240" w:lineRule="auto"/>
      </w:pPr>
      <w:r>
        <w:rPr>
          <w:rFonts w:ascii="Noto Sans CJK SC" w:hAnsi="Noto Sans CJK SC" w:eastAsia="Noto Sans CJK SC"/>
          <w:b/>
          <w:color w:val="138A82"/>
          <w:sz w:val="34"/>
        </w:rPr>
        <w:t xml:space="preserve">01  </w:t>
      </w:r>
      <w:r>
        <w:rPr>
          <w:rFonts w:ascii="Noto Sans CJK SC" w:hAnsi="Noto Sans CJK SC" w:eastAsia="Noto Sans CJK SC"/>
          <w:b/>
          <w:color w:val="142D4E"/>
          <w:sz w:val="34"/>
        </w:rPr>
        <w:t>执行摘要与决策结论</w:t>
      </w:r>
    </w:p>
    <w:p>
      <w:pPr>
        <w:spacing w:before="0" w:after="140" w:line="276" w:lineRule="auto"/>
      </w:pPr>
      <w:r>
        <w:rPr>
          <w:rFonts w:ascii="Noto Sans CJK SC" w:hAnsi="Noto Sans CJK SC" w:eastAsia="Noto Sans CJK SC"/>
          <w:b w:val="0"/>
          <w:i w:val="0"/>
          <w:color w:val="566579"/>
          <w:sz w:val="18"/>
        </w:rPr>
        <w:t>先定数据和安全边界，再确定 AI 订阅；不要用 AI 订阅替代网站基础设施。</w:t>
      </w:r>
    </w:p>
    <w:p>
      <w:pPr>
        <w:pStyle w:val="Heading2"/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1769AA"/>
          <w:sz w:val="26"/>
        </w:rPr>
        <w:t>推荐决策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B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2" w:color="1769AA"/>
              <w:bottom w:val="nil"/>
              <w:right w:val="nil"/>
            </w:tcBorders>
          </w:tcPr>
          <w:p>
            <w:pPr>
              <w:spacing w:before="0" w:after="80" w:line="264" w:lineRule="auto"/>
            </w:pPr>
            <w:r>
              <w:rPr>
                <w:rFonts w:ascii="Noto Sans CJK SC" w:hAnsi="Noto Sans CJK SC" w:eastAsia="Noto Sans CJK SC"/>
                <w:b/>
                <w:color w:val="1769AA"/>
                <w:sz w:val="21"/>
              </w:rPr>
              <w:t>推荐路线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203047"/>
                <w:sz w:val="19"/>
              </w:rPr>
              <w:t>选择“方案三：X Subscription + 轻量云服务器 + OSS”的分阶段实施方法；从实际使用容量起步，而非第一天就按 1TB 预算。底层架构采用方案一的云端分离原则：两个网站独立运行、文件存 OSS、权限与备份独立治理。</w:t>
            </w:r>
          </w:p>
        </w:tc>
      </w:tr>
    </w:tbl>
    <w:p>
      <w:pPr>
        <w:spacing w:before="0" w:after="40" w:line="276" w:lineRule="auto"/>
      </w:pPr>
    </w:p>
    <w:p>
      <w:pPr>
        <w:pStyle w:val="Heading2"/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1769AA"/>
          <w:sz w:val="26"/>
        </w:rPr>
        <w:t>为什么这样选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color w:val="203047"/>
          <w:sz w:val="20"/>
        </w:rPr>
        <w:t>两站有不同的敏感等级与信息生命周期，应分开应用、账号权限和存储策略。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color w:val="203047"/>
          <w:sz w:val="20"/>
        </w:rPr>
        <w:t>文件容量和公网下载量决定了 OSS 费用；服务器活动价通常不是长期续费价格，必须单独核验。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color w:val="203047"/>
          <w:sz w:val="20"/>
        </w:rPr>
        <w:t>Grok Bot 可以辅助开发、改代码、处理内容与执行支持的任务，但并不提供可替代 OSS 的通用 1TB 文件库，也不能保证个人网站 24/7 托管。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color w:val="203047"/>
          <w:sz w:val="20"/>
        </w:rPr>
        <w:t>若 ¥2,400/年只覆盖网站基础设施，低流量和较低实际存储量下可能可行；若包括 X Subscription Premium 或 Super，则应单独增加 AI 订阅预算。</w:t>
      </w:r>
    </w:p>
    <w:p>
      <w:pPr>
        <w:pStyle w:val="Heading2"/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1769AA"/>
          <w:sz w:val="26"/>
        </w:rPr>
        <w:t>关键决策一览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584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决策项</w:t>
            </w:r>
          </w:p>
        </w:tc>
        <w:tc>
          <w:tcPr>
            <w:tcW w:type="dxa" w:w="3600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建议基线</w:t>
            </w:r>
          </w:p>
        </w:tc>
        <w:tc>
          <w:tcPr>
            <w:tcW w:type="dxa" w:w="5040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需要确认的条件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7"/>
              </w:rPr>
              <w:t>网站数量</w:t>
            </w:r>
          </w:p>
        </w:tc>
        <w:tc>
          <w:tcPr>
            <w:tcW w:type="dxa" w:w="36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7"/>
              </w:rPr>
              <w:t>两个独立网站、独立域名</w:t>
            </w:r>
          </w:p>
        </w:tc>
        <w:tc>
          <w:tcPr>
            <w:tcW w:type="dxa" w:w="50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7"/>
              </w:rPr>
              <w:t>是否确实需要两个不同域名；可同一服务器托管两个站点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7"/>
              </w:rPr>
              <w:t>文件存储</w:t>
            </w:r>
          </w:p>
        </w:tc>
        <w:tc>
          <w:tcPr>
            <w:tcW w:type="dxa" w:w="36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7"/>
              </w:rPr>
              <w:t>阿里云 OSS 标准存储，私有 Bucket</w:t>
            </w:r>
          </w:p>
        </w:tc>
        <w:tc>
          <w:tcPr>
            <w:tcW w:type="dxa" w:w="50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7"/>
              </w:rPr>
              <w:t>地区价格、请求费、出网流量费、资源包抵扣规则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7"/>
              </w:rPr>
              <w:t>服务器</w:t>
            </w:r>
          </w:p>
        </w:tc>
        <w:tc>
          <w:tcPr>
            <w:tcW w:type="dxa" w:w="36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7"/>
              </w:rPr>
              <w:t>先验证阿里云轻量应用服务器活动方案</w:t>
            </w:r>
          </w:p>
        </w:tc>
        <w:tc>
          <w:tcPr>
            <w:tcW w:type="dxa" w:w="50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7"/>
              </w:rPr>
              <w:t>¥199/年价格、实例配置、续费价、备案资格、地域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7"/>
              </w:rPr>
              <w:t>AI 订阅</w:t>
            </w:r>
          </w:p>
        </w:tc>
        <w:tc>
          <w:tcPr>
            <w:tcW w:type="dxa" w:w="36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7"/>
              </w:rPr>
              <w:t>按每周用量选择 Premium / Super</w:t>
            </w:r>
          </w:p>
        </w:tc>
        <w:tc>
          <w:tcPr>
            <w:tcW w:type="dxa" w:w="50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7"/>
              </w:rPr>
              <w:t>当前账户实际可订购的套餐、使用额度、税费和年付价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7"/>
              </w:rPr>
              <w:t>备份</w:t>
            </w:r>
          </w:p>
        </w:tc>
        <w:tc>
          <w:tcPr>
            <w:tcW w:type="dxa" w:w="36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7"/>
              </w:rPr>
              <w:t>至少配置独立云端备份副本</w:t>
            </w:r>
          </w:p>
        </w:tc>
        <w:tc>
          <w:tcPr>
            <w:tcW w:type="dxa" w:w="50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7"/>
              </w:rPr>
              <w:t>是否跨地域/跨账号；额外容量和请求成本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7"/>
              </w:rPr>
              <w:t>备案</w:t>
            </w:r>
          </w:p>
        </w:tc>
        <w:tc>
          <w:tcPr>
            <w:tcW w:type="dxa" w:w="36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7"/>
              </w:rPr>
              <w:t>如使用中国大陆服务器，按主体所在地管局规则办理 ICP</w:t>
            </w:r>
          </w:p>
        </w:tc>
        <w:tc>
          <w:tcPr>
            <w:tcW w:type="dxa" w:w="50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7"/>
              </w:rPr>
              <w:t>两个网站提交顺序、域名实名信息、备案资源资格</w:t>
            </w:r>
          </w:p>
        </w:tc>
      </w:tr>
    </w:tbl>
    <w:p>
      <w:pPr>
        <w:spacing w:before="0" w:after="0" w:line="276" w:lineRule="auto"/>
      </w:pPr>
    </w:p>
    <w:p>
      <w:pPr>
        <w:spacing w:before="200" w:after="40" w:line="240" w:lineRule="auto"/>
      </w:pPr>
      <w:r>
        <w:rPr>
          <w:rFonts w:ascii="Noto Sans CJK SC" w:hAnsi="Noto Sans CJK SC" w:eastAsia="Noto Sans CJK SC"/>
          <w:b/>
          <w:color w:val="138A82"/>
          <w:sz w:val="34"/>
        </w:rPr>
        <w:t xml:space="preserve">02  </w:t>
      </w:r>
      <w:r>
        <w:rPr>
          <w:rFonts w:ascii="Noto Sans CJK SC" w:hAnsi="Noto Sans CJK SC" w:eastAsia="Noto Sans CJK SC"/>
          <w:b/>
          <w:color w:val="142D4E"/>
          <w:sz w:val="34"/>
        </w:rPr>
        <w:t>项目目标与已知约束</w:t>
      </w:r>
    </w:p>
    <w:p>
      <w:pPr>
        <w:spacing w:before="0" w:after="140" w:line="276" w:lineRule="auto"/>
      </w:pPr>
      <w:r>
        <w:rPr>
          <w:rFonts w:ascii="Noto Sans CJK SC" w:hAnsi="Noto Sans CJK SC" w:eastAsia="Noto Sans CJK SC"/>
          <w:b w:val="0"/>
          <w:i w:val="0"/>
          <w:color w:val="566579"/>
          <w:sz w:val="18"/>
        </w:rPr>
        <w:t>区分已明确需求、规划假设和未定参数，避免在预算里混用。</w:t>
      </w:r>
    </w:p>
    <w:p>
      <w:pPr>
        <w:pStyle w:val="Heading2"/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1769AA"/>
          <w:sz w:val="26"/>
        </w:rPr>
        <w:t>已明确的需求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color w:val="203047"/>
          <w:sz w:val="20"/>
        </w:rPr>
        <w:t>网站 A：MoBoBrain 知识库系统，存放自媒体文章、财经研究、Markdown、PDF、图片、标签与版本信息，后续增加全文检索和 AI 检索。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color w:val="203047"/>
          <w:sz w:val="20"/>
        </w:rPr>
        <w:t>网站 B：个人数字档案系统，存放个人照片、视频、简历、私人文件、想法和时间线数据，未来探索数据可视化与计算型个人档案。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color w:val="203047"/>
          <w:sz w:val="20"/>
        </w:rPr>
        <w:t>两个网站必须逻辑隔离；部分内容公开，私人档案默认仅账号本人可访问。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color w:val="203047"/>
          <w:sz w:val="20"/>
        </w:rPr>
        <w:t>日常通过互联网访问、预览与下载文件；不把本地硬盘作为主存储。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color w:val="203047"/>
          <w:sz w:val="20"/>
        </w:rPr>
        <w:t>希望结合 X Subscription / Grok Bot 进行开发、内容整理、代码辅助与自动化。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color w:val="203047"/>
          <w:sz w:val="20"/>
        </w:rPr>
        <w:t>目标容量在 1TB 以内；早期实际使用容量尚未确定。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color w:val="203047"/>
          <w:sz w:val="20"/>
        </w:rPr>
        <w:t>曾提出约 ¥2,400/年的预算目标，并要求考虑中国大陆 ICP 备案。</w:t>
      </w:r>
    </w:p>
    <w:p>
      <w:pPr>
        <w:pStyle w:val="Heading2"/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1769AA"/>
          <w:sz w:val="26"/>
        </w:rPr>
        <w:t>目前仍待确认的参数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728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参数</w:t>
            </w:r>
          </w:p>
        </w:tc>
        <w:tc>
          <w:tcPr>
            <w:tcW w:type="dxa" w:w="3240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方案模型默认值</w:t>
            </w:r>
          </w:p>
        </w:tc>
        <w:tc>
          <w:tcPr>
            <w:tcW w:type="dxa" w:w="5328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对结果的影响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实际在线存储</w:t>
            </w:r>
          </w:p>
        </w:tc>
        <w:tc>
          <w:tcPr>
            <w:tcW w:type="dxa" w:w="32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可调整：100 / 300 / 500 / 1024GB</w:t>
            </w:r>
          </w:p>
        </w:tc>
        <w:tc>
          <w:tcPr>
            <w:tcW w:type="dxa" w:w="532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直接影响 OSS 存储成本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每月公网下载</w:t>
            </w:r>
          </w:p>
        </w:tc>
        <w:tc>
          <w:tcPr>
            <w:tcW w:type="dxa" w:w="32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可调整：20 / 50 / 100 / 300GB</w:t>
            </w:r>
          </w:p>
        </w:tc>
        <w:tc>
          <w:tcPr>
            <w:tcW w:type="dxa" w:w="532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影响 OSS 下行流量费，公开媒体越多越明显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X 套餐</w:t>
            </w:r>
          </w:p>
        </w:tc>
        <w:tc>
          <w:tcPr>
            <w:tcW w:type="dxa" w:w="32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Free / Plus / Premium / Super / Ultra</w:t>
            </w:r>
          </w:p>
        </w:tc>
        <w:tc>
          <w:tcPr>
            <w:tcW w:type="dxa" w:w="532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影响 Grok Bot、Cursor 权益和年度总支出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网站访客</w:t>
            </w:r>
          </w:p>
        </w:tc>
        <w:tc>
          <w:tcPr>
            <w:tcW w:type="dxa" w:w="32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小规模、个人使用为主</w:t>
            </w:r>
          </w:p>
        </w:tc>
        <w:tc>
          <w:tcPr>
            <w:tcW w:type="dxa" w:w="532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影响带宽、请求量、反爬与安全配置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部署地域</w:t>
            </w:r>
          </w:p>
        </w:tc>
        <w:tc>
          <w:tcPr>
            <w:tcW w:type="dxa" w:w="32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若必须大陆备案，优先选择合规的中国大陆节点</w:t>
            </w:r>
          </w:p>
        </w:tc>
        <w:tc>
          <w:tcPr>
            <w:tcW w:type="dxa" w:w="532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影响备案、访问延迟、流量价格与数据合规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备份副本</w:t>
            </w:r>
          </w:p>
        </w:tc>
        <w:tc>
          <w:tcPr>
            <w:tcW w:type="dxa" w:w="32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规划为云端独立副本，费用单列</w:t>
            </w:r>
          </w:p>
        </w:tc>
        <w:tc>
          <w:tcPr>
            <w:tcW w:type="dxa" w:w="532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决定误删、账号被盗和区域故障后的恢复能力</w:t>
            </w:r>
          </w:p>
        </w:tc>
      </w:tr>
    </w:tbl>
    <w:p>
      <w:pPr>
        <w:spacing w:before="0" w:after="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DF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2" w:color="A66A00"/>
              <w:bottom w:val="nil"/>
              <w:right w:val="nil"/>
            </w:tcBorders>
          </w:tcPr>
          <w:p>
            <w:pPr>
              <w:spacing w:before="0" w:after="80" w:line="264" w:lineRule="auto"/>
            </w:pPr>
            <w:r>
              <w:rPr>
                <w:rFonts w:ascii="Noto Sans CJK SC" w:hAnsi="Noto Sans CJK SC" w:eastAsia="Noto Sans CJK SC"/>
                <w:b/>
                <w:color w:val="A66A00"/>
                <w:sz w:val="21"/>
              </w:rPr>
              <w:t>预算口径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203047"/>
                <w:sz w:val="19"/>
              </w:rPr>
              <w:t>文中“约 ¥0.12/GB/月 OSS 标准存储”“下载流量约 ¥0.25–0.50/GB”“轻量服务器约 ¥199/年”“两个域名约 ¥100–180/年”均是用于模型比较的参考值，并不构成当前购买报价。实际地域、存储冗余、资源包、流量计费方式及活动资格均可能改变账单。</w:t>
            </w:r>
          </w:p>
        </w:tc>
      </w:tr>
    </w:tbl>
    <w:p>
      <w:pPr>
        <w:spacing w:before="0" w:after="40" w:line="276" w:lineRule="auto"/>
      </w:pPr>
    </w:p>
    <w:p>
      <w:pPr>
        <w:spacing w:before="200" w:after="40" w:line="240" w:lineRule="auto"/>
      </w:pPr>
      <w:r>
        <w:rPr>
          <w:rFonts w:ascii="Noto Sans CJK SC" w:hAnsi="Noto Sans CJK SC" w:eastAsia="Noto Sans CJK SC"/>
          <w:b/>
          <w:color w:val="138A82"/>
          <w:sz w:val="34"/>
        </w:rPr>
        <w:t xml:space="preserve">03  </w:t>
      </w:r>
      <w:r>
        <w:rPr>
          <w:rFonts w:ascii="Noto Sans CJK SC" w:hAnsi="Noto Sans CJK SC" w:eastAsia="Noto Sans CJK SC"/>
          <w:b/>
          <w:color w:val="142D4E"/>
          <w:sz w:val="34"/>
        </w:rPr>
        <w:t>整体架构设计</w:t>
      </w:r>
    </w:p>
    <w:p>
      <w:pPr>
        <w:spacing w:before="0" w:after="140" w:line="276" w:lineRule="auto"/>
      </w:pPr>
      <w:r>
        <w:rPr>
          <w:rFonts w:ascii="Noto Sans CJK SC" w:hAnsi="Noto Sans CJK SC" w:eastAsia="Noto Sans CJK SC"/>
          <w:b w:val="0"/>
          <w:i w:val="0"/>
          <w:color w:val="566579"/>
          <w:sz w:val="18"/>
        </w:rPr>
        <w:t>让 AI 层、应用层、文件层、数据索引层与备份层各司其职。</w:t>
      </w:r>
    </w:p>
    <w:p>
      <w:pPr>
        <w:pStyle w:val="Heading2"/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1769AA"/>
          <w:sz w:val="26"/>
        </w:rPr>
        <w:t>推荐逻辑架构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224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层级</w:t>
            </w:r>
          </w:p>
        </w:tc>
        <w:tc>
          <w:tcPr>
            <w:tcW w:type="dxa" w:w="2232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组件</w:t>
            </w:r>
          </w:p>
        </w:tc>
        <w:tc>
          <w:tcPr>
            <w:tcW w:type="dxa" w:w="3816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职责</w:t>
            </w:r>
          </w:p>
        </w:tc>
        <w:tc>
          <w:tcPr>
            <w:tcW w:type="dxa" w:w="3024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重要边界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AI 工作层</w:t>
            </w:r>
          </w:p>
        </w:tc>
        <w:tc>
          <w:tcPr>
            <w:tcW w:type="dxa" w:w="223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X Subscription / Grok Bot；必要时使用 Hermes Agent + 飞书 + GitHub 既有工作流</w:t>
            </w:r>
          </w:p>
        </w:tc>
        <w:tc>
          <w:tcPr>
            <w:tcW w:type="dxa" w:w="38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协助写代码、文档结构化、内容整理、生成脚本与处理任务</w:t>
            </w:r>
          </w:p>
        </w:tc>
        <w:tc>
          <w:tcPr>
            <w:tcW w:type="dxa" w:w="302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订阅额度不等于 API 额度；仅在支持的权限和接口范围内自动执行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应用层</w:t>
            </w:r>
          </w:p>
        </w:tc>
        <w:tc>
          <w:tcPr>
            <w:tcW w:type="dxa" w:w="223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一台符合备案条件的轻量云服务器；反向代理 / HTTPS</w:t>
            </w:r>
          </w:p>
        </w:tc>
        <w:tc>
          <w:tcPr>
            <w:tcW w:type="dxa" w:w="38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托管两个站点的应用、登录、元数据 API、后台任务</w:t>
            </w:r>
          </w:p>
        </w:tc>
        <w:tc>
          <w:tcPr>
            <w:tcW w:type="dxa" w:w="302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两个站点用独立进程/容器、配置、账号和日志；不把文件直接存系统盘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网站 A</w:t>
            </w:r>
          </w:p>
        </w:tc>
        <w:tc>
          <w:tcPr>
            <w:tcW w:type="dxa" w:w="223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MoBoBrain 知识库</w:t>
            </w:r>
          </w:p>
        </w:tc>
        <w:tc>
          <w:tcPr>
            <w:tcW w:type="dxa" w:w="38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文章、研究文件、标签、版本、搜索索引、AI 检索入口</w:t>
            </w:r>
          </w:p>
        </w:tc>
        <w:tc>
          <w:tcPr>
            <w:tcW w:type="dxa" w:w="302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公开文章与内部研究资料分级；防止私人研究内容误公开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网站 B</w:t>
            </w:r>
          </w:p>
        </w:tc>
        <w:tc>
          <w:tcPr>
            <w:tcW w:type="dxa" w:w="223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个人数字档案</w:t>
            </w:r>
          </w:p>
        </w:tc>
        <w:tc>
          <w:tcPr>
            <w:tcW w:type="dxa" w:w="38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照片、视频、简历、私人文档、时间线和个人数据可视化</w:t>
            </w:r>
          </w:p>
        </w:tc>
        <w:tc>
          <w:tcPr>
            <w:tcW w:type="dxa" w:w="302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默认私有；敏感文件可上传前客户端加密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文件层</w:t>
            </w:r>
          </w:p>
        </w:tc>
        <w:tc>
          <w:tcPr>
            <w:tcW w:type="dxa" w:w="223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OSS 对象存储</w:t>
            </w:r>
          </w:p>
        </w:tc>
        <w:tc>
          <w:tcPr>
            <w:tcW w:type="dxa" w:w="38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持久化存放原始文件、缩略图和导出文件</w:t>
            </w:r>
          </w:p>
        </w:tc>
        <w:tc>
          <w:tcPr>
            <w:tcW w:type="dxa" w:w="302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Bucket 默认私有；应用生成短时签名 URL；禁止前端暴露长期密钥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索引层</w:t>
            </w:r>
          </w:p>
        </w:tc>
        <w:tc>
          <w:tcPr>
            <w:tcW w:type="dxa" w:w="223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数据库 + 文件元数据；按需增加全文搜索服务</w:t>
            </w:r>
          </w:p>
        </w:tc>
        <w:tc>
          <w:tcPr>
            <w:tcW w:type="dxa" w:w="38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保存文件名、类别、标签、权限、对象 Key、版本与检索信息</w:t>
            </w:r>
          </w:p>
        </w:tc>
        <w:tc>
          <w:tcPr>
            <w:tcW w:type="dxa" w:w="302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数据库备份与对象文件备份要分别验证可恢复性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备份层</w:t>
            </w:r>
          </w:p>
        </w:tc>
        <w:tc>
          <w:tcPr>
            <w:tcW w:type="dxa" w:w="223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独立账号/地域/存储桶备份；版本保留与恢复测试</w:t>
            </w:r>
          </w:p>
        </w:tc>
        <w:tc>
          <w:tcPr>
            <w:tcW w:type="dxa" w:w="38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抵御误删、应用故障、账号被盗与单一区域故障</w:t>
            </w:r>
          </w:p>
        </w:tc>
        <w:tc>
          <w:tcPr>
            <w:tcW w:type="dxa" w:w="302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同一账号里的另一目录不等于强隔离备份；备份费用应列入预算</w:t>
            </w:r>
          </w:p>
        </w:tc>
      </w:tr>
    </w:tbl>
    <w:p>
      <w:pPr>
        <w:spacing w:before="0" w:after="0" w:line="276" w:lineRule="auto"/>
      </w:pPr>
    </w:p>
    <w:p>
      <w:pPr>
        <w:pStyle w:val="Heading2"/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1769AA"/>
          <w:sz w:val="26"/>
        </w:rPr>
        <w:t>双网站部署原则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color w:val="203047"/>
          <w:sz w:val="20"/>
        </w:rPr>
        <w:t>域名、应用配置、数据库访问凭证、管理员账号与日志分开；在同一台主机上共用硬件不代表共用权限。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color w:val="203047"/>
          <w:sz w:val="20"/>
        </w:rPr>
        <w:t>知识库的公开内容可由网站服务器/API 发布；私人档案的对象文件直接在私有 OSS 中保存，应用鉴权通过后再签发短时访问链接。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color w:val="203047"/>
          <w:sz w:val="20"/>
        </w:rPr>
        <w:t>图片和视频不要经由应用服务器长期中转全部流量；优先采用权限验证后由客户端直连 OSS 的受控下载方式，以降低应用服务器负担。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color w:val="203047"/>
          <w:sz w:val="20"/>
        </w:rPr>
        <w:t>数据库记录文件元数据和对象位置；文件本体放 OSS。搜索索引可从元数据与正文重新生成，必须保留原始文件与可重建流程。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color w:val="203047"/>
          <w:sz w:val="20"/>
        </w:rPr>
        <w:t>在单机资源不足时，先拆分数据库/搜索或对象处理任务，再考虑增加第二台服务器；不要一开始就过度复杂化。</w:t>
      </w:r>
    </w:p>
    <w:p>
      <w:pPr>
        <w:spacing w:before="200" w:after="40" w:line="240" w:lineRule="auto"/>
      </w:pPr>
      <w:r>
        <w:rPr>
          <w:rFonts w:ascii="Noto Sans CJK SC" w:hAnsi="Noto Sans CJK SC" w:eastAsia="Noto Sans CJK SC"/>
          <w:b/>
          <w:color w:val="138A82"/>
          <w:sz w:val="34"/>
        </w:rPr>
        <w:t xml:space="preserve">04  </w:t>
      </w:r>
      <w:r>
        <w:rPr>
          <w:rFonts w:ascii="Noto Sans CJK SC" w:hAnsi="Noto Sans CJK SC" w:eastAsia="Noto Sans CJK SC"/>
          <w:b/>
          <w:color w:val="142D4E"/>
          <w:sz w:val="34"/>
        </w:rPr>
        <w:t>双网站功能与数据模型</w:t>
      </w:r>
    </w:p>
    <w:p>
      <w:pPr>
        <w:spacing w:before="0" w:after="140" w:line="276" w:lineRule="auto"/>
      </w:pPr>
      <w:r>
        <w:rPr>
          <w:rFonts w:ascii="Noto Sans CJK SC" w:hAnsi="Noto Sans CJK SC" w:eastAsia="Noto Sans CJK SC"/>
          <w:b w:val="0"/>
          <w:i w:val="0"/>
          <w:color w:val="566579"/>
          <w:sz w:val="18"/>
        </w:rPr>
        <w:t>网站 A 偏研究知识资产；网站 B 偏个人档案与高敏感数据。</w:t>
      </w:r>
    </w:p>
    <w:p>
      <w:pPr>
        <w:pStyle w:val="Heading2"/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1769AA"/>
          <w:sz w:val="26"/>
        </w:rPr>
        <w:t>网站 A：MoBoBrain 知识库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584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功能模块</w:t>
            </w:r>
          </w:p>
        </w:tc>
        <w:tc>
          <w:tcPr>
            <w:tcW w:type="dxa" w:w="3888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首期范围</w:t>
            </w:r>
          </w:p>
        </w:tc>
        <w:tc>
          <w:tcPr>
            <w:tcW w:type="dxa" w:w="4752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后续扩展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内容库</w:t>
            </w:r>
          </w:p>
        </w:tc>
        <w:tc>
          <w:tcPr>
            <w:tcW w:type="dxa" w:w="388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文章、Markdown、PDF、图片、文档上传/下载</w:t>
            </w:r>
          </w:p>
        </w:tc>
        <w:tc>
          <w:tcPr>
            <w:tcW w:type="dxa" w:w="475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批量导入、版本差异、文档预览与转码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信息组织</w:t>
            </w:r>
          </w:p>
        </w:tc>
        <w:tc>
          <w:tcPr>
            <w:tcW w:type="dxa" w:w="388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标签、分类、来源、创建/更新时间、状态</w:t>
            </w:r>
          </w:p>
        </w:tc>
        <w:tc>
          <w:tcPr>
            <w:tcW w:type="dxa" w:w="475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主题树、跨文档关联、研究项目空间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检索</w:t>
            </w:r>
          </w:p>
        </w:tc>
        <w:tc>
          <w:tcPr>
            <w:tcW w:type="dxa" w:w="388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文件名、标签、元数据；根据资源情况启用全文检索</w:t>
            </w:r>
          </w:p>
        </w:tc>
        <w:tc>
          <w:tcPr>
            <w:tcW w:type="dxa" w:w="475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语义向量检索、引用片段、AI 问答检索增强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发布控制</w:t>
            </w:r>
          </w:p>
        </w:tc>
        <w:tc>
          <w:tcPr>
            <w:tcW w:type="dxa" w:w="388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公开、登录后可见、仅管理员可见三类级别</w:t>
            </w:r>
          </w:p>
        </w:tc>
        <w:tc>
          <w:tcPr>
            <w:tcW w:type="dxa" w:w="475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稿件审校、发布版本、敏感信息检查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自动化</w:t>
            </w:r>
          </w:p>
        </w:tc>
        <w:tc>
          <w:tcPr>
            <w:tcW w:type="dxa" w:w="388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Grok Bot 辅助生成摘要、标题、目录、格式转换脚本</w:t>
            </w:r>
          </w:p>
        </w:tc>
        <w:tc>
          <w:tcPr>
            <w:tcW w:type="dxa" w:w="475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与 Hermes Agent / 飞书 / GitHub 既有流程串联</w:t>
            </w:r>
          </w:p>
        </w:tc>
      </w:tr>
    </w:tbl>
    <w:p>
      <w:pPr>
        <w:spacing w:before="0" w:after="0" w:line="276" w:lineRule="auto"/>
      </w:pPr>
    </w:p>
    <w:p>
      <w:pPr>
        <w:pStyle w:val="Heading2"/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1769AA"/>
          <w:sz w:val="26"/>
        </w:rPr>
        <w:t>网站 B：个人数字档案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584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功能模块</w:t>
            </w:r>
          </w:p>
        </w:tc>
        <w:tc>
          <w:tcPr>
            <w:tcW w:type="dxa" w:w="3888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首期范围</w:t>
            </w:r>
          </w:p>
        </w:tc>
        <w:tc>
          <w:tcPr>
            <w:tcW w:type="dxa" w:w="4752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后续扩展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媒体资产</w:t>
            </w:r>
          </w:p>
        </w:tc>
        <w:tc>
          <w:tcPr>
            <w:tcW w:type="dxa" w:w="388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照片、视频、PDF、Office 文档、简历上传和在线预览</w:t>
            </w:r>
          </w:p>
        </w:tc>
        <w:tc>
          <w:tcPr>
            <w:tcW w:type="dxa" w:w="475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缩略图、视频转码、EXIF/时间地点元数据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时间线</w:t>
            </w:r>
          </w:p>
        </w:tc>
        <w:tc>
          <w:tcPr>
            <w:tcW w:type="dxa" w:w="388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按创建日期、事件日期、类别浏览</w:t>
            </w:r>
          </w:p>
        </w:tc>
        <w:tc>
          <w:tcPr>
            <w:tcW w:type="dxa" w:w="475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可视化人生时间线、事件地图与统计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个人数据</w:t>
            </w:r>
          </w:p>
        </w:tc>
        <w:tc>
          <w:tcPr>
            <w:tcW w:type="dxa" w:w="388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结构化记录、想法、日记或项目笔记</w:t>
            </w:r>
          </w:p>
        </w:tc>
        <w:tc>
          <w:tcPr>
            <w:tcW w:type="dxa" w:w="475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统计图、关系图、数据计算与自定义查询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权限</w:t>
            </w:r>
          </w:p>
        </w:tc>
        <w:tc>
          <w:tcPr>
            <w:tcW w:type="dxa" w:w="388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仅本人登录可访问，公开分享需要显式操作</w:t>
            </w:r>
          </w:p>
        </w:tc>
        <w:tc>
          <w:tcPr>
            <w:tcW w:type="dxa" w:w="475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分享链接时效、下载水印、审计日志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检索</w:t>
            </w:r>
          </w:p>
        </w:tc>
        <w:tc>
          <w:tcPr>
            <w:tcW w:type="dxa" w:w="388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文件名、日期、类型、标签和关键词</w:t>
            </w:r>
          </w:p>
        </w:tc>
        <w:tc>
          <w:tcPr>
            <w:tcW w:type="dxa" w:w="475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OCR/语音转写/向量检索需评估额外隐私与费用</w:t>
            </w:r>
          </w:p>
        </w:tc>
      </w:tr>
    </w:tbl>
    <w:p>
      <w:pPr>
        <w:spacing w:before="0" w:after="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BE9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2" w:color="B5362D"/>
              <w:bottom w:val="nil"/>
              <w:right w:val="nil"/>
            </w:tcBorders>
          </w:tcPr>
          <w:p>
            <w:pPr>
              <w:spacing w:before="0" w:after="80" w:line="264" w:lineRule="auto"/>
            </w:pPr>
            <w:r>
              <w:rPr>
                <w:rFonts w:ascii="Noto Sans CJK SC" w:hAnsi="Noto Sans CJK SC" w:eastAsia="Noto Sans CJK SC"/>
                <w:b/>
                <w:color w:val="B5362D"/>
                <w:sz w:val="21"/>
              </w:rPr>
              <w:t>敏感数据原则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203047"/>
                <w:sz w:val="19"/>
              </w:rPr>
              <w:t>私人照片、个人证件、完整简历、财务资料或其他敏感文件，不应因为“网站有密码”就默认安全。要落实服务端授权、私有存储、短时签名链接、强认证、访问日志和备份隔离；极敏感文件可在上传前客户端加密，密钥独立保存。</w:t>
            </w:r>
          </w:p>
        </w:tc>
      </w:tr>
    </w:tbl>
    <w:p>
      <w:pPr>
        <w:spacing w:before="0" w:after="40" w:line="276" w:lineRule="auto"/>
      </w:pPr>
    </w:p>
    <w:p>
      <w:pPr>
        <w:spacing w:before="200" w:after="40" w:line="240" w:lineRule="auto"/>
      </w:pPr>
      <w:r>
        <w:rPr>
          <w:rFonts w:ascii="Noto Sans CJK SC" w:hAnsi="Noto Sans CJK SC" w:eastAsia="Noto Sans CJK SC"/>
          <w:b/>
          <w:color w:val="138A82"/>
          <w:sz w:val="34"/>
        </w:rPr>
        <w:t xml:space="preserve">05  </w:t>
      </w:r>
      <w:r>
        <w:rPr>
          <w:rFonts w:ascii="Noto Sans CJK SC" w:hAnsi="Noto Sans CJK SC" w:eastAsia="Noto Sans CJK SC"/>
          <w:b/>
          <w:color w:val="142D4E"/>
          <w:sz w:val="34"/>
        </w:rPr>
        <w:t>三套方案比较与推荐</w:t>
      </w:r>
    </w:p>
    <w:p>
      <w:pPr>
        <w:spacing w:before="0" w:after="140" w:line="276" w:lineRule="auto"/>
      </w:pPr>
      <w:r>
        <w:rPr>
          <w:rFonts w:ascii="Noto Sans CJK SC" w:hAnsi="Noto Sans CJK SC" w:eastAsia="Noto Sans CJK SC"/>
          <w:b w:val="0"/>
          <w:i w:val="0"/>
          <w:color w:val="566579"/>
          <w:sz w:val="18"/>
        </w:rPr>
        <w:t>方案按“数据控制力、运行独立性、预算和可扩展性”评估。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512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</w:t>
            </w:r>
          </w:p>
        </w:tc>
        <w:tc>
          <w:tcPr>
            <w:tcW w:type="dxa" w:w="2952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方案一：传统云服务</w:t>
            </w:r>
          </w:p>
        </w:tc>
        <w:tc>
          <w:tcPr>
            <w:tcW w:type="dxa" w:w="2952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方案二：纯 X / Grok + 第三方托管</w:t>
            </w:r>
          </w:p>
        </w:tc>
        <w:tc>
          <w:tcPr>
            <w:tcW w:type="dxa" w:w="2952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方案三：X + 轻量云 + OSS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核心构成</w:t>
            </w:r>
          </w:p>
        </w:tc>
        <w:tc>
          <w:tcPr>
            <w:tcW w:type="dxa" w:w="295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服务器 + OSS + 两个域名 + AI 可选</w:t>
            </w:r>
          </w:p>
        </w:tc>
        <w:tc>
          <w:tcPr>
            <w:tcW w:type="dxa" w:w="295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AI 订阅 + 第三方静态托管/轻量平台</w:t>
            </w:r>
          </w:p>
        </w:tc>
        <w:tc>
          <w:tcPr>
            <w:tcW w:type="dxa" w:w="295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AI 订阅 + 云服务器 + OSS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网站运行</w:t>
            </w:r>
          </w:p>
        </w:tc>
        <w:tc>
          <w:tcPr>
            <w:tcW w:type="dxa" w:w="295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可持续运行，基础设施可控</w:t>
            </w:r>
          </w:p>
        </w:tc>
        <w:tc>
          <w:tcPr>
            <w:tcW w:type="dxa" w:w="295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依赖第三方托管限制和平台策略</w:t>
            </w:r>
          </w:p>
        </w:tc>
        <w:tc>
          <w:tcPr>
            <w:tcW w:type="dxa" w:w="295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可持续运行，基础设施可控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1TB 文件管理</w:t>
            </w:r>
          </w:p>
        </w:tc>
        <w:tc>
          <w:tcPr>
            <w:tcW w:type="dxa" w:w="295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适合，容量和流量另计</w:t>
            </w:r>
          </w:p>
        </w:tc>
        <w:tc>
          <w:tcPr>
            <w:tcW w:type="dxa" w:w="295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不适合作为长期私人档案主存储</w:t>
            </w:r>
          </w:p>
        </w:tc>
        <w:tc>
          <w:tcPr>
            <w:tcW w:type="dxa" w:w="295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适合，分阶段扩容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隐私与权限</w:t>
            </w:r>
          </w:p>
        </w:tc>
        <w:tc>
          <w:tcPr>
            <w:tcW w:type="dxa" w:w="295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可按自身要求设计</w:t>
            </w:r>
          </w:p>
        </w:tc>
        <w:tc>
          <w:tcPr>
            <w:tcW w:type="dxa" w:w="295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依赖平台能力，私有媒体架构受限</w:t>
            </w:r>
          </w:p>
        </w:tc>
        <w:tc>
          <w:tcPr>
            <w:tcW w:type="dxa" w:w="295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可按自身要求设计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初期复杂度</w:t>
            </w:r>
          </w:p>
        </w:tc>
        <w:tc>
          <w:tcPr>
            <w:tcW w:type="dxa" w:w="295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中等</w:t>
            </w:r>
          </w:p>
        </w:tc>
        <w:tc>
          <w:tcPr>
            <w:tcW w:type="dxa" w:w="295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低至中等</w:t>
            </w:r>
          </w:p>
        </w:tc>
        <w:tc>
          <w:tcPr>
            <w:tcW w:type="dxa" w:w="295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中等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固定成本</w:t>
            </w:r>
          </w:p>
        </w:tc>
        <w:tc>
          <w:tcPr>
            <w:tcW w:type="dxa" w:w="295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云资源费 + 域名；AI 可选</w:t>
            </w:r>
          </w:p>
        </w:tc>
        <w:tc>
          <w:tcPr>
            <w:tcW w:type="dxa" w:w="295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AI 订阅 + 可能的第三方服务费</w:t>
            </w:r>
          </w:p>
        </w:tc>
        <w:tc>
          <w:tcPr>
            <w:tcW w:type="dxa" w:w="295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云资源费 + 域名 + AI 订阅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适配判断</w:t>
            </w:r>
          </w:p>
        </w:tc>
        <w:tc>
          <w:tcPr>
            <w:tcW w:type="dxa" w:w="295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数据控制与长期独立运行优先时最佳</w:t>
            </w:r>
          </w:p>
        </w:tc>
        <w:tc>
          <w:tcPr>
            <w:tcW w:type="dxa" w:w="295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仅做静态展示、公开内容或概念验证</w:t>
            </w:r>
          </w:p>
        </w:tc>
        <w:tc>
          <w:tcPr>
            <w:tcW w:type="dxa" w:w="295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希望利用 Grok 提效，又要保留数据和网站控制权时更均衡</w:t>
            </w:r>
          </w:p>
        </w:tc>
      </w:tr>
    </w:tbl>
    <w:p>
      <w:pPr>
        <w:spacing w:before="0" w:after="0" w:line="276" w:lineRule="auto"/>
      </w:pPr>
    </w:p>
    <w:p>
      <w:pPr>
        <w:pStyle w:val="Heading2"/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1769AA"/>
          <w:sz w:val="26"/>
        </w:rPr>
        <w:t>方案一：传统云服务方案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i w:val="0"/>
          <w:color w:val="203047"/>
          <w:sz w:val="19"/>
        </w:rPr>
        <w:t>阿里云轻量应用服务器（前提是核实活动价和备案资格）运行两个独立网站；OSS 按实际容量保存文件；两个域名各自解析至应用；AI 订阅不是网站运行的前置条件。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color w:val="203047"/>
          <w:sz w:val="19"/>
        </w:rPr>
        <w:t>优势：网站和文件系统可独立控制，长期结构清晰，便于扩大容量和替换模型。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color w:val="203047"/>
          <w:sz w:val="19"/>
        </w:rPr>
        <w:t>劣势：需要自行维护操作系统、Web 服务、认证、补丁、备份和监控；大流量下 OSS 出网费用可能超预算。</w:t>
      </w:r>
    </w:p>
    <w:p>
      <w:pPr>
        <w:pStyle w:val="Heading2"/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1769AA"/>
          <w:sz w:val="26"/>
        </w:rPr>
        <w:t>方案二：纯 X Subscription / Grok Bot + 第三方托管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i w:val="0"/>
          <w:color w:val="203047"/>
          <w:sz w:val="19"/>
        </w:rPr>
        <w:t>AI 负责开发和内容操作，网站部署在第三方静态托管或受限免费/低价托管平台。此模式适合个人主页、公开文章、展示型页面和初期原型。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color w:val="203047"/>
          <w:sz w:val="19"/>
        </w:rPr>
        <w:t>优势：部署简单，服务器维护负担低，可快速验证网站信息架构。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color w:val="203047"/>
          <w:sz w:val="19"/>
        </w:rPr>
        <w:t>限制：通常不能仅依靠 X 订阅取得 1TB 私有媒体存储、私人文件授权系统和完整备份；两个站点的数据生命周期仍要由外部服务承担。</w:t>
      </w:r>
    </w:p>
    <w:p>
      <w:pPr>
        <w:pStyle w:val="Heading2"/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1769AA"/>
          <w:sz w:val="26"/>
        </w:rPr>
        <w:t>方案三：X + 轻量云 + OSS（推荐分阶段路线）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i w:val="0"/>
          <w:color w:val="203047"/>
          <w:sz w:val="19"/>
        </w:rPr>
        <w:t>采用与方案一相同的云端控制原则，但按实际使用容量启动：先用较小 OSS 容量和轻量服务器完成 MVP；记录 30 天容量和流量，再扩到 300GB、500GB 或 1TB。Grok Bot 做开发辅助与内容处理，避免让 AI 订阅承担基础设施职责。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color w:val="203047"/>
          <w:sz w:val="19"/>
        </w:rPr>
        <w:t>优势：成本阶段化，保留两网站独立运行和长期扩展能力。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color w:val="203047"/>
          <w:sz w:val="19"/>
        </w:rPr>
        <w:t>风险：需要对访问量、备份、权限和费用设置监控，且 AI 订阅是额外预算。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6F3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2" w:color="138A82"/>
              <w:bottom w:val="nil"/>
              <w:right w:val="nil"/>
            </w:tcBorders>
          </w:tcPr>
          <w:p>
            <w:pPr>
              <w:spacing w:before="0" w:after="80" w:line="264" w:lineRule="auto"/>
            </w:pPr>
            <w:r>
              <w:rPr>
                <w:rFonts w:ascii="Noto Sans CJK SC" w:hAnsi="Noto Sans CJK SC" w:eastAsia="Noto Sans CJK SC"/>
                <w:b/>
                <w:color w:val="138A82"/>
                <w:sz w:val="21"/>
              </w:rPr>
              <w:t>综合判断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203047"/>
                <w:sz w:val="19"/>
              </w:rPr>
              <w:t>如果长期保存私人照片、视频和文档是确定需求，方案二不适合作为最终架构。建议选择方案三作为实施路线，以方案一作为基础架构标准；按实际用量启动，避免一开始就为 1TB 预付费。</w:t>
            </w:r>
          </w:p>
        </w:tc>
      </w:tr>
    </w:tbl>
    <w:p>
      <w:pPr>
        <w:spacing w:before="0" w:after="40" w:line="276" w:lineRule="auto"/>
      </w:pPr>
    </w:p>
    <w:p>
      <w:pPr>
        <w:spacing w:before="200" w:after="40" w:line="240" w:lineRule="auto"/>
      </w:pPr>
      <w:r>
        <w:rPr>
          <w:rFonts w:ascii="Noto Sans CJK SC" w:hAnsi="Noto Sans CJK SC" w:eastAsia="Noto Sans CJK SC"/>
          <w:b/>
          <w:color w:val="138A82"/>
          <w:sz w:val="34"/>
        </w:rPr>
        <w:t xml:space="preserve">06  </w:t>
      </w:r>
      <w:r>
        <w:rPr>
          <w:rFonts w:ascii="Noto Sans CJK SC" w:hAnsi="Noto Sans CJK SC" w:eastAsia="Noto Sans CJK SC"/>
          <w:b/>
          <w:color w:val="142D4E"/>
          <w:sz w:val="34"/>
        </w:rPr>
        <w:t>X Subscription / Grok Bot 的角色与订阅预算</w:t>
      </w:r>
    </w:p>
    <w:p>
      <w:pPr>
        <w:spacing w:before="0" w:after="140" w:line="276" w:lineRule="auto"/>
      </w:pPr>
      <w:r>
        <w:rPr>
          <w:rFonts w:ascii="Noto Sans CJK SC" w:hAnsi="Noto Sans CJK SC" w:eastAsia="Noto Sans CJK SC"/>
          <w:b w:val="0"/>
          <w:i w:val="0"/>
          <w:color w:val="566579"/>
          <w:sz w:val="18"/>
        </w:rPr>
        <w:t>按 2026-10-11 的官方 X Subscription 定价页面整理；以账号页面和结账页为准。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i w:val="0"/>
          <w:color w:val="203047"/>
          <w:sz w:val="19"/>
        </w:rPr>
        <w:t>官方新 X Subscription 将 X、Grok、Grok Bot 与 Cursor 整合到同一订阅体系。当前官方定价页区分 Plus、Premium、Super、Ultra 等档位；已有的旧 SuperGrok、Cursor 或 X Premium 订阅可以继续保留，是否切换是独立决策。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/>
        </w:trPr>
        <w:tc>
          <w:tcPr>
            <w:tcW w:type="dxa" w:w="1296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套餐</w:t>
            </w:r>
          </w:p>
        </w:tc>
        <w:tc>
          <w:tcPr>
            <w:tcW w:type="dxa" w:w="1584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月付标价</w:t>
            </w:r>
          </w:p>
        </w:tc>
        <w:tc>
          <w:tcPr>
            <w:tcW w:type="dxa" w:w="1656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年付标价</w:t>
            </w:r>
          </w:p>
        </w:tc>
        <w:tc>
          <w:tcPr>
            <w:tcW w:type="dxa" w:w="1728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Grok Bot</w:t>
            </w:r>
          </w:p>
        </w:tc>
        <w:tc>
          <w:tcPr>
            <w:tcW w:type="dxa" w:w="4032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使用额度说明</w:t>
            </w:r>
          </w:p>
        </w:tc>
      </w:tr>
      <w:tr>
        <w:trPr>
          <w:cantSplit/>
        </w:trPr>
        <w:tc>
          <w:tcPr>
            <w:tcW w:type="dxa" w:w="12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Free</w:t>
            </w:r>
          </w:p>
        </w:tc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US$0</w:t>
            </w:r>
          </w:p>
        </w:tc>
        <w:tc>
          <w:tcPr>
            <w:tcW w:type="dxa" w:w="165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US$0</w:t>
            </w:r>
          </w:p>
        </w:tc>
        <w:tc>
          <w:tcPr>
            <w:tcW w:type="dxa" w:w="172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不含付费版 Grok Bot 权益</w:t>
            </w:r>
          </w:p>
        </w:tc>
        <w:tc>
          <w:tcPr>
            <w:tcW w:type="dxa" w:w="403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有限</w:t>
            </w:r>
          </w:p>
        </w:tc>
      </w:tr>
      <w:tr>
        <w:trPr>
          <w:cantSplit/>
        </w:trPr>
        <w:tc>
          <w:tcPr>
            <w:tcW w:type="dxa" w:w="12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Plus</w:t>
            </w:r>
          </w:p>
        </w:tc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US$8/月</w:t>
            </w:r>
          </w:p>
        </w:tc>
        <w:tc>
          <w:tcPr>
            <w:tcW w:type="dxa" w:w="165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US$80/年</w:t>
            </w:r>
          </w:p>
        </w:tc>
        <w:tc>
          <w:tcPr>
            <w:tcW w:type="dxa" w:w="172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不含</w:t>
            </w:r>
          </w:p>
        </w:tc>
        <w:tc>
          <w:tcPr>
            <w:tcW w:type="dxa" w:w="403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基础额度</w:t>
            </w:r>
          </w:p>
        </w:tc>
      </w:tr>
      <w:tr>
        <w:trPr>
          <w:cantSplit/>
        </w:trPr>
        <w:tc>
          <w:tcPr>
            <w:tcW w:type="dxa" w:w="12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Premium</w:t>
            </w:r>
          </w:p>
        </w:tc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US$30/月</w:t>
            </w:r>
          </w:p>
        </w:tc>
        <w:tc>
          <w:tcPr>
            <w:tcW w:type="dxa" w:w="165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US$300/年</w:t>
            </w:r>
          </w:p>
        </w:tc>
        <w:tc>
          <w:tcPr>
            <w:tcW w:type="dxa" w:w="172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包含</w:t>
            </w:r>
          </w:p>
        </w:tc>
        <w:tc>
          <w:tcPr>
            <w:tcW w:type="dxa" w:w="403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约为 Plus 的 4 倍；与 Grok/Cursor 共用池</w:t>
            </w:r>
          </w:p>
        </w:tc>
      </w:tr>
      <w:tr>
        <w:trPr>
          <w:cantSplit/>
        </w:trPr>
        <w:tc>
          <w:tcPr>
            <w:tcW w:type="dxa" w:w="12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Super</w:t>
            </w:r>
          </w:p>
        </w:tc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US$100/月</w:t>
            </w:r>
          </w:p>
        </w:tc>
        <w:tc>
          <w:tcPr>
            <w:tcW w:type="dxa" w:w="165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US$1,000/年</w:t>
            </w:r>
          </w:p>
        </w:tc>
        <w:tc>
          <w:tcPr>
            <w:tcW w:type="dxa" w:w="172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包含</w:t>
            </w:r>
          </w:p>
        </w:tc>
        <w:tc>
          <w:tcPr>
            <w:tcW w:type="dxa" w:w="403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约为 Plus 的 15 倍；与 Grok/Cursor 共用池</w:t>
            </w:r>
          </w:p>
        </w:tc>
      </w:tr>
      <w:tr>
        <w:trPr>
          <w:cantSplit/>
        </w:trPr>
        <w:tc>
          <w:tcPr>
            <w:tcW w:type="dxa" w:w="12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Ultra</w:t>
            </w:r>
          </w:p>
        </w:tc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US$200/月</w:t>
            </w:r>
          </w:p>
        </w:tc>
        <w:tc>
          <w:tcPr>
            <w:tcW w:type="dxa" w:w="165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US$2,000/年</w:t>
            </w:r>
          </w:p>
        </w:tc>
        <w:tc>
          <w:tcPr>
            <w:tcW w:type="dxa" w:w="172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包含</w:t>
            </w:r>
          </w:p>
        </w:tc>
        <w:tc>
          <w:tcPr>
            <w:tcW w:type="dxa" w:w="403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约为 Plus 的 50 倍；高用量情境</w:t>
            </w:r>
          </w:p>
        </w:tc>
      </w:tr>
    </w:tbl>
    <w:p>
      <w:pPr>
        <w:spacing w:before="0" w:after="0" w:line="276" w:lineRule="auto"/>
      </w:pPr>
    </w:p>
    <w:p>
      <w:pPr>
        <w:pStyle w:val="Heading2"/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1769AA"/>
          <w:sz w:val="26"/>
        </w:rPr>
        <w:t>对本项目的实际含义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color w:val="203047"/>
          <w:sz w:val="20"/>
        </w:rPr>
        <w:t>Grok Bot 更适合作为开发、文件分类规则编写、内容结构化、代码建议、文档摘要与自动化工作流的 AI 层。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color w:val="203047"/>
          <w:sz w:val="20"/>
        </w:rPr>
        <w:t>Premium 已包含 Grok Bot；若主要是个人开发和间歇性任务，可以先验证 Premium 的实际周额度是否够用，再考虑 Super。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color w:val="203047"/>
          <w:sz w:val="20"/>
        </w:rPr>
        <w:t>Super 的价值主要在更高的包含用量，并不会自动提升云服务器、OSS 容量、网站稳定性或私有数据安全级别。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color w:val="203047"/>
          <w:sz w:val="20"/>
        </w:rPr>
        <w:t>Grok / Cursor 的包含用量共用每周额度池；Cursor 的第三方模型可能不在包含池内，超额用量可能另行计费。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color w:val="203047"/>
          <w:sz w:val="20"/>
        </w:rPr>
        <w:t>xAI API 是独立的开发者 API 计费体系；不能把网页/订阅权益理解为无限量 API 调用。若未来通过程序调用模型，应另核验 API 访问与价格。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DF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2" w:color="A66A00"/>
              <w:bottom w:val="nil"/>
              <w:right w:val="nil"/>
            </w:tcBorders>
          </w:tcPr>
          <w:p>
            <w:pPr>
              <w:spacing w:before="0" w:after="80" w:line="264" w:lineRule="auto"/>
            </w:pPr>
            <w:r>
              <w:rPr>
                <w:rFonts w:ascii="Noto Sans CJK SC" w:hAnsi="Noto Sans CJK SC" w:eastAsia="Noto Sans CJK SC"/>
                <w:b/>
                <w:color w:val="A66A00"/>
                <w:sz w:val="21"/>
              </w:rPr>
              <w:t>订阅命名提醒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203047"/>
                <w:sz w:val="19"/>
              </w:rPr>
              <w:t>本方案依据截至 2026-10-11 的官方 X Subscription 新套餐信息建模：Premium 为 US$30/月或 US$300/年，Super 为 US$100/月或 US$1,000/年。旧的 X Premium+、SuperGrok 等产品名称与新订阅不可直接按名称推断等价，务必以自己的账户订阅页面为准。</w:t>
            </w:r>
          </w:p>
        </w:tc>
      </w:tr>
    </w:tbl>
    <w:p>
      <w:pPr>
        <w:spacing w:before="0" w:after="40" w:line="276" w:lineRule="auto"/>
      </w:pPr>
    </w:p>
    <w:p>
      <w:pPr>
        <w:spacing w:before="200" w:after="40" w:line="240" w:lineRule="auto"/>
      </w:pPr>
      <w:r>
        <w:rPr>
          <w:rFonts w:ascii="Noto Sans CJK SC" w:hAnsi="Noto Sans CJK SC" w:eastAsia="Noto Sans CJK SC"/>
          <w:b/>
          <w:color w:val="138A82"/>
          <w:sz w:val="34"/>
        </w:rPr>
        <w:t xml:space="preserve">07  </w:t>
      </w:r>
      <w:r>
        <w:rPr>
          <w:rFonts w:ascii="Noto Sans CJK SC" w:hAnsi="Noto Sans CJK SC" w:eastAsia="Noto Sans CJK SC"/>
          <w:b/>
          <w:color w:val="142D4E"/>
          <w:sz w:val="34"/>
        </w:rPr>
        <w:t>成本模型与预算情景</w:t>
      </w:r>
    </w:p>
    <w:p>
      <w:pPr>
        <w:spacing w:before="0" w:after="140" w:line="276" w:lineRule="auto"/>
      </w:pPr>
      <w:r>
        <w:rPr>
          <w:rFonts w:ascii="Noto Sans CJK SC" w:hAnsi="Noto Sans CJK SC" w:eastAsia="Noto Sans CJK SC"/>
          <w:b w:val="0"/>
          <w:i w:val="0"/>
          <w:color w:val="566579"/>
          <w:sz w:val="18"/>
        </w:rPr>
        <w:t>将网站基础设施、AI 订阅和备份费用分开，避免出现“网站预算”与“项目总预算”口径不一致。</w:t>
      </w:r>
    </w:p>
    <w:p>
      <w:pPr>
        <w:pStyle w:val="Heading2"/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1769AA"/>
          <w:sz w:val="26"/>
        </w:rPr>
        <w:t>计价假设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944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费用项</w:t>
            </w:r>
          </w:p>
        </w:tc>
        <w:tc>
          <w:tcPr>
            <w:tcW w:type="dxa" w:w="2664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模型采用的参考值</w:t>
            </w:r>
          </w:p>
        </w:tc>
        <w:tc>
          <w:tcPr>
            <w:tcW w:type="dxa" w:w="5688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轻量应用服务器</w:t>
            </w:r>
          </w:p>
        </w:tc>
        <w:tc>
          <w:tcPr>
            <w:tcW w:type="dxa" w:w="266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¥199/年（活动价假设）</w:t>
            </w:r>
          </w:p>
        </w:tc>
        <w:tc>
          <w:tcPr>
            <w:tcW w:type="dxa" w:w="568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此前候选为 2核4GB、约50GB ESSD、峰值带宽规格需购买页核验；活动资格、地域、续费价及备案资质均需确认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OSS 标准存储</w:t>
            </w:r>
          </w:p>
        </w:tc>
        <w:tc>
          <w:tcPr>
            <w:tcW w:type="dxa" w:w="266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¥0.12/GB/月</w:t>
            </w:r>
          </w:p>
        </w:tc>
        <w:tc>
          <w:tcPr>
            <w:tcW w:type="dxa" w:w="568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中国大陆标准存储本地冗余参考示例；最终以实际地域和产品价为准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域名</w:t>
            </w:r>
          </w:p>
        </w:tc>
        <w:tc>
          <w:tcPr>
            <w:tcW w:type="dxa" w:w="266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两个域名合计 ¥100–180/年</w:t>
            </w:r>
          </w:p>
        </w:tc>
        <w:tc>
          <w:tcPr>
            <w:tcW w:type="dxa" w:w="568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注册后续费价格、后缀和实名规则不同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公网下载流量</w:t>
            </w:r>
          </w:p>
        </w:tc>
        <w:tc>
          <w:tcPr>
            <w:tcW w:type="dxa" w:w="266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¥0.25–0.50/GB</w:t>
            </w:r>
          </w:p>
        </w:tc>
        <w:tc>
          <w:tcPr>
            <w:tcW w:type="dxa" w:w="568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仅用于敏感性分析的旧参考区间，不是当前报价；检查实际出网计费与资源包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X Subscription Premium</w:t>
            </w:r>
          </w:p>
        </w:tc>
        <w:tc>
          <w:tcPr>
            <w:tcW w:type="dxa" w:w="266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US$300/年</w:t>
            </w:r>
          </w:p>
        </w:tc>
        <w:tc>
          <w:tcPr>
            <w:tcW w:type="dxa" w:w="568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人民币预算按 US$1=¥7.00 换算约 ¥2,100；未含税费/渠道差异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X Subscription Super</w:t>
            </w:r>
          </w:p>
        </w:tc>
        <w:tc>
          <w:tcPr>
            <w:tcW w:type="dxa" w:w="266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US$1,000/年</w:t>
            </w:r>
          </w:p>
        </w:tc>
        <w:tc>
          <w:tcPr>
            <w:tcW w:type="dxa" w:w="568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人民币预算按 US$1=¥7.00 换算约 ¥7,000；未含税费/渠道差异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备份</w:t>
            </w:r>
          </w:p>
        </w:tc>
        <w:tc>
          <w:tcPr>
            <w:tcW w:type="dxa" w:w="266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另行预算</w:t>
            </w:r>
          </w:p>
        </w:tc>
        <w:tc>
          <w:tcPr>
            <w:tcW w:type="dxa" w:w="568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同账号跨 Bucket 备份仍有账号级风险；跨地域/跨账号的费用需实测</w:t>
            </w:r>
          </w:p>
        </w:tc>
      </w:tr>
    </w:tbl>
    <w:p>
      <w:pPr>
        <w:spacing w:before="0" w:after="0" w:line="276" w:lineRule="auto"/>
      </w:pPr>
    </w:p>
    <w:p>
      <w:pPr>
        <w:pStyle w:val="Heading2"/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1769AA"/>
          <w:sz w:val="26"/>
        </w:rPr>
        <w:t>云服务商与服务器候选对比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944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候选</w:t>
            </w:r>
          </w:p>
        </w:tc>
        <w:tc>
          <w:tcPr>
            <w:tcW w:type="dxa" w:w="3240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此前讨论中的参考配置 / 价格</w:t>
            </w:r>
          </w:p>
        </w:tc>
        <w:tc>
          <w:tcPr>
            <w:tcW w:type="dxa" w:w="2448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适用判断</w:t>
            </w:r>
          </w:p>
        </w:tc>
        <w:tc>
          <w:tcPr>
            <w:tcW w:type="dxa" w:w="2520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购买前核验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阿里云轻量应用服务器（优先核验）</w:t>
            </w:r>
          </w:p>
        </w:tc>
        <w:tc>
          <w:tcPr>
            <w:tcW w:type="dxa" w:w="32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候选：2核4GB；约50GB ESSD；此前活动报价约¥199/年</w:t>
            </w:r>
          </w:p>
        </w:tc>
        <w:tc>
          <w:tcPr>
            <w:tcW w:type="dxa" w:w="244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与阿里云 OSS、备案系统衔接较直接；前提是活动资格可用</w:t>
            </w:r>
          </w:p>
        </w:tc>
        <w:tc>
          <w:tcPr>
            <w:tcW w:type="dxa" w:w="252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当前 SKU、峰值带宽/流量政策、实例地域、备案资格、续费价格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腾讯云 Lighthouse（备选）</w:t>
            </w:r>
          </w:p>
        </w:tc>
        <w:tc>
          <w:tcPr>
            <w:tcW w:type="dxa" w:w="32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此前参考：2核4GB、100GB SSD、约7Mbps、1TB/月流量，约¥1,020/年</w:t>
            </w:r>
          </w:p>
        </w:tc>
        <w:tc>
          <w:tcPr>
            <w:tcW w:type="dxa" w:w="244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配置可以作为备选，但会明显挤占网站与存储的年度预算</w:t>
            </w:r>
          </w:p>
        </w:tc>
        <w:tc>
          <w:tcPr>
            <w:tcW w:type="dxa" w:w="252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当前地区价、套餐流量规则、续费价、ICP 备案适用性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阿里云 ECS 经济型低价方案</w:t>
            </w:r>
          </w:p>
        </w:tc>
        <w:tc>
          <w:tcPr>
            <w:tcW w:type="dxa" w:w="32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此前讨论过2核2GB、约¥99/年活动价</w:t>
            </w:r>
          </w:p>
        </w:tc>
        <w:tc>
          <w:tcPr>
            <w:tcW w:type="dxa" w:w="244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成本低，但对两个动态站点、数据库与全文搜索叠加的内存余量偏紧</w:t>
            </w:r>
          </w:p>
        </w:tc>
        <w:tc>
          <w:tcPr>
            <w:tcW w:type="dxa" w:w="252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实际 CPU/内存、系统盘、带宽、备份及续费；不建议未测试直接用于长期生产</w:t>
            </w:r>
          </w:p>
        </w:tc>
      </w:tr>
    </w:tbl>
    <w:p>
      <w:pPr>
        <w:spacing w:before="0" w:after="0" w:line="276" w:lineRule="auto"/>
      </w:pPr>
    </w:p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i w:val="0"/>
          <w:color w:val="566579"/>
          <w:sz w:val="17"/>
        </w:rPr>
        <w:t>以上是前期方案比较时的候选参数，不是当前可购买承诺。轻量服务器创建后地域通常不能随意更换；若要求大陆 ICP 备案，必须在下单前确认地域和实例符合备案要求。</w:t>
      </w:r>
    </w:p>
    <w:p>
      <w:pPr>
        <w:pStyle w:val="Heading2"/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1769AA"/>
          <w:sz w:val="26"/>
        </w:rPr>
        <w:t>网站基础设施年费估算（不含 AI、备份、请求费及税费）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  <w:cantSplit/>
        </w:trPr>
        <w:tc>
          <w:tcPr>
            <w:tcW w:type="dxa" w:w="2448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情景</w:t>
            </w:r>
          </w:p>
        </w:tc>
        <w:tc>
          <w:tcPr>
            <w:tcW w:type="dxa" w:w="1296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存储费/年</w:t>
            </w:r>
          </w:p>
        </w:tc>
        <w:tc>
          <w:tcPr>
            <w:tcW w:type="dxa" w:w="1512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出网流量/年</w:t>
            </w:r>
          </w:p>
        </w:tc>
        <w:tc>
          <w:tcPr>
            <w:tcW w:type="dxa" w:w="1296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域名/年</w:t>
            </w:r>
          </w:p>
        </w:tc>
        <w:tc>
          <w:tcPr>
            <w:tcW w:type="dxa" w:w="1296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服务器/年</w:t>
            </w:r>
          </w:p>
        </w:tc>
        <w:tc>
          <w:tcPr>
            <w:tcW w:type="dxa" w:w="1512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合计/年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100GB 存储；20GB/月下载</w:t>
            </w:r>
          </w:p>
        </w:tc>
        <w:tc>
          <w:tcPr>
            <w:tcW w:type="dxa" w:w="12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¥144</w:t>
            </w:r>
          </w:p>
        </w:tc>
        <w:tc>
          <w:tcPr>
            <w:tcW w:type="dxa" w:w="151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¥60–120</w:t>
            </w:r>
          </w:p>
        </w:tc>
        <w:tc>
          <w:tcPr>
            <w:tcW w:type="dxa" w:w="12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¥100–180</w:t>
            </w:r>
          </w:p>
        </w:tc>
        <w:tc>
          <w:tcPr>
            <w:tcW w:type="dxa" w:w="12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¥199</w:t>
            </w:r>
          </w:p>
        </w:tc>
        <w:tc>
          <w:tcPr>
            <w:tcW w:type="dxa" w:w="151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¥503–643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300GB 存储；50GB/月下载</w:t>
            </w:r>
          </w:p>
        </w:tc>
        <w:tc>
          <w:tcPr>
            <w:tcW w:type="dxa" w:w="12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¥432</w:t>
            </w:r>
          </w:p>
        </w:tc>
        <w:tc>
          <w:tcPr>
            <w:tcW w:type="dxa" w:w="151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¥150–300</w:t>
            </w:r>
          </w:p>
        </w:tc>
        <w:tc>
          <w:tcPr>
            <w:tcW w:type="dxa" w:w="12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¥100–180</w:t>
            </w:r>
          </w:p>
        </w:tc>
        <w:tc>
          <w:tcPr>
            <w:tcW w:type="dxa" w:w="12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¥199</w:t>
            </w:r>
          </w:p>
        </w:tc>
        <w:tc>
          <w:tcPr>
            <w:tcW w:type="dxa" w:w="151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¥881–1,111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500GB 存储；100GB/月下载</w:t>
            </w:r>
          </w:p>
        </w:tc>
        <w:tc>
          <w:tcPr>
            <w:tcW w:type="dxa" w:w="12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¥720</w:t>
            </w:r>
          </w:p>
        </w:tc>
        <w:tc>
          <w:tcPr>
            <w:tcW w:type="dxa" w:w="151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¥300–600</w:t>
            </w:r>
          </w:p>
        </w:tc>
        <w:tc>
          <w:tcPr>
            <w:tcW w:type="dxa" w:w="12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¥100–180</w:t>
            </w:r>
          </w:p>
        </w:tc>
        <w:tc>
          <w:tcPr>
            <w:tcW w:type="dxa" w:w="12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¥199</w:t>
            </w:r>
          </w:p>
        </w:tc>
        <w:tc>
          <w:tcPr>
            <w:tcW w:type="dxa" w:w="151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¥1,319–1,699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1TB 存储；100GB/月下载</w:t>
            </w:r>
          </w:p>
        </w:tc>
        <w:tc>
          <w:tcPr>
            <w:tcW w:type="dxa" w:w="12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¥1,474.56</w:t>
            </w:r>
          </w:p>
        </w:tc>
        <w:tc>
          <w:tcPr>
            <w:tcW w:type="dxa" w:w="151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¥300–600</w:t>
            </w:r>
          </w:p>
        </w:tc>
        <w:tc>
          <w:tcPr>
            <w:tcW w:type="dxa" w:w="12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¥100–180</w:t>
            </w:r>
          </w:p>
        </w:tc>
        <w:tc>
          <w:tcPr>
            <w:tcW w:type="dxa" w:w="12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¥199</w:t>
            </w:r>
          </w:p>
        </w:tc>
        <w:tc>
          <w:tcPr>
            <w:tcW w:type="dxa" w:w="151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¥2,073.56–2,453.56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1TB 存储；300GB/月下载</w:t>
            </w:r>
          </w:p>
        </w:tc>
        <w:tc>
          <w:tcPr>
            <w:tcW w:type="dxa" w:w="12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¥1,474.56</w:t>
            </w:r>
          </w:p>
        </w:tc>
        <w:tc>
          <w:tcPr>
            <w:tcW w:type="dxa" w:w="151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¥900–1,800</w:t>
            </w:r>
          </w:p>
        </w:tc>
        <w:tc>
          <w:tcPr>
            <w:tcW w:type="dxa" w:w="12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¥100–180</w:t>
            </w:r>
          </w:p>
        </w:tc>
        <w:tc>
          <w:tcPr>
            <w:tcW w:type="dxa" w:w="129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¥199</w:t>
            </w:r>
          </w:p>
        </w:tc>
        <w:tc>
          <w:tcPr>
            <w:tcW w:type="dxa" w:w="1512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¥2,673.56–3,653.56</w:t>
            </w:r>
          </w:p>
        </w:tc>
      </w:tr>
    </w:tbl>
    <w:p>
      <w:pPr>
        <w:spacing w:before="0" w:after="0" w:line="276" w:lineRule="auto"/>
      </w:pPr>
    </w:p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i w:val="0"/>
          <w:color w:val="566579"/>
          <w:sz w:val="17"/>
        </w:rPr>
        <w:t>计算方式：存储费 = GB × ¥0.12 × 12；下载流量费 = 每月下载 GB × 12 × ¥0.25–0.50；合计 = 存储 + 流量 + 域名 + 服务器。该估算不包含写入/读取请求、图片处理、数据库/索引增配、独立备份或临时峰值费用。</w:t>
      </w:r>
    </w:p>
    <w:p>
      <w:pPr>
        <w:pStyle w:val="Heading2"/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1769AA"/>
          <w:sz w:val="26"/>
        </w:rPr>
        <w:t>加上 X Subscription 后的总预算示例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448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网站基础设施情景</w:t>
            </w:r>
          </w:p>
        </w:tc>
        <w:tc>
          <w:tcPr>
            <w:tcW w:type="dxa" w:w="1944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无付费 X 套餐</w:t>
            </w:r>
          </w:p>
        </w:tc>
        <w:tc>
          <w:tcPr>
            <w:tcW w:type="dxa" w:w="2736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加 Premium 年付（约 ¥2,100）</w:t>
            </w:r>
          </w:p>
        </w:tc>
        <w:tc>
          <w:tcPr>
            <w:tcW w:type="dxa" w:w="2736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加 Super 年付（约 ¥7,000）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100GB / 20GB月下载</w:t>
            </w:r>
          </w:p>
        </w:tc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¥503–643</w:t>
            </w:r>
          </w:p>
        </w:tc>
        <w:tc>
          <w:tcPr>
            <w:tcW w:type="dxa" w:w="27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¥2,603–2,743</w:t>
            </w:r>
          </w:p>
        </w:tc>
        <w:tc>
          <w:tcPr>
            <w:tcW w:type="dxa" w:w="27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¥7,503–7,643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300GB / 50GB月下载</w:t>
            </w:r>
          </w:p>
        </w:tc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¥881–1,111</w:t>
            </w:r>
          </w:p>
        </w:tc>
        <w:tc>
          <w:tcPr>
            <w:tcW w:type="dxa" w:w="27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¥2,981–3,211</w:t>
            </w:r>
          </w:p>
        </w:tc>
        <w:tc>
          <w:tcPr>
            <w:tcW w:type="dxa" w:w="27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¥7,881–8,111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500GB / 100GB月下载</w:t>
            </w:r>
          </w:p>
        </w:tc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¥1,319–1,699</w:t>
            </w:r>
          </w:p>
        </w:tc>
        <w:tc>
          <w:tcPr>
            <w:tcW w:type="dxa" w:w="27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¥3,419–3,799</w:t>
            </w:r>
          </w:p>
        </w:tc>
        <w:tc>
          <w:tcPr>
            <w:tcW w:type="dxa" w:w="27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¥8,319–8,699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1TB / 100GB月下载</w:t>
            </w:r>
          </w:p>
        </w:tc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¥2,074–2,454</w:t>
            </w:r>
          </w:p>
        </w:tc>
        <w:tc>
          <w:tcPr>
            <w:tcW w:type="dxa" w:w="27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¥4,174–4,554</w:t>
            </w:r>
          </w:p>
        </w:tc>
        <w:tc>
          <w:tcPr>
            <w:tcW w:type="dxa" w:w="273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¥9,074–9,454</w:t>
            </w:r>
          </w:p>
        </w:tc>
      </w:tr>
    </w:tbl>
    <w:p>
      <w:pPr>
        <w:spacing w:before="0" w:after="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BE9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2" w:color="B5362D"/>
              <w:bottom w:val="nil"/>
              <w:right w:val="nil"/>
            </w:tcBorders>
          </w:tcPr>
          <w:p>
            <w:pPr>
              <w:spacing w:before="0" w:after="80" w:line="264" w:lineRule="auto"/>
            </w:pPr>
            <w:r>
              <w:rPr>
                <w:rFonts w:ascii="Noto Sans CJK SC" w:hAnsi="Noto Sans CJK SC" w:eastAsia="Noto Sans CJK SC"/>
                <w:b/>
                <w:color w:val="B5362D"/>
                <w:sz w:val="21"/>
              </w:rPr>
              <w:t>预算结论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203047"/>
                <w:sz w:val="19"/>
              </w:rPr>
              <w:t>如果 ¥2,400/年只指网站基础设施，500GB 存储、100GB/月下载的示例在模型内低于预算，但尚未计备份和其他请求费。如果 ¥2,400/年是包括 X 订阅的项目总预算，则 Premium 年付本身约 ¥2,100，留给服务器、域名、存储和流量的预算非常有限；Super 年付则明显不符合此预算。</w:t>
            </w:r>
          </w:p>
        </w:tc>
      </w:tr>
    </w:tbl>
    <w:p>
      <w:pPr>
        <w:spacing w:before="0" w:after="40" w:line="276" w:lineRule="auto"/>
      </w:pPr>
    </w:p>
    <w:p>
      <w:pPr>
        <w:spacing w:before="200" w:after="40" w:line="240" w:lineRule="auto"/>
      </w:pPr>
      <w:r>
        <w:rPr>
          <w:rFonts w:ascii="Noto Sans CJK SC" w:hAnsi="Noto Sans CJK SC" w:eastAsia="Noto Sans CJK SC"/>
          <w:b/>
          <w:color w:val="138A82"/>
          <w:sz w:val="34"/>
        </w:rPr>
        <w:t xml:space="preserve">08  </w:t>
      </w:r>
      <w:r>
        <w:rPr>
          <w:rFonts w:ascii="Noto Sans CJK SC" w:hAnsi="Noto Sans CJK SC" w:eastAsia="Noto Sans CJK SC"/>
          <w:b/>
          <w:color w:val="142D4E"/>
          <w:sz w:val="34"/>
        </w:rPr>
        <w:t>部署顺序与实施阶段</w:t>
      </w:r>
    </w:p>
    <w:p>
      <w:pPr>
        <w:spacing w:before="0" w:after="140" w:line="276" w:lineRule="auto"/>
      </w:pPr>
      <w:r>
        <w:rPr>
          <w:rFonts w:ascii="Noto Sans CJK SC" w:hAnsi="Noto Sans CJK SC" w:eastAsia="Noto Sans CJK SC"/>
          <w:b w:val="0"/>
          <w:i w:val="0"/>
          <w:color w:val="566579"/>
          <w:sz w:val="18"/>
        </w:rPr>
        <w:t>先让最小可行系统安全运行，再扩展检索、媒体处理和自动化。</w:t>
      </w:r>
    </w:p>
    <w:p>
      <w:pPr>
        <w:pStyle w:val="Heading2"/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1769AA"/>
          <w:sz w:val="26"/>
        </w:rPr>
        <w:t>阶段 0：下单前核验</w:t>
      </w:r>
    </w:p>
    <w:p>
      <w:pPr>
        <w:spacing w:before="0" w:after="80" w:line="269" w:lineRule="auto"/>
        <w:ind w:left="403" w:hanging="403"/>
      </w:pPr>
      <w:r>
        <w:rPr>
          <w:rFonts w:ascii="Noto Sans CJK SC" w:hAnsi="Noto Sans CJK SC" w:eastAsia="Noto Sans CJK SC"/>
          <w:b/>
          <w:color w:val="1769AA"/>
          <w:sz w:val="20"/>
        </w:rPr>
        <w:t xml:space="preserve">1.  </w:t>
      </w:r>
      <w:r>
        <w:rPr>
          <w:rFonts w:ascii="Noto Sans CJK SC" w:hAnsi="Noto Sans CJK SC" w:eastAsia="Noto Sans CJK SC"/>
          <w:color w:val="203047"/>
          <w:sz w:val="20"/>
        </w:rPr>
        <w:t>在阿里云控制台确认轻量服务器活动价是否适用、实际 CPU/内存/系统盘/带宽/流量规格、所在地域以及续费价格。</w:t>
      </w:r>
    </w:p>
    <w:p>
      <w:pPr>
        <w:spacing w:before="0" w:after="80" w:line="269" w:lineRule="auto"/>
        <w:ind w:left="403" w:hanging="403"/>
      </w:pPr>
      <w:r>
        <w:rPr>
          <w:rFonts w:ascii="Noto Sans CJK SC" w:hAnsi="Noto Sans CJK SC" w:eastAsia="Noto Sans CJK SC"/>
          <w:b/>
          <w:color w:val="1769AA"/>
          <w:sz w:val="20"/>
        </w:rPr>
        <w:t xml:space="preserve">2.  </w:t>
      </w:r>
      <w:r>
        <w:rPr>
          <w:rFonts w:ascii="Noto Sans CJK SC" w:hAnsi="Noto Sans CJK SC" w:eastAsia="Noto Sans CJK SC"/>
          <w:color w:val="203047"/>
          <w:sz w:val="20"/>
        </w:rPr>
        <w:t>确认该实例能够用于中国大陆 ICP 备案，核验实例时长、IP、公网配置及备案服务码规则。</w:t>
      </w:r>
    </w:p>
    <w:p>
      <w:pPr>
        <w:spacing w:before="0" w:after="80" w:line="269" w:lineRule="auto"/>
        <w:ind w:left="403" w:hanging="403"/>
      </w:pPr>
      <w:r>
        <w:rPr>
          <w:rFonts w:ascii="Noto Sans CJK SC" w:hAnsi="Noto Sans CJK SC" w:eastAsia="Noto Sans CJK SC"/>
          <w:b/>
          <w:color w:val="1769AA"/>
          <w:sz w:val="20"/>
        </w:rPr>
        <w:t xml:space="preserve">3.  </w:t>
      </w:r>
      <w:r>
        <w:rPr>
          <w:rFonts w:ascii="Noto Sans CJK SC" w:hAnsi="Noto Sans CJK SC" w:eastAsia="Noto Sans CJK SC"/>
          <w:color w:val="203047"/>
          <w:sz w:val="20"/>
        </w:rPr>
        <w:t>按两个域名分别核算注册价与续费价；确认实名认证资料与备案主体一致。</w:t>
      </w:r>
    </w:p>
    <w:p>
      <w:pPr>
        <w:spacing w:before="0" w:after="80" w:line="269" w:lineRule="auto"/>
        <w:ind w:left="403" w:hanging="403"/>
      </w:pPr>
      <w:r>
        <w:rPr>
          <w:rFonts w:ascii="Noto Sans CJK SC" w:hAnsi="Noto Sans CJK SC" w:eastAsia="Noto Sans CJK SC"/>
          <w:b/>
          <w:color w:val="1769AA"/>
          <w:sz w:val="20"/>
        </w:rPr>
        <w:t xml:space="preserve">4.  </w:t>
      </w:r>
      <w:r>
        <w:rPr>
          <w:rFonts w:ascii="Noto Sans CJK SC" w:hAnsi="Noto Sans CJK SC" w:eastAsia="Noto Sans CJK SC"/>
          <w:color w:val="203047"/>
          <w:sz w:val="20"/>
        </w:rPr>
        <w:t>在 OSS 价格页面核对目标地域的标准存储、本地/同城冗余、外网流出流量、请求次数和资源包。</w:t>
      </w:r>
    </w:p>
    <w:p>
      <w:pPr>
        <w:spacing w:before="0" w:after="80" w:line="269" w:lineRule="auto"/>
        <w:ind w:left="403" w:hanging="403"/>
      </w:pPr>
      <w:r>
        <w:rPr>
          <w:rFonts w:ascii="Noto Sans CJK SC" w:hAnsi="Noto Sans CJK SC" w:eastAsia="Noto Sans CJK SC"/>
          <w:b/>
          <w:color w:val="1769AA"/>
          <w:sz w:val="20"/>
        </w:rPr>
        <w:t xml:space="preserve">5.  </w:t>
      </w:r>
      <w:r>
        <w:rPr>
          <w:rFonts w:ascii="Noto Sans CJK SC" w:hAnsi="Noto Sans CJK SC" w:eastAsia="Noto Sans CJK SC"/>
          <w:color w:val="203047"/>
          <w:sz w:val="20"/>
        </w:rPr>
        <w:t>在 X 账户订阅页核对实际套餐名、周期、含税价格和 Grok Bot 可用资格。</w:t>
      </w:r>
    </w:p>
    <w:p>
      <w:pPr>
        <w:pStyle w:val="Heading2"/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1769AA"/>
          <w:sz w:val="26"/>
        </w:rPr>
        <w:t>阶段 1：基础设施与备案</w:t>
      </w:r>
    </w:p>
    <w:p>
      <w:pPr>
        <w:spacing w:before="0" w:after="80" w:line="269" w:lineRule="auto"/>
        <w:ind w:left="403" w:hanging="403"/>
      </w:pPr>
      <w:r>
        <w:rPr>
          <w:rFonts w:ascii="Noto Sans CJK SC" w:hAnsi="Noto Sans CJK SC" w:eastAsia="Noto Sans CJK SC"/>
          <w:b/>
          <w:color w:val="1769AA"/>
          <w:sz w:val="20"/>
        </w:rPr>
        <w:t xml:space="preserve">1.  </w:t>
      </w:r>
      <w:r>
        <w:rPr>
          <w:rFonts w:ascii="Noto Sans CJK SC" w:hAnsi="Noto Sans CJK SC" w:eastAsia="Noto Sans CJK SC"/>
          <w:color w:val="203047"/>
          <w:sz w:val="20"/>
        </w:rPr>
        <w:t>创建一台符合要求的中国大陆服务器；配置系统更新、SSH 密钥登录、最小端口开放和基础防火墙。</w:t>
      </w:r>
    </w:p>
    <w:p>
      <w:pPr>
        <w:spacing w:before="0" w:after="80" w:line="269" w:lineRule="auto"/>
        <w:ind w:left="403" w:hanging="403"/>
      </w:pPr>
      <w:r>
        <w:rPr>
          <w:rFonts w:ascii="Noto Sans CJK SC" w:hAnsi="Noto Sans CJK SC" w:eastAsia="Noto Sans CJK SC"/>
          <w:b/>
          <w:color w:val="1769AA"/>
          <w:sz w:val="20"/>
        </w:rPr>
        <w:t xml:space="preserve">2.  </w:t>
      </w:r>
      <w:r>
        <w:rPr>
          <w:rFonts w:ascii="Noto Sans CJK SC" w:hAnsi="Noto Sans CJK SC" w:eastAsia="Noto Sans CJK SC"/>
          <w:color w:val="203047"/>
          <w:sz w:val="20"/>
        </w:rPr>
        <w:t>准备两个域名并完成实名认证；按实际网站内容和所在省市管局要求提交 ICP 备案。备案获批前，不应把大陆托管网站正式公开提供服务。</w:t>
      </w:r>
    </w:p>
    <w:p>
      <w:pPr>
        <w:spacing w:before="0" w:after="80" w:line="269" w:lineRule="auto"/>
        <w:ind w:left="403" w:hanging="403"/>
      </w:pPr>
      <w:r>
        <w:rPr>
          <w:rFonts w:ascii="Noto Sans CJK SC" w:hAnsi="Noto Sans CJK SC" w:eastAsia="Noto Sans CJK SC"/>
          <w:b/>
          <w:color w:val="1769AA"/>
          <w:sz w:val="20"/>
        </w:rPr>
        <w:t xml:space="preserve">3.  </w:t>
      </w:r>
      <w:r>
        <w:rPr>
          <w:rFonts w:ascii="Noto Sans CJK SC" w:hAnsi="Noto Sans CJK SC" w:eastAsia="Noto Sans CJK SC"/>
          <w:color w:val="203047"/>
          <w:sz w:val="20"/>
        </w:rPr>
        <w:t>部署反向代理与 HTTPS，分别配置两个域名、证书、访问日志和错误日志。</w:t>
      </w:r>
    </w:p>
    <w:p>
      <w:pPr>
        <w:spacing w:before="0" w:after="80" w:line="269" w:lineRule="auto"/>
        <w:ind w:left="403" w:hanging="403"/>
      </w:pPr>
      <w:r>
        <w:rPr>
          <w:rFonts w:ascii="Noto Sans CJK SC" w:hAnsi="Noto Sans CJK SC" w:eastAsia="Noto Sans CJK SC"/>
          <w:b/>
          <w:color w:val="1769AA"/>
          <w:sz w:val="20"/>
        </w:rPr>
        <w:t xml:space="preserve">4.  </w:t>
      </w:r>
      <w:r>
        <w:rPr>
          <w:rFonts w:ascii="Noto Sans CJK SC" w:hAnsi="Noto Sans CJK SC" w:eastAsia="Noto Sans CJK SC"/>
          <w:color w:val="203047"/>
          <w:sz w:val="20"/>
        </w:rPr>
        <w:t>建立两组独立的应用配置、数据库账号、环境变量和发布流程。</w:t>
      </w:r>
    </w:p>
    <w:p>
      <w:pPr>
        <w:pStyle w:val="Heading2"/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1769AA"/>
          <w:sz w:val="26"/>
        </w:rPr>
        <w:t>阶段 2：对象存储与权限</w:t>
      </w:r>
    </w:p>
    <w:p>
      <w:pPr>
        <w:spacing w:before="0" w:after="80" w:line="269" w:lineRule="auto"/>
        <w:ind w:left="403" w:hanging="403"/>
      </w:pPr>
      <w:r>
        <w:rPr>
          <w:rFonts w:ascii="Noto Sans CJK SC" w:hAnsi="Noto Sans CJK SC" w:eastAsia="Noto Sans CJK SC"/>
          <w:b/>
          <w:color w:val="1769AA"/>
          <w:sz w:val="20"/>
        </w:rPr>
        <w:t xml:space="preserve">1.  </w:t>
      </w:r>
      <w:r>
        <w:rPr>
          <w:rFonts w:ascii="Noto Sans CJK SC" w:hAnsi="Noto Sans CJK SC" w:eastAsia="Noto Sans CJK SC"/>
          <w:color w:val="203047"/>
          <w:sz w:val="20"/>
        </w:rPr>
        <w:t>为公开内容和私人档案设计独立 Bucket 或严格隔离的存储策略；默认禁止公共读写与匿名列目录。</w:t>
      </w:r>
    </w:p>
    <w:p>
      <w:pPr>
        <w:spacing w:before="0" w:after="80" w:line="269" w:lineRule="auto"/>
        <w:ind w:left="403" w:hanging="403"/>
      </w:pPr>
      <w:r>
        <w:rPr>
          <w:rFonts w:ascii="Noto Sans CJK SC" w:hAnsi="Noto Sans CJK SC" w:eastAsia="Noto Sans CJK SC"/>
          <w:b/>
          <w:color w:val="1769AA"/>
          <w:sz w:val="20"/>
        </w:rPr>
        <w:t xml:space="preserve">2.  </w:t>
      </w:r>
      <w:r>
        <w:rPr>
          <w:rFonts w:ascii="Noto Sans CJK SC" w:hAnsi="Noto Sans CJK SC" w:eastAsia="Noto Sans CJK SC"/>
          <w:color w:val="203047"/>
          <w:sz w:val="20"/>
        </w:rPr>
        <w:t>后端校验用户身份与文件权限后再生成短时签名 URL；长期 AccessKey 不得放进前端代码、公开仓库或浏览器。</w:t>
      </w:r>
    </w:p>
    <w:p>
      <w:pPr>
        <w:spacing w:before="0" w:after="80" w:line="269" w:lineRule="auto"/>
        <w:ind w:left="403" w:hanging="403"/>
      </w:pPr>
      <w:r>
        <w:rPr>
          <w:rFonts w:ascii="Noto Sans CJK SC" w:hAnsi="Noto Sans CJK SC" w:eastAsia="Noto Sans CJK SC"/>
          <w:b/>
          <w:color w:val="1769AA"/>
          <w:sz w:val="20"/>
        </w:rPr>
        <w:t xml:space="preserve">3.  </w:t>
      </w:r>
      <w:r>
        <w:rPr>
          <w:rFonts w:ascii="Noto Sans CJK SC" w:hAnsi="Noto Sans CJK SC" w:eastAsia="Noto Sans CJK SC"/>
          <w:color w:val="203047"/>
          <w:sz w:val="20"/>
        </w:rPr>
        <w:t>建立文件元数据模型：Object Key、类型、大小、校验和、标签、所属用户、敏感级别、创建时间、版本号和备份状态。</w:t>
      </w:r>
    </w:p>
    <w:p>
      <w:pPr>
        <w:spacing w:before="0" w:after="80" w:line="269" w:lineRule="auto"/>
        <w:ind w:left="403" w:hanging="403"/>
      </w:pPr>
      <w:r>
        <w:rPr>
          <w:rFonts w:ascii="Noto Sans CJK SC" w:hAnsi="Noto Sans CJK SC" w:eastAsia="Noto Sans CJK SC"/>
          <w:b/>
          <w:color w:val="1769AA"/>
          <w:sz w:val="20"/>
        </w:rPr>
        <w:t xml:space="preserve">4.  </w:t>
      </w:r>
      <w:r>
        <w:rPr>
          <w:rFonts w:ascii="Noto Sans CJK SC" w:hAnsi="Noto Sans CJK SC" w:eastAsia="Noto Sans CJK SC"/>
          <w:color w:val="203047"/>
          <w:sz w:val="20"/>
        </w:rPr>
        <w:t>逐类验证图片、PDF、视频的预览与下载；高敏感文件可在客户端加密后再上传。</w:t>
      </w:r>
    </w:p>
    <w:p>
      <w:pPr>
        <w:pStyle w:val="Heading2"/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1769AA"/>
          <w:sz w:val="26"/>
        </w:rPr>
        <w:t>阶段 3：备份、监控与 AI 工作流</w:t>
      </w:r>
    </w:p>
    <w:p>
      <w:pPr>
        <w:spacing w:before="0" w:after="80" w:line="269" w:lineRule="auto"/>
        <w:ind w:left="403" w:hanging="403"/>
      </w:pPr>
      <w:r>
        <w:rPr>
          <w:rFonts w:ascii="Noto Sans CJK SC" w:hAnsi="Noto Sans CJK SC" w:eastAsia="Noto Sans CJK SC"/>
          <w:b/>
          <w:color w:val="1769AA"/>
          <w:sz w:val="20"/>
        </w:rPr>
        <w:t xml:space="preserve">1.  </w:t>
      </w:r>
      <w:r>
        <w:rPr>
          <w:rFonts w:ascii="Noto Sans CJK SC" w:hAnsi="Noto Sans CJK SC" w:eastAsia="Noto Sans CJK SC"/>
          <w:color w:val="203047"/>
          <w:sz w:val="20"/>
        </w:rPr>
        <w:t>启用合适的版本管理/删除保护；将数据库与 OSS 对象分别备份到隔离位置，记录保留周期。</w:t>
      </w:r>
    </w:p>
    <w:p>
      <w:pPr>
        <w:spacing w:before="0" w:after="80" w:line="269" w:lineRule="auto"/>
        <w:ind w:left="403" w:hanging="403"/>
      </w:pPr>
      <w:r>
        <w:rPr>
          <w:rFonts w:ascii="Noto Sans CJK SC" w:hAnsi="Noto Sans CJK SC" w:eastAsia="Noto Sans CJK SC"/>
          <w:b/>
          <w:color w:val="1769AA"/>
          <w:sz w:val="20"/>
        </w:rPr>
        <w:t xml:space="preserve">2.  </w:t>
      </w:r>
      <w:r>
        <w:rPr>
          <w:rFonts w:ascii="Noto Sans CJK SC" w:hAnsi="Noto Sans CJK SC" w:eastAsia="Noto Sans CJK SC"/>
          <w:color w:val="203047"/>
          <w:sz w:val="20"/>
        </w:rPr>
        <w:t>执行至少一次恢复演练：从备份恢复数据库元数据，再验证原始文件可读取、校验和一致。</w:t>
      </w:r>
    </w:p>
    <w:p>
      <w:pPr>
        <w:spacing w:before="0" w:after="80" w:line="269" w:lineRule="auto"/>
        <w:ind w:left="403" w:hanging="403"/>
      </w:pPr>
      <w:r>
        <w:rPr>
          <w:rFonts w:ascii="Noto Sans CJK SC" w:hAnsi="Noto Sans CJK SC" w:eastAsia="Noto Sans CJK SC"/>
          <w:b/>
          <w:color w:val="1769AA"/>
          <w:sz w:val="20"/>
        </w:rPr>
        <w:t xml:space="preserve">3.  </w:t>
      </w:r>
      <w:r>
        <w:rPr>
          <w:rFonts w:ascii="Noto Sans CJK SC" w:hAnsi="Noto Sans CJK SC" w:eastAsia="Noto Sans CJK SC"/>
          <w:color w:val="203047"/>
          <w:sz w:val="20"/>
        </w:rPr>
        <w:t>配置费用告警：OSS 存储、外网流量、请求量与服务器续费；按月复盘实际容量和流量。</w:t>
      </w:r>
    </w:p>
    <w:p>
      <w:pPr>
        <w:spacing w:before="0" w:after="80" w:line="269" w:lineRule="auto"/>
        <w:ind w:left="403" w:hanging="403"/>
      </w:pPr>
      <w:r>
        <w:rPr>
          <w:rFonts w:ascii="Noto Sans CJK SC" w:hAnsi="Noto Sans CJK SC" w:eastAsia="Noto Sans CJK SC"/>
          <w:b/>
          <w:color w:val="1769AA"/>
          <w:sz w:val="20"/>
        </w:rPr>
        <w:t xml:space="preserve">4.  </w:t>
      </w:r>
      <w:r>
        <w:rPr>
          <w:rFonts w:ascii="Noto Sans CJK SC" w:hAnsi="Noto Sans CJK SC" w:eastAsia="Noto Sans CJK SC"/>
          <w:color w:val="203047"/>
          <w:sz w:val="20"/>
        </w:rPr>
        <w:t>让 Grok Bot 先辅助代码审查、内容格式化和任务清单，不直接授予删除私人档案或管理云账号的高权限。</w:t>
      </w:r>
    </w:p>
    <w:p>
      <w:pPr>
        <w:spacing w:before="200" w:after="40" w:line="240" w:lineRule="auto"/>
      </w:pPr>
      <w:r>
        <w:rPr>
          <w:rFonts w:ascii="Noto Sans CJK SC" w:hAnsi="Noto Sans CJK SC" w:eastAsia="Noto Sans CJK SC"/>
          <w:b/>
          <w:color w:val="138A82"/>
          <w:sz w:val="34"/>
        </w:rPr>
        <w:t xml:space="preserve">09  </w:t>
      </w:r>
      <w:r>
        <w:rPr>
          <w:rFonts w:ascii="Noto Sans CJK SC" w:hAnsi="Noto Sans CJK SC" w:eastAsia="Noto Sans CJK SC"/>
          <w:b/>
          <w:color w:val="142D4E"/>
          <w:sz w:val="34"/>
        </w:rPr>
        <w:t>安全、隐私、备份与运维控制</w:t>
      </w:r>
    </w:p>
    <w:p>
      <w:pPr>
        <w:spacing w:before="0" w:after="140" w:line="276" w:lineRule="auto"/>
      </w:pPr>
      <w:r>
        <w:rPr>
          <w:rFonts w:ascii="Noto Sans CJK SC" w:hAnsi="Noto Sans CJK SC" w:eastAsia="Noto Sans CJK SC"/>
          <w:b w:val="0"/>
          <w:i w:val="0"/>
          <w:color w:val="566579"/>
          <w:sz w:val="18"/>
        </w:rPr>
        <w:t>将访问控制、加密、备份和费用治理当成上线条件，而非上线后的补充工作。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584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控制面</w:t>
            </w:r>
          </w:p>
        </w:tc>
        <w:tc>
          <w:tcPr>
            <w:tcW w:type="dxa" w:w="5040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必须落实的控制</w:t>
            </w:r>
          </w:p>
        </w:tc>
        <w:tc>
          <w:tcPr>
            <w:tcW w:type="dxa" w:w="3168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验证方式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身份认证</w:t>
            </w:r>
          </w:p>
        </w:tc>
        <w:tc>
          <w:tcPr>
            <w:tcW w:type="dxa" w:w="50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管理员使用强唯一密码与多因素认证；不共用账号；会话设超时</w:t>
            </w:r>
          </w:p>
        </w:tc>
        <w:tc>
          <w:tcPr>
            <w:tcW w:type="dxa" w:w="316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退出登录后访问私人文件应被拒绝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授权</w:t>
            </w:r>
          </w:p>
        </w:tc>
        <w:tc>
          <w:tcPr>
            <w:tcW w:type="dxa" w:w="50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逐次检查用户对记录和对象的访问权；不信任前端传入的用户 ID</w:t>
            </w:r>
          </w:p>
        </w:tc>
        <w:tc>
          <w:tcPr>
            <w:tcW w:type="dxa" w:w="316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用另一账户尝试访问对象 Key，必须失败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对象存储</w:t>
            </w:r>
          </w:p>
        </w:tc>
        <w:tc>
          <w:tcPr>
            <w:tcW w:type="dxa" w:w="50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私有 Bucket；禁公共读写；最小权限服务身份；短时签名 URL</w:t>
            </w:r>
          </w:p>
        </w:tc>
        <w:tc>
          <w:tcPr>
            <w:tcW w:type="dxa" w:w="316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检查匿名访问、列目录和失效链接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密钥管理</w:t>
            </w:r>
          </w:p>
        </w:tc>
        <w:tc>
          <w:tcPr>
            <w:tcW w:type="dxa" w:w="50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长期密钥放在密钥管理/环境变量，定期轮换；不得提交 GitHub</w:t>
            </w:r>
          </w:p>
        </w:tc>
        <w:tc>
          <w:tcPr>
            <w:tcW w:type="dxa" w:w="316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仓库扫描与密钥轮换演练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传输/静态加密</w:t>
            </w:r>
          </w:p>
        </w:tc>
        <w:tc>
          <w:tcPr>
            <w:tcW w:type="dxa" w:w="50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HTTPS；云端静态加密；高敏感文件考虑客户端加密</w:t>
            </w:r>
          </w:p>
        </w:tc>
        <w:tc>
          <w:tcPr>
            <w:tcW w:type="dxa" w:w="316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核对 TLS 和恢复解密流程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备份恢复</w:t>
            </w:r>
          </w:p>
        </w:tc>
        <w:tc>
          <w:tcPr>
            <w:tcW w:type="dxa" w:w="50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独立账号或地域；数据库和对象文件分别验证；设置保留策略</w:t>
            </w:r>
          </w:p>
        </w:tc>
        <w:tc>
          <w:tcPr>
            <w:tcW w:type="dxa" w:w="316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定期恢复抽样文件与完整数据库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日志与告警</w:t>
            </w:r>
          </w:p>
        </w:tc>
        <w:tc>
          <w:tcPr>
            <w:tcW w:type="dxa" w:w="50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管理员登录、权限变更、批量下载、删除和费用异常均记录</w:t>
            </w:r>
          </w:p>
        </w:tc>
        <w:tc>
          <w:tcPr>
            <w:tcW w:type="dxa" w:w="316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检查日志可检索且不暴露文件内容/密钥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AI 权限</w:t>
            </w:r>
          </w:p>
        </w:tc>
        <w:tc>
          <w:tcPr>
            <w:tcW w:type="dxa" w:w="50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AI 仅拿到所需内容和工具权限；高风险改动需人工审核</w:t>
            </w:r>
          </w:p>
        </w:tc>
        <w:tc>
          <w:tcPr>
            <w:tcW w:type="dxa" w:w="316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让 AI 生成脚本但不自动执行破坏性命令</w:t>
            </w:r>
          </w:p>
        </w:tc>
      </w:tr>
    </w:tbl>
    <w:p>
      <w:pPr>
        <w:spacing w:before="0" w:after="0" w:line="276" w:lineRule="auto"/>
      </w:pPr>
    </w:p>
    <w:p>
      <w:pPr>
        <w:pStyle w:val="Heading2"/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1769AA"/>
          <w:sz w:val="26"/>
        </w:rPr>
        <w:t>云端唯一副本的风险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i w:val="0"/>
          <w:color w:val="203047"/>
          <w:sz w:val="19"/>
        </w:rPr>
        <w:t>如果完全不保留本地副本，仍建议建立与生产数据隔离的云端备份，并考虑不同地域/不同账号。仅在同一账号复制到另一个目录，对账号被盗、权限误配置或恶意删除的保护有限。云端备份也产生存储、复制、请求和可能的跨地域传输费用，需加入成本仪表板。</w:t>
      </w:r>
    </w:p>
    <w:p>
      <w:pPr>
        <w:pStyle w:val="Heading2"/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1769AA"/>
          <w:sz w:val="26"/>
        </w:rPr>
        <w:t>运营检查频率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1728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频率</w:t>
            </w:r>
          </w:p>
        </w:tc>
        <w:tc>
          <w:tcPr>
            <w:tcW w:type="dxa" w:w="8064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检查内容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7"/>
              </w:rPr>
              <w:t>每周</w:t>
            </w:r>
          </w:p>
        </w:tc>
        <w:tc>
          <w:tcPr>
            <w:tcW w:type="dxa" w:w="806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7"/>
              </w:rPr>
              <w:t>失败任务、存储增量、异常登录、公开链接和下载记录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7"/>
              </w:rPr>
              <w:t>每月</w:t>
            </w:r>
          </w:p>
        </w:tc>
        <w:tc>
          <w:tcPr>
            <w:tcW w:type="dxa" w:w="806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7"/>
              </w:rPr>
              <w:t>OSS 账单分项、出网流量、域名/服务器到期、账号权限、依赖更新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7"/>
              </w:rPr>
              <w:t>每季度</w:t>
            </w:r>
          </w:p>
        </w:tc>
        <w:tc>
          <w:tcPr>
            <w:tcW w:type="dxa" w:w="806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7"/>
              </w:rPr>
              <w:t>恢复演练、私有链接测试、访问策略与账号成员复核</w:t>
            </w:r>
          </w:p>
        </w:tc>
      </w:tr>
      <w:tr>
        <w:trPr>
          <w:cantSplit/>
        </w:trPr>
        <w:tc>
          <w:tcPr>
            <w:tcW w:type="dxa" w:w="172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7"/>
              </w:rPr>
              <w:t>每次重大改版</w:t>
            </w:r>
          </w:p>
        </w:tc>
        <w:tc>
          <w:tcPr>
            <w:tcW w:type="dxa" w:w="806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7"/>
              </w:rPr>
              <w:t>数据库迁移、文件对象路径、权限回归测试与备份点创建</w:t>
            </w:r>
          </w:p>
        </w:tc>
      </w:tr>
    </w:tbl>
    <w:p>
      <w:pPr>
        <w:spacing w:before="0" w:after="0" w:line="276" w:lineRule="auto"/>
      </w:pPr>
    </w:p>
    <w:p>
      <w:pPr>
        <w:spacing w:before="200" w:after="40" w:line="240" w:lineRule="auto"/>
      </w:pPr>
      <w:r>
        <w:rPr>
          <w:rFonts w:ascii="Noto Sans CJK SC" w:hAnsi="Noto Sans CJK SC" w:eastAsia="Noto Sans CJK SC"/>
          <w:b/>
          <w:color w:val="138A82"/>
          <w:sz w:val="34"/>
        </w:rPr>
        <w:t xml:space="preserve">10  </w:t>
      </w:r>
      <w:r>
        <w:rPr>
          <w:rFonts w:ascii="Noto Sans CJK SC" w:hAnsi="Noto Sans CJK SC" w:eastAsia="Noto Sans CJK SC"/>
          <w:b/>
          <w:color w:val="142D4E"/>
          <w:sz w:val="34"/>
        </w:rPr>
        <w:t>ICP备案与上线合规边界</w:t>
      </w:r>
    </w:p>
    <w:p>
      <w:pPr>
        <w:spacing w:before="0" w:after="140" w:line="276" w:lineRule="auto"/>
      </w:pPr>
      <w:r>
        <w:rPr>
          <w:rFonts w:ascii="Noto Sans CJK SC" w:hAnsi="Noto Sans CJK SC" w:eastAsia="Noto Sans CJK SC"/>
          <w:b w:val="0"/>
          <w:i w:val="0"/>
          <w:color w:val="566579"/>
          <w:sz w:val="18"/>
        </w:rPr>
        <w:t>大陆备案以网站服务器地域、备案主体所在地和实际内容为基础判断。</w:t>
      </w:r>
    </w:p>
    <w:p>
      <w:pPr>
        <w:pStyle w:val="Heading2"/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1769AA"/>
          <w:sz w:val="26"/>
        </w:rPr>
        <w:t>备案处理流程</w:t>
      </w:r>
    </w:p>
    <w:p>
      <w:pPr>
        <w:spacing w:before="0" w:after="80" w:line="269" w:lineRule="auto"/>
        <w:ind w:left="403" w:hanging="403"/>
      </w:pPr>
      <w:r>
        <w:rPr>
          <w:rFonts w:ascii="Noto Sans CJK SC" w:hAnsi="Noto Sans CJK SC" w:eastAsia="Noto Sans CJK SC"/>
          <w:b/>
          <w:color w:val="1769AA"/>
          <w:sz w:val="20"/>
        </w:rPr>
        <w:t xml:space="preserve">1.  </w:t>
      </w:r>
      <w:r>
        <w:rPr>
          <w:rFonts w:ascii="Noto Sans CJK SC" w:hAnsi="Noto Sans CJK SC" w:eastAsia="Noto Sans CJK SC"/>
          <w:color w:val="203047"/>
          <w:sz w:val="20"/>
        </w:rPr>
        <w:t>确认需要备案的主体信息、域名实名信息及云服务器的备案资格。</w:t>
      </w:r>
    </w:p>
    <w:p>
      <w:pPr>
        <w:spacing w:before="0" w:after="80" w:line="269" w:lineRule="auto"/>
        <w:ind w:left="403" w:hanging="403"/>
      </w:pPr>
      <w:r>
        <w:rPr>
          <w:rFonts w:ascii="Noto Sans CJK SC" w:hAnsi="Noto Sans CJK SC" w:eastAsia="Noto Sans CJK SC"/>
          <w:b/>
          <w:color w:val="1769AA"/>
          <w:sz w:val="20"/>
        </w:rPr>
        <w:t xml:space="preserve">2.  </w:t>
      </w:r>
      <w:r>
        <w:rPr>
          <w:rFonts w:ascii="Noto Sans CJK SC" w:hAnsi="Noto Sans CJK SC" w:eastAsia="Noto Sans CJK SC"/>
          <w:color w:val="203047"/>
          <w:sz w:val="20"/>
        </w:rPr>
        <w:t>若网站部署于中国大陆服务器，按阿里云 ICP 备案系统及主体所在地通信管理局规则提交备案。一个主体可以存在多个网站，但能否同单提交以及处理顺序需按当地规则确认。</w:t>
      </w:r>
    </w:p>
    <w:p>
      <w:pPr>
        <w:spacing w:before="0" w:after="80" w:line="269" w:lineRule="auto"/>
        <w:ind w:left="403" w:hanging="403"/>
      </w:pPr>
      <w:r>
        <w:rPr>
          <w:rFonts w:ascii="Noto Sans CJK SC" w:hAnsi="Noto Sans CJK SC" w:eastAsia="Noto Sans CJK SC"/>
          <w:b/>
          <w:color w:val="1769AA"/>
          <w:sz w:val="20"/>
        </w:rPr>
        <w:t xml:space="preserve">3.  </w:t>
      </w:r>
      <w:r>
        <w:rPr>
          <w:rFonts w:ascii="Noto Sans CJK SC" w:hAnsi="Noto Sans CJK SC" w:eastAsia="Noto Sans CJK SC"/>
          <w:color w:val="203047"/>
          <w:sz w:val="20"/>
        </w:rPr>
        <w:t>备案通过后，在网站按要求展示备案信息；网站上线后按规定办理公安联网备案。阿里云公开指引说明：开通网站之日起 30 日内提交公安联网备案申请。</w:t>
      </w:r>
    </w:p>
    <w:p>
      <w:pPr>
        <w:spacing w:before="0" w:after="80" w:line="269" w:lineRule="auto"/>
        <w:ind w:left="403" w:hanging="403"/>
      </w:pPr>
      <w:r>
        <w:rPr>
          <w:rFonts w:ascii="Noto Sans CJK SC" w:hAnsi="Noto Sans CJK SC" w:eastAsia="Noto Sans CJK SC"/>
          <w:b/>
          <w:color w:val="1769AA"/>
          <w:sz w:val="20"/>
        </w:rPr>
        <w:t xml:space="preserve">4.  </w:t>
      </w:r>
      <w:r>
        <w:rPr>
          <w:rFonts w:ascii="Noto Sans CJK SC" w:hAnsi="Noto Sans CJK SC" w:eastAsia="Noto Sans CJK SC"/>
          <w:color w:val="203047"/>
          <w:sz w:val="20"/>
        </w:rPr>
        <w:t>如网站内容涉及新闻、出版、药品医疗器械等需要前置审批的领域，应先核对对应许可要求。若开展经营性互联网信息服务，需进一步核查是否需要经营性 ICP 许可证等资质。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DF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2" w:color="A66A00"/>
              <w:bottom w:val="nil"/>
              <w:right w:val="nil"/>
            </w:tcBorders>
          </w:tcPr>
          <w:p>
            <w:pPr>
              <w:spacing w:before="0" w:after="80" w:line="264" w:lineRule="auto"/>
            </w:pPr>
            <w:r>
              <w:rPr>
                <w:rFonts w:ascii="Noto Sans CJK SC" w:hAnsi="Noto Sans CJK SC" w:eastAsia="Noto Sans CJK SC"/>
                <w:b/>
                <w:color w:val="A66A00"/>
                <w:sz w:val="21"/>
              </w:rPr>
              <w:t>地域提醒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color w:val="203047"/>
                <w:sz w:val="19"/>
              </w:rPr>
              <w:t>中国大陆节点通常要求先完成 ICP 备案后再公开提供网站服务；中国香港或海外节点通常无需办理大陆 ICP 备案，但其延迟、面向大陆用户访问、适用法规与云服务配置有所不同。因为本项目先前明确提出备案要求，当前方案默认按中国大陆地域规划，最终需按真实上线地域复核。</w:t>
            </w:r>
          </w:p>
        </w:tc>
      </w:tr>
    </w:tbl>
    <w:p>
      <w:pPr>
        <w:spacing w:before="0" w:after="40" w:line="276" w:lineRule="auto"/>
      </w:pPr>
    </w:p>
    <w:p>
      <w:pPr>
        <w:spacing w:before="200" w:after="40" w:line="240" w:lineRule="auto"/>
      </w:pPr>
      <w:r>
        <w:rPr>
          <w:rFonts w:ascii="Noto Sans CJK SC" w:hAnsi="Noto Sans CJK SC" w:eastAsia="Noto Sans CJK SC"/>
          <w:b/>
          <w:color w:val="138A82"/>
          <w:sz w:val="34"/>
        </w:rPr>
        <w:t xml:space="preserve">11  </w:t>
      </w:r>
      <w:r>
        <w:rPr>
          <w:rFonts w:ascii="Noto Sans CJK SC" w:hAnsi="Noto Sans CJK SC" w:eastAsia="Noto Sans CJK SC"/>
          <w:b/>
          <w:color w:val="142D4E"/>
          <w:sz w:val="34"/>
        </w:rPr>
        <w:t>阶段路线、风险与验收标准</w:t>
      </w:r>
    </w:p>
    <w:p>
      <w:pPr>
        <w:spacing w:before="0" w:after="140" w:line="276" w:lineRule="auto"/>
      </w:pPr>
      <w:r>
        <w:rPr>
          <w:rFonts w:ascii="Noto Sans CJK SC" w:hAnsi="Noto Sans CJK SC" w:eastAsia="Noto Sans CJK SC"/>
          <w:b w:val="0"/>
          <w:i w:val="0"/>
          <w:color w:val="566579"/>
          <w:sz w:val="18"/>
        </w:rPr>
        <w:t>通过小步上线控制成本与技术复杂度。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656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3240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范围</w:t>
            </w:r>
          </w:p>
        </w:tc>
        <w:tc>
          <w:tcPr>
            <w:tcW w:type="dxa" w:w="3168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完成标准</w:t>
            </w:r>
          </w:p>
        </w:tc>
        <w:tc>
          <w:tcPr>
            <w:tcW w:type="dxa" w:w="2016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暂缓事项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MVP 0–2 周（规划窗口示意）</w:t>
            </w:r>
          </w:p>
        </w:tc>
        <w:tc>
          <w:tcPr>
            <w:tcW w:type="dxa" w:w="32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两个基础站点、登录、域名/HTTPS、文件上传与预览、基本权限</w:t>
            </w:r>
          </w:p>
        </w:tc>
        <w:tc>
          <w:tcPr>
            <w:tcW w:type="dxa" w:w="316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两站可独立访问；私人链接不能匿名打开；基础费用统计可用</w:t>
            </w:r>
          </w:p>
        </w:tc>
        <w:tc>
          <w:tcPr>
            <w:tcW w:type="dxa" w:w="20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复杂向量检索、大规模媒体转码、自动公网分享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稳定期</w:t>
            </w:r>
          </w:p>
        </w:tc>
        <w:tc>
          <w:tcPr>
            <w:tcW w:type="dxa" w:w="32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备份、恢复演练、费用告警、元数据检索和版本策略</w:t>
            </w:r>
          </w:p>
        </w:tc>
        <w:tc>
          <w:tcPr>
            <w:tcW w:type="dxa" w:w="316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完成一轮数据库+文件恢复测试；形成月度费用记录</w:t>
            </w:r>
          </w:p>
        </w:tc>
        <w:tc>
          <w:tcPr>
            <w:tcW w:type="dxa" w:w="20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高成本跨媒体 AI 分析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增强期</w:t>
            </w:r>
          </w:p>
        </w:tc>
        <w:tc>
          <w:tcPr>
            <w:tcW w:type="dxa" w:w="32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全文检索、标签关联、内容版本、个人时间线</w:t>
            </w:r>
          </w:p>
        </w:tc>
        <w:tc>
          <w:tcPr>
            <w:tcW w:type="dxa" w:w="316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检索质量和权限通过测试；能从源文件重建索引</w:t>
            </w:r>
          </w:p>
        </w:tc>
        <w:tc>
          <w:tcPr>
            <w:tcW w:type="dxa" w:w="20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不必要的微服务拆分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自动化期</w:t>
            </w:r>
          </w:p>
        </w:tc>
        <w:tc>
          <w:tcPr>
            <w:tcW w:type="dxa" w:w="324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Grok Bot 辅助内容流水线、代码审查和任务生成</w:t>
            </w:r>
          </w:p>
        </w:tc>
        <w:tc>
          <w:tcPr>
            <w:tcW w:type="dxa" w:w="316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自动化有日志、权限最小化、失败可重试并可人工介入</w:t>
            </w:r>
          </w:p>
        </w:tc>
        <w:tc>
          <w:tcPr>
            <w:tcW w:type="dxa" w:w="20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5"/>
              </w:rPr>
              <w:t>未经审核的破坏性写入或删除</w:t>
            </w:r>
          </w:p>
        </w:tc>
      </w:tr>
    </w:tbl>
    <w:p>
      <w:pPr>
        <w:spacing w:before="0" w:after="0" w:line="276" w:lineRule="auto"/>
      </w:pPr>
    </w:p>
    <w:p>
      <w:pPr>
        <w:pStyle w:val="Heading2"/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1769AA"/>
          <w:sz w:val="26"/>
        </w:rPr>
        <w:t>主要风险登记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088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2304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5760"/>
            <w:shd w:fill="142D4E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6" w:color="142D4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控制措施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活动价不可得/续费涨价</w:t>
            </w:r>
          </w:p>
        </w:tc>
        <w:tc>
          <w:tcPr>
            <w:tcW w:type="dxa" w:w="230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固定成本上升、预算超支</w:t>
            </w:r>
          </w:p>
        </w:tc>
        <w:tc>
          <w:tcPr>
            <w:tcW w:type="dxa" w:w="576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购买前确认续费价并做 12 个月总成本，不只看首年折扣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公开媒体流量过高</w:t>
            </w:r>
          </w:p>
        </w:tc>
        <w:tc>
          <w:tcPr>
            <w:tcW w:type="dxa" w:w="230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OSS 外网流量账单上涨</w:t>
            </w:r>
          </w:p>
        </w:tc>
        <w:tc>
          <w:tcPr>
            <w:tcW w:type="dxa" w:w="576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记录出网量；按访问分层；核算 CDN/资源包，不盲目启用加速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私人文件误公开</w:t>
            </w:r>
          </w:p>
        </w:tc>
        <w:tc>
          <w:tcPr>
            <w:tcW w:type="dxa" w:w="230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隐私泄露</w:t>
            </w:r>
          </w:p>
        </w:tc>
        <w:tc>
          <w:tcPr>
            <w:tcW w:type="dxa" w:w="576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默认私有、服务器端授权、短时链接、定期权限测试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云端账号丢失或被盗</w:t>
            </w:r>
          </w:p>
        </w:tc>
        <w:tc>
          <w:tcPr>
            <w:tcW w:type="dxa" w:w="230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数据损失/泄露</w:t>
            </w:r>
          </w:p>
        </w:tc>
        <w:tc>
          <w:tcPr>
            <w:tcW w:type="dxa" w:w="576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MFA、独立备份账号、权限最小化、密钥轮换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备份不可恢复</w:t>
            </w:r>
          </w:p>
        </w:tc>
        <w:tc>
          <w:tcPr>
            <w:tcW w:type="dxa" w:w="230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故障后无法还原</w:t>
            </w:r>
          </w:p>
        </w:tc>
        <w:tc>
          <w:tcPr>
            <w:tcW w:type="dxa" w:w="576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定期恢复演练；同时恢复数据库元数据与实际对象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AI 自动化误操作</w:t>
            </w:r>
          </w:p>
        </w:tc>
        <w:tc>
          <w:tcPr>
            <w:tcW w:type="dxa" w:w="230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误删、数据外泄、错误发布</w:t>
            </w:r>
          </w:p>
        </w:tc>
        <w:tc>
          <w:tcPr>
            <w:tcW w:type="dxa" w:w="576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7F9FC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限制工具权限；对删除、发布和权限变更保留人工确认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订阅额度/规则变化</w:t>
            </w:r>
          </w:p>
        </w:tc>
        <w:tc>
          <w:tcPr>
            <w:tcW w:type="dxa" w:w="230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自动化中断或成本增加</w:t>
            </w:r>
          </w:p>
        </w:tc>
        <w:tc>
          <w:tcPr>
            <w:tcW w:type="dxa" w:w="576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tcBorders>
              <w:bottom w:val="single" w:sz="3" w:color="D9E2EC"/>
            </w:tcBorders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203047"/>
                <w:sz w:val="16"/>
              </w:rPr>
              <w:t>月度复盘额度；保留非 AI 的核心网站运行能力</w:t>
            </w:r>
          </w:p>
        </w:tc>
      </w:tr>
    </w:tbl>
    <w:p>
      <w:pPr>
        <w:spacing w:before="0" w:after="0" w:line="276" w:lineRule="auto"/>
      </w:pPr>
    </w:p>
    <w:p>
      <w:pPr>
        <w:pStyle w:val="Heading2"/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1769AA"/>
          <w:sz w:val="26"/>
        </w:rPr>
        <w:t>上线验收清单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color w:val="203047"/>
          <w:sz w:val="20"/>
        </w:rPr>
        <w:t>两个独立域名均有有效 HTTPS，网站之间的认证和配置没有误共享。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color w:val="203047"/>
          <w:sz w:val="20"/>
        </w:rPr>
        <w:t>私人文件在未登录、登录错误账号、签名链接过期三种情况下均不可读取。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color w:val="203047"/>
          <w:sz w:val="20"/>
        </w:rPr>
        <w:t>OSS 公开读写关闭，浏览器前端和 GitHub 仓库中无长期云密钥。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color w:val="203047"/>
          <w:sz w:val="20"/>
        </w:rPr>
        <w:t>从备份恢复一个数据库快照及至少 10 个跨类型文件（图片、PDF、视频），文件可打开且校验信息一致。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color w:val="203047"/>
          <w:sz w:val="20"/>
        </w:rPr>
        <w:t>能在云账单中分别识别服务器、存储、流量、请求/处理及备份费用。</w:t>
      </w:r>
    </w:p>
    <w:p>
      <w:pPr>
        <w:pStyle w:val="ListBullet"/>
        <w:spacing w:before="0" w:after="60" w:line="269" w:lineRule="auto"/>
      </w:pPr>
      <w:r>
        <w:rPr>
          <w:rFonts w:ascii="Noto Sans CJK SC" w:hAnsi="Noto Sans CJK SC" w:eastAsia="Noto Sans CJK SC"/>
          <w:color w:val="203047"/>
          <w:sz w:val="20"/>
        </w:rPr>
        <w:t>Grok Bot 不具备无需审核即可删除全部文件、公开私人内容或修改云账号安全设置的权限。</w:t>
      </w:r>
    </w:p>
    <w:p>
      <w:pPr>
        <w:spacing w:before="200" w:after="40" w:line="240" w:lineRule="auto"/>
      </w:pPr>
      <w:r>
        <w:rPr>
          <w:rFonts w:ascii="Noto Sans CJK SC" w:hAnsi="Noto Sans CJK SC" w:eastAsia="Noto Sans CJK SC"/>
          <w:b/>
          <w:color w:val="138A82"/>
          <w:sz w:val="34"/>
        </w:rPr>
        <w:t xml:space="preserve">12  </w:t>
      </w:r>
      <w:r>
        <w:rPr>
          <w:rFonts w:ascii="Noto Sans CJK SC" w:hAnsi="Noto Sans CJK SC" w:eastAsia="Noto Sans CJK SC"/>
          <w:b/>
          <w:color w:val="142D4E"/>
          <w:sz w:val="34"/>
        </w:rPr>
        <w:t>官方资料与价格核验清单</w:t>
      </w:r>
    </w:p>
    <w:p>
      <w:pPr>
        <w:spacing w:before="0" w:after="140" w:line="276" w:lineRule="auto"/>
      </w:pPr>
      <w:r>
        <w:rPr>
          <w:rFonts w:ascii="Noto Sans CJK SC" w:hAnsi="Noto Sans CJK SC" w:eastAsia="Noto Sans CJK SC"/>
          <w:b w:val="0"/>
          <w:i w:val="0"/>
          <w:color w:val="566579"/>
          <w:sz w:val="18"/>
        </w:rPr>
        <w:t>本文件价格模型参考官方公开页面；实际购买前请打开原页面核验。</w:t>
      </w:r>
    </w:p>
    <w:p>
      <w:pPr>
        <w:keepNext/>
        <w:spacing w:before="0" w:after="40" w:line="264" w:lineRule="auto"/>
      </w:pPr>
      <w:r>
        <w:rPr>
          <w:rFonts w:ascii="Noto Sans CJK SC" w:hAnsi="Noto Sans CJK SC" w:eastAsia="Noto Sans CJK SC"/>
          <w:b/>
          <w:color w:val="203047"/>
          <w:sz w:val="18"/>
        </w:rPr>
        <w:t>阿里云 OSS 计费组成与定价：</w:t>
      </w:r>
      <w:hyperlink r:id="rId11">
        <w:r>
          <w:rPr>
            <w:color w:val="1769AA"/>
            <w:u w:val="single"/>
            <w:rFonts w:ascii="Noto Sans CJK SC" w:eastAsia="Noto Sans CJK SC"/>
            <w:sz w:val="18"/>
          </w:rPr>
          <w:t>https://help.aliyun.com/zh/oss/understanding-billing/</w:t>
        </w:r>
      </w:hyperlink>
    </w:p>
    <w:p>
      <w:pPr>
        <w:spacing w:before="0" w:after="100" w:line="264" w:lineRule="auto"/>
      </w:pPr>
      <w:r>
        <w:rPr>
          <w:rFonts w:ascii="Noto Sans CJK SC" w:hAnsi="Noto Sans CJK SC" w:eastAsia="Noto Sans CJK SC"/>
          <w:color w:val="566579"/>
          <w:sz w:val="17"/>
        </w:rPr>
        <w:t>说明 OSS 费用可能包括存储、外网流量、请求与数据处理费用。</w:t>
      </w:r>
    </w:p>
    <w:p>
      <w:pPr>
        <w:keepNext/>
        <w:spacing w:before="0" w:after="40" w:line="264" w:lineRule="auto"/>
      </w:pPr>
      <w:r>
        <w:rPr>
          <w:rFonts w:ascii="Noto Sans CJK SC" w:hAnsi="Noto Sans CJK SC" w:eastAsia="Noto Sans CJK SC"/>
          <w:b/>
          <w:color w:val="203047"/>
          <w:sz w:val="18"/>
        </w:rPr>
        <w:t>阿里云 OSS 付费方式：</w:t>
      </w:r>
      <w:hyperlink r:id="rId12">
        <w:r>
          <w:rPr>
            <w:color w:val="1769AA"/>
            <w:u w:val="single"/>
            <w:rFonts w:ascii="Noto Sans CJK SC" w:eastAsia="Noto Sans CJK SC"/>
            <w:sz w:val="18"/>
          </w:rPr>
          <w:t>https://help.aliyun.com/zh/oss/billing-method/</w:t>
        </w:r>
      </w:hyperlink>
    </w:p>
    <w:p>
      <w:pPr>
        <w:spacing w:before="0" w:after="100" w:line="264" w:lineRule="auto"/>
      </w:pPr>
      <w:r>
        <w:rPr>
          <w:rFonts w:ascii="Noto Sans CJK SC" w:hAnsi="Noto Sans CJK SC" w:eastAsia="Noto Sans CJK SC"/>
          <w:color w:val="566579"/>
          <w:sz w:val="17"/>
        </w:rPr>
        <w:t>按量付费、资源包等支付方式及适用场景。</w:t>
      </w:r>
    </w:p>
    <w:p>
      <w:pPr>
        <w:keepNext/>
        <w:spacing w:before="0" w:after="40" w:line="264" w:lineRule="auto"/>
      </w:pPr>
      <w:r>
        <w:rPr>
          <w:rFonts w:ascii="Noto Sans CJK SC" w:hAnsi="Noto Sans CJK SC" w:eastAsia="Noto Sans CJK SC"/>
          <w:b/>
          <w:color w:val="203047"/>
          <w:sz w:val="18"/>
        </w:rPr>
        <w:t>阿里云 OSS 存储费用：</w:t>
      </w:r>
      <w:hyperlink r:id="rId13">
        <w:r>
          <w:rPr>
            <w:color w:val="1769AA"/>
            <w:u w:val="single"/>
            <w:rFonts w:ascii="Noto Sans CJK SC" w:eastAsia="Noto Sans CJK SC"/>
            <w:sz w:val="18"/>
          </w:rPr>
          <w:t>https://help.aliyun.com/zh/oss/storage-fees</w:t>
        </w:r>
      </w:hyperlink>
    </w:p>
    <w:p>
      <w:pPr>
        <w:spacing w:before="0" w:after="100" w:line="264" w:lineRule="auto"/>
      </w:pPr>
      <w:r>
        <w:rPr>
          <w:rFonts w:ascii="Noto Sans CJK SC" w:hAnsi="Noto Sans CJK SC" w:eastAsia="Noto Sans CJK SC"/>
          <w:color w:val="566579"/>
          <w:sz w:val="17"/>
        </w:rPr>
        <w:t>标准存储示例价格和计量方式，地域与产品实际价格仍需核验。</w:t>
      </w:r>
    </w:p>
    <w:p>
      <w:pPr>
        <w:keepNext/>
        <w:spacing w:before="0" w:after="40" w:line="264" w:lineRule="auto"/>
      </w:pPr>
      <w:r>
        <w:rPr>
          <w:rFonts w:ascii="Noto Sans CJK SC" w:hAnsi="Noto Sans CJK SC" w:eastAsia="Noto Sans CJK SC"/>
          <w:b/>
          <w:color w:val="203047"/>
          <w:sz w:val="18"/>
        </w:rPr>
        <w:t>阿里云轻量应用服务器使用须知：</w:t>
      </w:r>
      <w:hyperlink r:id="rId14">
        <w:r>
          <w:rPr>
            <w:color w:val="1769AA"/>
            <w:u w:val="single"/>
            <w:rFonts w:ascii="Noto Sans CJK SC" w:eastAsia="Noto Sans CJK SC"/>
            <w:sz w:val="18"/>
          </w:rPr>
          <w:t>https://help.aliyun.com/zh/simple-application-server/product-overview/usage-notes</w:t>
        </w:r>
      </w:hyperlink>
    </w:p>
    <w:p>
      <w:pPr>
        <w:spacing w:before="0" w:after="100" w:line="264" w:lineRule="auto"/>
      </w:pPr>
      <w:r>
        <w:rPr>
          <w:rFonts w:ascii="Noto Sans CJK SC" w:hAnsi="Noto Sans CJK SC" w:eastAsia="Noto Sans CJK SC"/>
          <w:color w:val="566579"/>
          <w:sz w:val="17"/>
        </w:rPr>
        <w:t>大陆节点网站备案及备案服务码相关要求。</w:t>
      </w:r>
    </w:p>
    <w:p>
      <w:pPr>
        <w:keepNext/>
        <w:spacing w:before="0" w:after="40" w:line="264" w:lineRule="auto"/>
      </w:pPr>
      <w:r>
        <w:rPr>
          <w:rFonts w:ascii="Noto Sans CJK SC" w:hAnsi="Noto Sans CJK SC" w:eastAsia="Noto Sans CJK SC"/>
          <w:b/>
          <w:color w:val="203047"/>
          <w:sz w:val="18"/>
        </w:rPr>
        <w:t>阿里云个人网站 ICP 备案快速入门：</w:t>
      </w:r>
      <w:hyperlink r:id="rId15">
        <w:r>
          <w:rPr>
            <w:color w:val="1769AA"/>
            <w:u w:val="single"/>
            <w:rFonts w:ascii="Noto Sans CJK SC" w:eastAsia="Noto Sans CJK SC"/>
            <w:sz w:val="18"/>
          </w:rPr>
          <w:t>https://help.aliyun.com/zh/icp-filing/basic-icp-service/getting-started/quick-start-for-icp-filing-for-personal-websites</w:t>
        </w:r>
      </w:hyperlink>
    </w:p>
    <w:p>
      <w:pPr>
        <w:spacing w:before="0" w:after="100" w:line="264" w:lineRule="auto"/>
      </w:pPr>
      <w:r>
        <w:rPr>
          <w:rFonts w:ascii="Noto Sans CJK SC" w:hAnsi="Noto Sans CJK SC" w:eastAsia="Noto Sans CJK SC"/>
          <w:color w:val="566579"/>
          <w:sz w:val="17"/>
        </w:rPr>
        <w:t>大陆服务器备案流程、网站主体与公安联网备案信息。</w:t>
      </w:r>
    </w:p>
    <w:p>
      <w:pPr>
        <w:keepNext/>
        <w:spacing w:before="0" w:after="40" w:line="264" w:lineRule="auto"/>
      </w:pPr>
      <w:r>
        <w:rPr>
          <w:rFonts w:ascii="Noto Sans CJK SC" w:hAnsi="Noto Sans CJK SC" w:eastAsia="Noto Sans CJK SC"/>
          <w:b/>
          <w:color w:val="203047"/>
          <w:sz w:val="18"/>
        </w:rPr>
        <w:t>阿里云填写网站信息：</w:t>
      </w:r>
      <w:hyperlink r:id="rId16">
        <w:r>
          <w:rPr>
            <w:color w:val="1769AA"/>
            <w:u w:val="single"/>
            <w:rFonts w:ascii="Noto Sans CJK SC" w:eastAsia="Noto Sans CJK SC"/>
            <w:sz w:val="18"/>
          </w:rPr>
          <w:t>https://help.aliyun.com/zh/icp-filing/basic-icp-service/user-guide/fill-in-website-information</w:t>
        </w:r>
      </w:hyperlink>
    </w:p>
    <w:p>
      <w:pPr>
        <w:spacing w:before="0" w:after="100" w:line="264" w:lineRule="auto"/>
      </w:pPr>
      <w:r>
        <w:rPr>
          <w:rFonts w:ascii="Noto Sans CJK SC" w:hAnsi="Noto Sans CJK SC" w:eastAsia="Noto Sans CJK SC"/>
          <w:color w:val="566579"/>
          <w:sz w:val="17"/>
        </w:rPr>
        <w:t>多个网站提交规则及个人网站信息填写规范。</w:t>
      </w:r>
    </w:p>
    <w:p>
      <w:pPr>
        <w:keepNext/>
        <w:spacing w:before="0" w:after="40" w:line="264" w:lineRule="auto"/>
      </w:pPr>
      <w:r>
        <w:rPr>
          <w:rFonts w:ascii="Noto Sans CJK SC" w:hAnsi="Noto Sans CJK SC" w:eastAsia="Noto Sans CJK SC"/>
          <w:b/>
          <w:color w:val="203047"/>
          <w:sz w:val="18"/>
        </w:rPr>
        <w:t>X Subscription 官方公告：</w:t>
      </w:r>
      <w:hyperlink r:id="rId17">
        <w:r>
          <w:rPr>
            <w:color w:val="1769AA"/>
            <w:u w:val="single"/>
            <w:rFonts w:ascii="Noto Sans CJK SC" w:eastAsia="Noto Sans CJK SC"/>
            <w:sz w:val="18"/>
          </w:rPr>
          <w:t>https://x.ai/news/x-subscription</w:t>
        </w:r>
      </w:hyperlink>
    </w:p>
    <w:p>
      <w:pPr>
        <w:spacing w:before="0" w:after="100" w:line="264" w:lineRule="auto"/>
      </w:pPr>
      <w:r>
        <w:rPr>
          <w:rFonts w:ascii="Noto Sans CJK SC" w:hAnsi="Noto Sans CJK SC" w:eastAsia="Noto Sans CJK SC"/>
          <w:color w:val="566579"/>
          <w:sz w:val="17"/>
        </w:rPr>
        <w:t>X、Grok、Grok Bot、Cursor 合并订阅体系的公告。</w:t>
      </w:r>
    </w:p>
    <w:p>
      <w:pPr>
        <w:keepNext/>
        <w:spacing w:before="0" w:after="40" w:line="264" w:lineRule="auto"/>
      </w:pPr>
      <w:r>
        <w:rPr>
          <w:rFonts w:ascii="Noto Sans CJK SC" w:hAnsi="Noto Sans CJK SC" w:eastAsia="Noto Sans CJK SC"/>
          <w:b/>
          <w:color w:val="203047"/>
          <w:sz w:val="18"/>
        </w:rPr>
        <w:t>X Subscription 官方定价与用量：</w:t>
      </w:r>
      <w:hyperlink r:id="rId18">
        <w:r>
          <w:rPr>
            <w:color w:val="1769AA"/>
            <w:u w:val="single"/>
            <w:rFonts w:ascii="Noto Sans CJK SC" w:eastAsia="Noto Sans CJK SC"/>
            <w:sz w:val="18"/>
          </w:rPr>
          <w:t>https://docs.x.ai/x-subscription/pricing</w:t>
        </w:r>
      </w:hyperlink>
    </w:p>
    <w:p>
      <w:pPr>
        <w:spacing w:before="0" w:after="100" w:line="264" w:lineRule="auto"/>
      </w:pPr>
      <w:r>
        <w:rPr>
          <w:rFonts w:ascii="Noto Sans CJK SC" w:hAnsi="Noto Sans CJK SC" w:eastAsia="Noto Sans CJK SC"/>
          <w:color w:val="566579"/>
          <w:sz w:val="17"/>
        </w:rPr>
        <w:t>Plus/Premium/Super/Ultra 月付、年付和包含额度说明；页面截至 2026-10-11 更新。</w:t>
      </w:r>
    </w:p>
    <w:p>
      <w:pPr>
        <w:keepNext/>
        <w:spacing w:before="0" w:after="40" w:line="264" w:lineRule="auto"/>
      </w:pPr>
      <w:r>
        <w:rPr>
          <w:rFonts w:ascii="Noto Sans CJK SC" w:hAnsi="Noto Sans CJK SC" w:eastAsia="Noto Sans CJK SC"/>
          <w:b/>
          <w:color w:val="203047"/>
          <w:sz w:val="18"/>
        </w:rPr>
        <w:t>Grok Bot 订阅说明：</w:t>
      </w:r>
      <w:hyperlink r:id="rId19">
        <w:r>
          <w:rPr>
            <w:color w:val="1769AA"/>
            <w:u w:val="single"/>
            <w:rFonts w:ascii="Noto Sans CJK SC" w:eastAsia="Noto Sans CJK SC"/>
            <w:sz w:val="18"/>
          </w:rPr>
          <w:t>https://docs.x.ai/x-subscription/grok-bot</w:t>
        </w:r>
      </w:hyperlink>
    </w:p>
    <w:p>
      <w:pPr>
        <w:spacing w:before="0" w:after="100" w:line="264" w:lineRule="auto"/>
      </w:pPr>
      <w:r>
        <w:rPr>
          <w:rFonts w:ascii="Noto Sans CJK SC" w:hAnsi="Noto Sans CJK SC" w:eastAsia="Noto Sans CJK SC"/>
          <w:color w:val="566579"/>
          <w:sz w:val="17"/>
        </w:rPr>
        <w:t>各订阅中 Grok Bot 的包含规则。</w:t>
      </w:r>
    </w:p>
    <w:p>
      <w:pPr>
        <w:keepNext/>
        <w:spacing w:before="0" w:after="40" w:line="264" w:lineRule="auto"/>
      </w:pPr>
      <w:r>
        <w:rPr>
          <w:rFonts w:ascii="Noto Sans CJK SC" w:hAnsi="Noto Sans CJK SC" w:eastAsia="Noto Sans CJK SC"/>
          <w:b/>
          <w:color w:val="203047"/>
          <w:sz w:val="18"/>
        </w:rPr>
        <w:t>xAI API 定价：</w:t>
      </w:r>
      <w:hyperlink r:id="rId20">
        <w:r>
          <w:rPr>
            <w:color w:val="1769AA"/>
            <w:u w:val="single"/>
            <w:rFonts w:ascii="Noto Sans CJK SC" w:eastAsia="Noto Sans CJK SC"/>
            <w:sz w:val="18"/>
          </w:rPr>
          <w:t>https://docs.x.ai/developers/pricing</w:t>
        </w:r>
      </w:hyperlink>
    </w:p>
    <w:p>
      <w:pPr>
        <w:spacing w:before="0" w:after="100" w:line="264" w:lineRule="auto"/>
      </w:pPr>
      <w:r>
        <w:rPr>
          <w:rFonts w:ascii="Noto Sans CJK SC" w:hAnsi="Noto Sans CJK SC" w:eastAsia="Noto Sans CJK SC"/>
          <w:color w:val="566579"/>
          <w:sz w:val="17"/>
        </w:rPr>
        <w:t>开发者 API 的独立计费体系与模型费用。</w:t>
      </w:r>
    </w:p>
    <w:p>
      <w:pPr>
        <w:pStyle w:val="Heading2"/>
        <w:keepNext/>
        <w:spacing w:before="160" w:after="100" w:line="252" w:lineRule="auto"/>
      </w:pPr>
      <w:r>
        <w:rPr>
          <w:rFonts w:ascii="Noto Sans CJK SC" w:hAnsi="Noto Sans CJK SC" w:eastAsia="Noto Sans CJK SC"/>
          <w:b/>
          <w:color w:val="1769AA"/>
          <w:sz w:val="26"/>
        </w:rPr>
        <w:t>使用说明与限制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i w:val="0"/>
          <w:color w:val="566579"/>
          <w:sz w:val="18"/>
        </w:rPr>
        <w:t>本文是个人项目建设规划，不构成云服务商报价、网络安全审计意见或法律意见。产品价格、套餐权限、备案政策和域名规则会变化；上线前必须以对应服务商与主管部门的最新要求为准。本文假定两网站由同一主体拥有，但使用独立应用和权限边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66579"/>
        <w:sz w:val="16"/>
      </w:rPr>
      <w:t xml:space="preserve">内部规划稿 · 价格为参考估算 · 版本日期 2026-10-20  |  </w:t>
    </w:r>
    <w:r>
      <w:rPr>
        <w:rFonts w:ascii="Noto Sans CJK SC" w:hAnsi="Noto Sans CJK SC" w:eastAsia="Noto Sans CJK SC"/>
        <w:color w:val="566579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66579"/>
        <w:sz w:val="16"/>
      </w:rPr>
      <w:t>MoBoBrain  |  云端个人数字基础设施方案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elp.aliyun.com/zh/oss/understanding-billing/" TargetMode="External"/><Relationship Id="rId12" Type="http://schemas.openxmlformats.org/officeDocument/2006/relationships/hyperlink" Target="https://help.aliyun.com/zh/oss/billing-method/" TargetMode="External"/><Relationship Id="rId13" Type="http://schemas.openxmlformats.org/officeDocument/2006/relationships/hyperlink" Target="https://help.aliyun.com/zh/oss/storage-fees" TargetMode="External"/><Relationship Id="rId14" Type="http://schemas.openxmlformats.org/officeDocument/2006/relationships/hyperlink" Target="https://help.aliyun.com/zh/simple-application-server/product-overview/usage-notes" TargetMode="External"/><Relationship Id="rId15" Type="http://schemas.openxmlformats.org/officeDocument/2006/relationships/hyperlink" Target="https://help.aliyun.com/zh/icp-filing/basic-icp-service/getting-started/quick-start-for-icp-filing-for-personal-websites" TargetMode="External"/><Relationship Id="rId16" Type="http://schemas.openxmlformats.org/officeDocument/2006/relationships/hyperlink" Target="https://help.aliyun.com/zh/icp-filing/basic-icp-service/user-guide/fill-in-website-information" TargetMode="External"/><Relationship Id="rId17" Type="http://schemas.openxmlformats.org/officeDocument/2006/relationships/hyperlink" Target="https://x.ai/news/x-subscription" TargetMode="External"/><Relationship Id="rId18" Type="http://schemas.openxmlformats.org/officeDocument/2006/relationships/hyperlink" Target="https://docs.x.ai/x-subscription/pricing" TargetMode="External"/><Relationship Id="rId19" Type="http://schemas.openxmlformats.org/officeDocument/2006/relationships/hyperlink" Target="https://docs.x.ai/x-subscription/grok-bot" TargetMode="External"/><Relationship Id="rId20" Type="http://schemas.openxmlformats.org/officeDocument/2006/relationships/hyperlink" Target="https://docs.x.ai/developers/pric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MoBoBrain 云端知识库与个人数字档案整合方案</dc:title>
  <dc:subject>云服务器、OSS、X Subscription、Grok Bot、成本预算、备案与数据安全</dc:subject>
  <dc:creator>OpenAI</dc:creator>
  <cp:keywords>MoBoBrain, OSS, Grok Bot, X Subscription, 个人数字档案, ICP备案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