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800"/>
      </w:pPr>
      <w:r>
        <w:t xml:space="preserve">SIGBO-CBVC</w:t>
      </w:r>
    </w:p>
    <w:p>
      <w:pPr>
        <w:spacing w:after="200"/>
      </w:pPr>
      <w:r>
        <w:rPr>
          <w:b/>
          <w:bCs/>
          <w:color w:val="10263F"/>
          <w:sz w:val="44"/>
          <w:szCs w:val="44"/>
        </w:rPr>
        <w:t xml:space="preserve">Módulo Servicios</w:t>
      </w:r>
    </w:p>
    <w:p>
      <w:pPr>
        <w:spacing w:after="600"/>
      </w:pPr>
      <w:r>
        <w:rPr>
          <w:i/>
          <w:iCs/>
          <w:color w:val="64748B"/>
          <w:sz w:val="24"/>
          <w:szCs w:val="24"/>
        </w:rPr>
        <w:t xml:space="preserve">Documentación funcional y técnica — estructura, funcionamiento y oportunidades de mejora</w:t>
      </w:r>
    </w:p>
    <w:p>
      <w:pPr>
        <w:spacing w:after="120"/>
      </w:pPr>
      <w:r>
        <w:rPr>
          <w:i/>
          <w:iCs/>
          <w:color w:val="64748B"/>
        </w:rPr>
        <w:t xml:space="preserve">Generado a partir de una lectura directa del código, la base de datos y el índice semántico del proyecto (.context/). Cada afirmación de esta sección puede verificarse contra el archivo citado.</w:t>
      </w:r>
    </w:p>
    <w:p>
      <w:r>
        <w:br w:type="page"/>
      </w:r>
    </w:p>
    <w:p>
      <w:pPr>
        <w:pStyle w:val="Heading1"/>
        <w:spacing w:after="200" w:before="400"/>
      </w:pPr>
      <w:r>
        <w:t xml:space="preserve">1. Resumen ejecutivo</w:t>
      </w:r>
    </w:p>
    <w:p>
      <w:pPr>
        <w:spacing w:after="120"/>
      </w:pPr>
      <w:r>
        <w:t xml:space="preserve">El módulo Servicios registra cada intervención operativa del Cuerpo de Bomberos (incendios, accidentes, rescates, coberturas y otras ocurrencias) a través de un formulario digital extenso — la "Comunicación de Servicio" — que reemplaza el parte en papel. Cada intervención genera dos registros ligados 1 a 1: un Servicio (los datos operativos estructurados: fechas, ubicación, duración) y su Comunicación (el formulario completo, guardado como documento JSON).</w:t>
      </w:r>
    </w:p>
    <w:p>
      <w:pPr>
        <w:spacing w:after="120"/>
      </w:pPr>
      <w:r>
        <w:t xml:space="preserve">El módulo está funcionalmente completo para el flujo principal: cargar, revisar, finalizar y exportar en PDF una comunicación. Pero la base de datos y el modelo de permisos fueron diseñados para un alcance más amplio — despacho en tiempo real, seguimiento GPS en vivo, cuadrillas estructuradas, clasificación por gravedad — que nunca se terminó de conectar al código. La sección 12 detalla cada uno de estos puntos: son la respuesta más directa a "qué le puedo agregar".</w:t>
      </w:r>
    </w:p>
    <w:p>
      <w:pPr>
        <w:pStyle w:val="Heading1"/>
        <w:spacing w:after="200" w:before="400"/>
      </w:pPr>
      <w:r>
        <w:t xml:space="preserve">2. Propósito y alcance</w:t>
      </w:r>
    </w:p>
    <w:p>
      <w:pPr>
        <w:spacing w:after="120"/>
      </w:pPr>
      <w:r>
        <w:t xml:space="preserve">Registrar de forma digital, auditable y exportable cada servicio/intervención, cubriendo dos tipos de formulario con estructura propia:</w:t>
      </w:r>
    </w:p>
    <w:p>
      <w:pPr>
        <w:pStyle w:val="ListParagraph"/>
        <w:numPr>
          <w:ilvl w:val="0"/>
          <w:numId w:val="1"/>
        </w:numPr>
        <w:spacing w:after="60"/>
      </w:pPr>
      <w:r>
        <w:t xml:space="preserve">Comunicación de Incendios: tipo de incendio, combustibles, recursos de extinción (agua/espuma/PQS), causas (antrópica/accidental/natural), estructura afectada, daños eléctricos.</w:t>
      </w:r>
    </w:p>
    <w:p>
      <w:pPr>
        <w:pStyle w:val="ListParagraph"/>
        <w:numPr>
          <w:ilvl w:val="0"/>
          <w:numId w:val="1"/>
        </w:numPr>
        <w:spacing w:after="60"/>
      </w:pPr>
      <w:r>
        <w:t xml:space="preserve">Comunicación de Otras Ocurrencias: accidentes de tránsito, animales, transporte de heridos, rescates, coberturas y "otro servicio" (despeje de calzada, remolque, charlas, colectas, etc.).</w:t>
      </w:r>
    </w:p>
    <w:p>
      <w:pPr>
        <w:spacing w:after="120"/>
      </w:pPr>
      <w:r>
        <w:t xml:space="preserve">Ambos formularios comparten una base común: datos generales del aviso, personal y nómina de guardia, móviles despachados con horarios y kilometraje, personas involucradas, facturación opcional, geolocalización GPS y un croquis dibujado a mano.</w:t>
      </w:r>
    </w:p>
    <w:p>
      <w:pPr>
        <w:pStyle w:val="Heading1"/>
        <w:spacing w:after="200" w:before="400"/>
      </w:pPr>
      <w:r>
        <w:t xml:space="preserve">3. Arquitectura — dónde vive cada pieza</w:t>
      </w:r>
    </w:p>
    <w:tbl>
      <w:tblPr>
        <w:tblW w:type="pct" w:w="100%"/>
        <w:tblBorders>
          <w:top w:val="single" w:color="C8D6DA" w:sz="2"/>
          <w:left w:val="single" w:color="C8D6DA" w:sz="2"/>
          <w:bottom w:val="single" w:color="C8D6DA" w:sz="2"/>
          <w:right w:val="single" w:color="C8D6DA" w:sz="2"/>
          <w:insideH w:val="single" w:color="E6EDEF" w:sz="2"/>
          <w:insideV w:val="single" w:color="E6EDEF" w:sz="2"/>
        </w:tblBorders>
      </w:tblPr>
      <w:tblGrid>
        <w:gridCol w:w="100"/>
        <w:gridCol w:w="100"/>
        <w:gridCol w:w="100"/>
      </w:tblGrid>
      <w:tr>
        <w:tc>
          <w:tcPr>
            <w:tcW w:type="pct" w:w="22%"/>
            <w:shd w:fill="EAF1F3" w:val="clear"/>
            <w:tcMar>
              <w:top w:type="dxa" w:w="80"/>
              <w:left w:type="dxa" w:w="100"/>
              <w:bottom w:type="dxa" w:w="80"/>
              <w:right w:type="dxa" w:w="100"/>
            </w:tcMar>
          </w:tcPr>
          <w:p>
            <w:r>
              <w:rPr>
                <w:b/>
                <w:bCs/>
                <w:sz w:val="19"/>
                <w:szCs w:val="19"/>
              </w:rPr>
              <w:t xml:space="preserve">Capa</w:t>
            </w:r>
          </w:p>
        </w:tc>
        <w:tc>
          <w:tcPr>
            <w:tcW w:type="pct" w:w="40%"/>
            <w:shd w:fill="EAF1F3" w:val="clear"/>
            <w:tcMar>
              <w:top w:type="dxa" w:w="80"/>
              <w:left w:type="dxa" w:w="100"/>
              <w:bottom w:type="dxa" w:w="80"/>
              <w:right w:type="dxa" w:w="100"/>
            </w:tcMar>
          </w:tcPr>
          <w:p>
            <w:r>
              <w:rPr>
                <w:b/>
                <w:bCs/>
                <w:sz w:val="19"/>
                <w:szCs w:val="19"/>
              </w:rPr>
              <w:t xml:space="preserve">Ubicación</w:t>
            </w:r>
          </w:p>
        </w:tc>
        <w:tc>
          <w:tcPr>
            <w:tcW w:type="pct" w:w="38%"/>
            <w:shd w:fill="EAF1F3" w:val="clear"/>
            <w:tcMar>
              <w:top w:type="dxa" w:w="80"/>
              <w:left w:type="dxa" w:w="100"/>
              <w:bottom w:type="dxa" w:w="80"/>
              <w:right w:type="dxa" w:w="100"/>
            </w:tcMar>
          </w:tcPr>
          <w:p>
            <w:r>
              <w:rPr>
                <w:b/>
                <w:bCs/>
                <w:sz w:val="19"/>
                <w:szCs w:val="19"/>
              </w:rPr>
              <w:t xml:space="preserve">Contenido</w:t>
            </w:r>
          </w:p>
        </w:tc>
      </w:tr>
      <w:tr>
        <w:tc>
          <w:tcPr>
            <w:tcW w:type="pct" w:w="22%"/>
            <w:tcMar>
              <w:top w:type="dxa" w:w="80"/>
              <w:left w:type="dxa" w:w="100"/>
              <w:bottom w:type="dxa" w:w="80"/>
              <w:right w:type="dxa" w:w="100"/>
            </w:tcMar>
          </w:tcPr>
          <w:p>
            <w:r>
              <w:rPr>
                <w:b w:val="false"/>
                <w:bCs w:val="false"/>
                <w:sz w:val="18"/>
                <w:szCs w:val="18"/>
              </w:rPr>
              <w:t xml:space="preserve">Backend — controlador</w:t>
            </w:r>
          </w:p>
        </w:tc>
        <w:tc>
          <w:tcPr>
            <w:tcW w:type="pct" w:w="40%"/>
            <w:tcMar>
              <w:top w:type="dxa" w:w="80"/>
              <w:left w:type="dxa" w:w="100"/>
              <w:bottom w:type="dxa" w:w="80"/>
              <w:right w:type="dxa" w:w="100"/>
            </w:tcMar>
          </w:tcPr>
          <w:p>
            <w:r>
              <w:rPr>
                <w:b w:val="false"/>
                <w:bCs w:val="false"/>
                <w:sz w:val="18"/>
                <w:szCs w:val="18"/>
              </w:rPr>
              <w:t xml:space="preserve">backend/src/modules/servicios/servicios.controller.ts</w:t>
            </w:r>
          </w:p>
        </w:tc>
        <w:tc>
          <w:tcPr>
            <w:tcW w:type="pct" w:w="38%"/>
            <w:tcMar>
              <w:top w:type="dxa" w:w="80"/>
              <w:left w:type="dxa" w:w="100"/>
              <w:bottom w:type="dxa" w:w="80"/>
              <w:right w:type="dxa" w:w="100"/>
            </w:tcMar>
          </w:tcPr>
          <w:p>
            <w:r>
              <w:rPr>
                <w:b w:val="false"/>
                <w:bCs w:val="false"/>
                <w:sz w:val="18"/>
                <w:szCs w:val="18"/>
              </w:rPr>
              <w:t xml:space="preserve">12 endpoints bajo /api/v1/servicios/comunicaciones</w:t>
            </w:r>
          </w:p>
        </w:tc>
      </w:tr>
      <w:tr>
        <w:tc>
          <w:tcPr>
            <w:tcW w:type="pct" w:w="22%"/>
            <w:tcMar>
              <w:top w:type="dxa" w:w="80"/>
              <w:left w:type="dxa" w:w="100"/>
              <w:bottom w:type="dxa" w:w="80"/>
              <w:right w:type="dxa" w:w="100"/>
            </w:tcMar>
          </w:tcPr>
          <w:p>
            <w:r>
              <w:rPr>
                <w:b w:val="false"/>
                <w:bCs w:val="false"/>
                <w:sz w:val="18"/>
                <w:szCs w:val="18"/>
              </w:rPr>
              <w:t xml:space="preserve">Backend — lógica</w:t>
            </w:r>
          </w:p>
        </w:tc>
        <w:tc>
          <w:tcPr>
            <w:tcW w:type="pct" w:w="40%"/>
            <w:tcMar>
              <w:top w:type="dxa" w:w="80"/>
              <w:left w:type="dxa" w:w="100"/>
              <w:bottom w:type="dxa" w:w="80"/>
              <w:right w:type="dxa" w:w="100"/>
            </w:tcMar>
          </w:tcPr>
          <w:p>
            <w:r>
              <w:rPr>
                <w:b w:val="false"/>
                <w:bCs w:val="false"/>
                <w:sz w:val="18"/>
                <w:szCs w:val="18"/>
              </w:rPr>
              <w:t xml:space="preserve">backend/src/modules/servicios/servicios.service.ts (~590 líneas)</w:t>
            </w:r>
          </w:p>
        </w:tc>
        <w:tc>
          <w:tcPr>
            <w:tcW w:type="pct" w:w="38%"/>
            <w:tcMar>
              <w:top w:type="dxa" w:w="80"/>
              <w:left w:type="dxa" w:w="100"/>
              <w:bottom w:type="dxa" w:w="80"/>
              <w:right w:type="dxa" w:w="100"/>
            </w:tcMar>
          </w:tcPr>
          <w:p>
            <w:r>
              <w:rPr>
                <w:b w:val="false"/>
                <w:bCs w:val="false"/>
                <w:sz w:val="18"/>
                <w:szCs w:val="18"/>
              </w:rPr>
              <w:t xml:space="preserve">CRUD, máquina de estados, validación extensa, numeración, auditoría</w:t>
            </w:r>
          </w:p>
        </w:tc>
      </w:tr>
      <w:tr>
        <w:tc>
          <w:tcPr>
            <w:tcW w:type="pct" w:w="22%"/>
            <w:tcMar>
              <w:top w:type="dxa" w:w="80"/>
              <w:left w:type="dxa" w:w="100"/>
              <w:bottom w:type="dxa" w:w="80"/>
              <w:right w:type="dxa" w:w="100"/>
            </w:tcMar>
          </w:tcPr>
          <w:p>
            <w:r>
              <w:rPr>
                <w:b w:val="false"/>
                <w:bCs w:val="false"/>
                <w:sz w:val="18"/>
                <w:szCs w:val="18"/>
              </w:rPr>
              <w:t xml:space="preserve">Backend — PDF</w:t>
            </w:r>
          </w:p>
        </w:tc>
        <w:tc>
          <w:tcPr>
            <w:tcW w:type="pct" w:w="40%"/>
            <w:tcMar>
              <w:top w:type="dxa" w:w="80"/>
              <w:left w:type="dxa" w:w="100"/>
              <w:bottom w:type="dxa" w:w="80"/>
              <w:right w:type="dxa" w:w="100"/>
            </w:tcMar>
          </w:tcPr>
          <w:p>
            <w:r>
              <w:rPr>
                <w:b w:val="false"/>
                <w:bCs w:val="false"/>
                <w:sz w:val="18"/>
                <w:szCs w:val="18"/>
              </w:rPr>
              <w:t xml:space="preserve">backend/src/modules/servicios/comunicacion-servicio.pdf.ts</w:t>
            </w:r>
          </w:p>
        </w:tc>
        <w:tc>
          <w:tcPr>
            <w:tcW w:type="pct" w:w="38%"/>
            <w:tcMar>
              <w:top w:type="dxa" w:w="80"/>
              <w:left w:type="dxa" w:w="100"/>
              <w:bottom w:type="dxa" w:w="80"/>
              <w:right w:type="dxa" w:w="100"/>
            </w:tcMar>
          </w:tcPr>
          <w:p>
            <w:r>
              <w:rPr>
                <w:b w:val="false"/>
                <w:bCs w:val="false"/>
                <w:sz w:val="18"/>
                <w:szCs w:val="18"/>
              </w:rPr>
              <w:t xml:space="preserve">Generador con pdfkit, uso interno (ver sección 9)</w:t>
            </w:r>
          </w:p>
        </w:tc>
      </w:tr>
      <w:tr>
        <w:tc>
          <w:tcPr>
            <w:tcW w:type="pct" w:w="22%"/>
            <w:tcMar>
              <w:top w:type="dxa" w:w="80"/>
              <w:left w:type="dxa" w:w="100"/>
              <w:bottom w:type="dxa" w:w="80"/>
              <w:right w:type="dxa" w:w="100"/>
            </w:tcMar>
          </w:tcPr>
          <w:p>
            <w:r>
              <w:rPr>
                <w:b w:val="false"/>
                <w:bCs w:val="false"/>
                <w:sz w:val="18"/>
                <w:szCs w:val="18"/>
              </w:rPr>
              <w:t xml:space="preserve">Backend — DTOs</w:t>
            </w:r>
          </w:p>
        </w:tc>
        <w:tc>
          <w:tcPr>
            <w:tcW w:type="pct" w:w="40%"/>
            <w:tcMar>
              <w:top w:type="dxa" w:w="80"/>
              <w:left w:type="dxa" w:w="100"/>
              <w:bottom w:type="dxa" w:w="80"/>
              <w:right w:type="dxa" w:w="100"/>
            </w:tcMar>
          </w:tcPr>
          <w:p>
            <w:r>
              <w:rPr>
                <w:b w:val="false"/>
                <w:bCs w:val="false"/>
                <w:sz w:val="18"/>
                <w:szCs w:val="18"/>
              </w:rPr>
              <w:t xml:space="preserve">backend/src/modules/servicios/dto/</w:t>
            </w:r>
          </w:p>
        </w:tc>
        <w:tc>
          <w:tcPr>
            <w:tcW w:type="pct" w:w="38%"/>
            <w:tcMar>
              <w:top w:type="dxa" w:w="80"/>
              <w:left w:type="dxa" w:w="100"/>
              <w:bottom w:type="dxa" w:w="80"/>
              <w:right w:type="dxa" w:w="100"/>
            </w:tcMar>
          </w:tcPr>
          <w:p>
            <w:r>
              <w:rPr>
                <w:b w:val="false"/>
                <w:bCs w:val="false"/>
                <w:sz w:val="18"/>
                <w:szCs w:val="18"/>
              </w:rPr>
              <w:t xml:space="preserve">GuardarComunicacionDto, CambiarEstadoComunicacionDto</w:t>
            </w:r>
          </w:p>
        </w:tc>
      </w:tr>
      <w:tr>
        <w:tc>
          <w:tcPr>
            <w:tcW w:type="pct" w:w="22%"/>
            <w:tcMar>
              <w:top w:type="dxa" w:w="80"/>
              <w:left w:type="dxa" w:w="100"/>
              <w:bottom w:type="dxa" w:w="80"/>
              <w:right w:type="dxa" w:w="100"/>
            </w:tcMar>
          </w:tcPr>
          <w:p>
            <w:r>
              <w:rPr>
                <w:b w:val="false"/>
                <w:bCs w:val="false"/>
                <w:sz w:val="18"/>
                <w:szCs w:val="18"/>
              </w:rPr>
              <w:t xml:space="preserve">Backend — pruebas</w:t>
            </w:r>
          </w:p>
        </w:tc>
        <w:tc>
          <w:tcPr>
            <w:tcW w:type="pct" w:w="40%"/>
            <w:tcMar>
              <w:top w:type="dxa" w:w="80"/>
              <w:left w:type="dxa" w:w="100"/>
              <w:bottom w:type="dxa" w:w="80"/>
              <w:right w:type="dxa" w:w="100"/>
            </w:tcMar>
          </w:tcPr>
          <w:p>
            <w:r>
              <w:rPr>
                <w:b w:val="false"/>
                <w:bCs w:val="false"/>
                <w:sz w:val="18"/>
                <w:szCs w:val="18"/>
              </w:rPr>
              <w:t xml:space="preserve">backend/src/modules/servicios/servicios.geolocalizacion.spec.ts</w:t>
            </w:r>
          </w:p>
        </w:tc>
        <w:tc>
          <w:tcPr>
            <w:tcW w:type="pct" w:w="38%"/>
            <w:tcMar>
              <w:top w:type="dxa" w:w="80"/>
              <w:left w:type="dxa" w:w="100"/>
              <w:bottom w:type="dxa" w:w="80"/>
              <w:right w:type="dxa" w:w="100"/>
            </w:tcMar>
          </w:tcPr>
          <w:p>
            <w:r>
              <w:rPr>
                <w:b w:val="false"/>
                <w:bCs w:val="false"/>
                <w:sz w:val="18"/>
                <w:szCs w:val="18"/>
              </w:rPr>
              <w:t xml:space="preserve">Único test automatizado del módulo (ver sección 12)</w:t>
            </w:r>
          </w:p>
        </w:tc>
      </w:tr>
      <w:tr>
        <w:tc>
          <w:tcPr>
            <w:tcW w:type="pct" w:w="22%"/>
            <w:tcMar>
              <w:top w:type="dxa" w:w="80"/>
              <w:left w:type="dxa" w:w="100"/>
              <w:bottom w:type="dxa" w:w="80"/>
              <w:right w:type="dxa" w:w="100"/>
            </w:tcMar>
          </w:tcPr>
          <w:p>
            <w:r>
              <w:rPr>
                <w:b w:val="false"/>
                <w:bCs w:val="false"/>
                <w:sz w:val="18"/>
                <w:szCs w:val="18"/>
              </w:rPr>
              <w:t xml:space="preserve">Entidades TypeORM</w:t>
            </w:r>
          </w:p>
        </w:tc>
        <w:tc>
          <w:tcPr>
            <w:tcW w:type="pct" w:w="40%"/>
            <w:tcMar>
              <w:top w:type="dxa" w:w="80"/>
              <w:left w:type="dxa" w:w="100"/>
              <w:bottom w:type="dxa" w:w="80"/>
              <w:right w:type="dxa" w:w="100"/>
            </w:tcMar>
          </w:tcPr>
          <w:p>
            <w:r>
              <w:rPr>
                <w:b w:val="false"/>
                <w:bCs w:val="false"/>
                <w:sz w:val="18"/>
                <w:szCs w:val="18"/>
              </w:rPr>
              <w:t xml:space="preserve">backend/src/shared/entities/{servicio,comunicacion-servicio,tipo-servicio,personal-servicio}.entity.ts</w:t>
            </w:r>
          </w:p>
        </w:tc>
        <w:tc>
          <w:tcPr>
            <w:tcW w:type="pct" w:w="38%"/>
            <w:tcMar>
              <w:top w:type="dxa" w:w="80"/>
              <w:left w:type="dxa" w:w="100"/>
              <w:bottom w:type="dxa" w:w="80"/>
              <w:right w:type="dxa" w:w="100"/>
            </w:tcMar>
          </w:tcPr>
          <w:p>
            <w:r>
              <w:rPr>
                <w:b w:val="false"/>
                <w:bCs w:val="false"/>
                <w:sz w:val="18"/>
                <w:szCs w:val="18"/>
              </w:rPr>
              <w:t xml:space="preserve">4 entidades; historial_servicios no tiene entidad</w:t>
            </w:r>
          </w:p>
        </w:tc>
      </w:tr>
      <w:tr>
        <w:tc>
          <w:tcPr>
            <w:tcW w:type="pct" w:w="22%"/>
            <w:tcMar>
              <w:top w:type="dxa" w:w="80"/>
              <w:left w:type="dxa" w:w="100"/>
              <w:bottom w:type="dxa" w:w="80"/>
              <w:right w:type="dxa" w:w="100"/>
            </w:tcMar>
          </w:tcPr>
          <w:p>
            <w:r>
              <w:rPr>
                <w:b w:val="false"/>
                <w:bCs w:val="false"/>
                <w:sz w:val="18"/>
                <w:szCs w:val="18"/>
              </w:rPr>
              <w:t xml:space="preserve">Base de datos</w:t>
            </w:r>
          </w:p>
        </w:tc>
        <w:tc>
          <w:tcPr>
            <w:tcW w:type="pct" w:w="40%"/>
            <w:tcMar>
              <w:top w:type="dxa" w:w="80"/>
              <w:left w:type="dxa" w:w="100"/>
              <w:bottom w:type="dxa" w:w="80"/>
              <w:right w:type="dxa" w:w="100"/>
            </w:tcMar>
          </w:tcPr>
          <w:p>
            <w:r>
              <w:rPr>
                <w:b w:val="false"/>
                <w:bCs w:val="false"/>
                <w:sz w:val="18"/>
                <w:szCs w:val="18"/>
              </w:rPr>
              <w:t xml:space="preserve">esquema servicios (5 tablas) — database/migrations/007_servicios.sql, 009_foreign_keys.sql, 017_comunicaciones_servicio.sql</w:t>
            </w:r>
          </w:p>
        </w:tc>
        <w:tc>
          <w:tcPr>
            <w:tcW w:type="pct" w:w="38%"/>
            <w:tcMar>
              <w:top w:type="dxa" w:w="80"/>
              <w:left w:type="dxa" w:w="100"/>
              <w:bottom w:type="dxa" w:w="80"/>
              <w:right w:type="dxa" w:w="100"/>
            </w:tcMar>
          </w:tcPr>
          <w:p>
            <w:r>
              <w:rPr>
                <w:b w:val="false"/>
                <w:bCs w:val="false"/>
                <w:sz w:val="18"/>
                <w:szCs w:val="18"/>
              </w:rPr>
              <w:t xml:space="preserve">Ver sección 4</w:t>
            </w:r>
          </w:p>
        </w:tc>
      </w:tr>
      <w:tr>
        <w:tc>
          <w:tcPr>
            <w:tcW w:type="pct" w:w="22%"/>
            <w:tcMar>
              <w:top w:type="dxa" w:w="80"/>
              <w:left w:type="dxa" w:w="100"/>
              <w:bottom w:type="dxa" w:w="80"/>
              <w:right w:type="dxa" w:w="100"/>
            </w:tcMar>
          </w:tcPr>
          <w:p>
            <w:r>
              <w:rPr>
                <w:b w:val="false"/>
                <w:bCs w:val="false"/>
                <w:sz w:val="18"/>
                <w:szCs w:val="18"/>
              </w:rPr>
              <w:t xml:space="preserve">Frontend — listado</w:t>
            </w:r>
          </w:p>
        </w:tc>
        <w:tc>
          <w:tcPr>
            <w:tcW w:type="pct" w:w="40%"/>
            <w:tcMar>
              <w:top w:type="dxa" w:w="80"/>
              <w:left w:type="dxa" w:w="100"/>
              <w:bottom w:type="dxa" w:w="80"/>
              <w:right w:type="dxa" w:w="100"/>
            </w:tcMar>
          </w:tcPr>
          <w:p>
            <w:r>
              <w:rPr>
                <w:b w:val="false"/>
                <w:bCs w:val="false"/>
                <w:sz w:val="18"/>
                <w:szCs w:val="18"/>
              </w:rPr>
              <w:t xml:space="preserve">frontend/src/app/dashboard/servicios/page.tsx</w:t>
            </w:r>
          </w:p>
        </w:tc>
        <w:tc>
          <w:tcPr>
            <w:tcW w:type="pct" w:w="38%"/>
            <w:tcMar>
              <w:top w:type="dxa" w:w="80"/>
              <w:left w:type="dxa" w:w="100"/>
              <w:bottom w:type="dxa" w:w="80"/>
              <w:right w:type="dxa" w:w="100"/>
            </w:tcMar>
          </w:tcPr>
          <w:p>
            <w:r>
              <w:rPr>
                <w:b w:val="false"/>
                <w:bCs w:val="false"/>
                <w:sz w:val="18"/>
                <w:szCs w:val="18"/>
              </w:rPr>
              <w:t xml:space="preserve">Tabla de comunicaciones + enlace de navegación GPS</w:t>
            </w:r>
          </w:p>
        </w:tc>
      </w:tr>
      <w:tr>
        <w:tc>
          <w:tcPr>
            <w:tcW w:type="pct" w:w="22%"/>
            <w:tcMar>
              <w:top w:type="dxa" w:w="80"/>
              <w:left w:type="dxa" w:w="100"/>
              <w:bottom w:type="dxa" w:w="80"/>
              <w:right w:type="dxa" w:w="100"/>
            </w:tcMar>
          </w:tcPr>
          <w:p>
            <w:r>
              <w:rPr>
                <w:b w:val="false"/>
                <w:bCs w:val="false"/>
                <w:sz w:val="18"/>
                <w:szCs w:val="18"/>
              </w:rPr>
              <w:t xml:space="preserve">Frontend — formulario</w:t>
            </w:r>
          </w:p>
        </w:tc>
        <w:tc>
          <w:tcPr>
            <w:tcW w:type="pct" w:w="40%"/>
            <w:tcMar>
              <w:top w:type="dxa" w:w="80"/>
              <w:left w:type="dxa" w:w="100"/>
              <w:bottom w:type="dxa" w:w="80"/>
              <w:right w:type="dxa" w:w="100"/>
            </w:tcMar>
          </w:tcPr>
          <w:p>
            <w:r>
              <w:rPr>
                <w:b w:val="false"/>
                <w:bCs w:val="false"/>
                <w:sz w:val="18"/>
                <w:szCs w:val="18"/>
              </w:rPr>
              <w:t xml:space="preserve">frontend/src/app/dashboard/servicios/nuevo/page.tsx (847 líneas)</w:t>
            </w:r>
          </w:p>
        </w:tc>
        <w:tc>
          <w:tcPr>
            <w:tcW w:type="pct" w:w="38%"/>
            <w:tcMar>
              <w:top w:type="dxa" w:w="80"/>
              <w:left w:type="dxa" w:w="100"/>
              <w:bottom w:type="dxa" w:w="80"/>
              <w:right w:type="dxa" w:w="100"/>
            </w:tcMar>
          </w:tcPr>
          <w:p>
            <w:r>
              <w:rPr>
                <w:b w:val="false"/>
                <w:bCs w:val="false"/>
                <w:sz w:val="18"/>
                <w:szCs w:val="18"/>
              </w:rPr>
              <w:t xml:space="preserve">Alta, edición, croquis, geolocalización, borrador local</w:t>
            </w:r>
          </w:p>
        </w:tc>
      </w:tr>
      <w:tr>
        <w:tc>
          <w:tcPr>
            <w:tcW w:type="pct" w:w="22%"/>
            <w:tcMar>
              <w:top w:type="dxa" w:w="80"/>
              <w:left w:type="dxa" w:w="100"/>
              <w:bottom w:type="dxa" w:w="80"/>
              <w:right w:type="dxa" w:w="100"/>
            </w:tcMar>
          </w:tcPr>
          <w:p>
            <w:r>
              <w:rPr>
                <w:b w:val="false"/>
                <w:bCs w:val="false"/>
                <w:sz w:val="18"/>
                <w:szCs w:val="18"/>
              </w:rPr>
              <w:t xml:space="preserve">Permisos</w:t>
            </w:r>
          </w:p>
        </w:tc>
        <w:tc>
          <w:tcPr>
            <w:tcW w:type="pct" w:w="40%"/>
            <w:tcMar>
              <w:top w:type="dxa" w:w="80"/>
              <w:left w:type="dxa" w:w="100"/>
              <w:bottom w:type="dxa" w:w="80"/>
              <w:right w:type="dxa" w:w="100"/>
            </w:tcMar>
          </w:tcPr>
          <w:p>
            <w:r>
              <w:rPr>
                <w:b w:val="false"/>
                <w:bCs w:val="false"/>
                <w:sz w:val="18"/>
                <w:szCs w:val="18"/>
              </w:rPr>
              <w:t xml:space="preserve">seguridad.permisos, prefijo servicios:</w:t>
            </w:r>
          </w:p>
        </w:tc>
        <w:tc>
          <w:tcPr>
            <w:tcW w:type="pct" w:w="38%"/>
            <w:tcMar>
              <w:top w:type="dxa" w:w="80"/>
              <w:left w:type="dxa" w:w="100"/>
              <w:bottom w:type="dxa" w:w="80"/>
              <w:right w:type="dxa" w:w="100"/>
            </w:tcMar>
          </w:tcPr>
          <w:p>
            <w:r>
              <w:rPr>
                <w:b w:val="false"/>
                <w:bCs w:val="false"/>
                <w:sz w:val="18"/>
                <w:szCs w:val="18"/>
              </w:rPr>
              <w:t xml:space="preserve">8 permisos — 2 sin uso en el código (sección 11)</w:t>
            </w:r>
          </w:p>
        </w:tc>
      </w:tr>
    </w:tbl>
    <w:p>
      <w:pPr>
        <w:pStyle w:val="Heading1"/>
        <w:spacing w:after="200" w:before="400"/>
      </w:pPr>
      <w:r>
        <w:t xml:space="preserve">4. Modelo de datos</w:t>
      </w:r>
    </w:p>
    <w:p>
      <w:pPr>
        <w:spacing w:after="120"/>
      </w:pPr>
      <w:r>
        <w:t xml:space="preserve">El esquema servicios tiene 5 tablas. Dos de ellas — marcadas abajo — no tienen ningún código que las lea ni las escriba: existen en la base desde la migración original (007) pero el desarrollo nunca llegó a conectarlas.</w:t>
      </w:r>
    </w:p>
    <w:p>
      <w:pPr>
        <w:pStyle w:val="Heading2"/>
        <w:spacing w:after="150" w:before="300"/>
      </w:pPr>
      <w:r>
        <w:t xml:space="preserve">4.1 servicios.servicios — el registro operativo</w:t>
      </w:r>
    </w:p>
    <w:p>
      <w:pPr>
        <w:spacing w:after="120"/>
      </w:pPr>
      <w:r>
        <w:t xml:space="preserve">30 columnas. Se crea automáticamente al cargar una Comunicación; nunca se crea sola.</w:t>
      </w:r>
    </w:p>
    <w:tbl>
      <w:tblPr>
        <w:tblW w:type="pct" w:w="100%"/>
        <w:tblBorders>
          <w:top w:val="single" w:color="C8D6DA" w:sz="2"/>
          <w:left w:val="single" w:color="C8D6DA" w:sz="2"/>
          <w:bottom w:val="single" w:color="C8D6DA" w:sz="2"/>
          <w:right w:val="single" w:color="C8D6DA" w:sz="2"/>
          <w:insideH w:val="single" w:color="E6EDEF" w:sz="2"/>
          <w:insideV w:val="single" w:color="E6EDEF" w:sz="2"/>
        </w:tblBorders>
      </w:tblPr>
      <w:tblGrid>
        <w:gridCol w:w="100"/>
        <w:gridCol w:w="100"/>
      </w:tblGrid>
      <w:tr>
        <w:tc>
          <w:tcPr>
            <w:tcW w:type="pct" w:w="32%"/>
            <w:shd w:fill="EAF1F3" w:val="clear"/>
            <w:tcMar>
              <w:top w:type="dxa" w:w="80"/>
              <w:left w:type="dxa" w:w="100"/>
              <w:bottom w:type="dxa" w:w="80"/>
              <w:right w:type="dxa" w:w="100"/>
            </w:tcMar>
          </w:tcPr>
          <w:p>
            <w:r>
              <w:rPr>
                <w:b/>
                <w:bCs/>
                <w:sz w:val="19"/>
                <w:szCs w:val="19"/>
              </w:rPr>
              <w:t xml:space="preserve">Columna</w:t>
            </w:r>
          </w:p>
        </w:tc>
        <w:tc>
          <w:tcPr>
            <w:tcW w:type="pct" w:w="68%"/>
            <w:shd w:fill="EAF1F3" w:val="clear"/>
            <w:tcMar>
              <w:top w:type="dxa" w:w="80"/>
              <w:left w:type="dxa" w:w="100"/>
              <w:bottom w:type="dxa" w:w="80"/>
              <w:right w:type="dxa" w:w="100"/>
            </w:tcMar>
          </w:tcPr>
          <w:p>
            <w:r>
              <w:rPr>
                <w:b/>
                <w:bCs/>
                <w:sz w:val="19"/>
                <w:szCs w:val="19"/>
              </w:rPr>
              <w:t xml:space="preserve">Uso actual</w:t>
            </w:r>
          </w:p>
        </w:tc>
      </w:tr>
      <w:tr>
        <w:tc>
          <w:tcPr>
            <w:tcW w:type="pct" w:w="32%"/>
            <w:tcMar>
              <w:top w:type="dxa" w:w="80"/>
              <w:left w:type="dxa" w:w="100"/>
              <w:bottom w:type="dxa" w:w="80"/>
              <w:right w:type="dxa" w:w="100"/>
            </w:tcMar>
          </w:tcPr>
          <w:p>
            <w:r>
              <w:rPr>
                <w:b w:val="false"/>
                <w:bCs w:val="false"/>
                <w:sz w:val="18"/>
                <w:szCs w:val="18"/>
              </w:rPr>
              <w:t xml:space="preserve">numero_servicio</w:t>
            </w:r>
          </w:p>
        </w:tc>
        <w:tc>
          <w:tcPr>
            <w:tcW w:type="pct" w:w="68%"/>
            <w:tcMar>
              <w:top w:type="dxa" w:w="80"/>
              <w:left w:type="dxa" w:w="100"/>
              <w:bottom w:type="dxa" w:w="80"/>
              <w:right w:type="dxa" w:w="100"/>
            </w:tcMar>
          </w:tcPr>
          <w:p>
            <w:r>
              <w:rPr>
                <w:b w:val="false"/>
                <w:bCs w:val="false"/>
                <w:sz w:val="18"/>
                <w:szCs w:val="18"/>
              </w:rPr>
              <w:t xml:space="preserve">Correlativo CS-AAAA-NNNNN, generado con bloqueo a nivel de base (sección 8)</w:t>
            </w:r>
          </w:p>
        </w:tc>
      </w:tr>
      <w:tr>
        <w:tc>
          <w:tcPr>
            <w:tcW w:type="pct" w:w="32%"/>
            <w:tcMar>
              <w:top w:type="dxa" w:w="80"/>
              <w:left w:type="dxa" w:w="100"/>
              <w:bottom w:type="dxa" w:w="80"/>
              <w:right w:type="dxa" w:w="100"/>
            </w:tcMar>
          </w:tcPr>
          <w:p>
            <w:r>
              <w:rPr>
                <w:b w:val="false"/>
                <w:bCs w:val="false"/>
                <w:sz w:val="18"/>
                <w:szCs w:val="18"/>
              </w:rPr>
              <w:t xml:space="preserve">fecha_hora_aviso / salida / fin</w:t>
            </w:r>
          </w:p>
        </w:tc>
        <w:tc>
          <w:tcPr>
            <w:tcW w:type="pct" w:w="68%"/>
            <w:tcMar>
              <w:top w:type="dxa" w:w="80"/>
              <w:left w:type="dxa" w:w="100"/>
              <w:bottom w:type="dxa" w:w="80"/>
              <w:right w:type="dxa" w:w="100"/>
            </w:tcMar>
          </w:tcPr>
          <w:p>
            <w:r>
              <w:rPr>
                <w:b w:val="false"/>
                <w:bCs w:val="false"/>
                <w:sz w:val="18"/>
                <w:szCs w:val="18"/>
              </w:rPr>
              <w:t xml:space="preserve">Se completan desde el formulario. fecha_hora_llegada existe pero nunca se completa</w:t>
            </w:r>
          </w:p>
        </w:tc>
      </w:tr>
      <w:tr>
        <w:tc>
          <w:tcPr>
            <w:tcW w:type="pct" w:w="32%"/>
            <w:tcMar>
              <w:top w:type="dxa" w:w="80"/>
              <w:left w:type="dxa" w:w="100"/>
              <w:bottom w:type="dxa" w:w="80"/>
              <w:right w:type="dxa" w:w="100"/>
            </w:tcMar>
          </w:tcPr>
          <w:p>
            <w:r>
              <w:rPr>
                <w:b w:val="false"/>
                <w:bCs w:val="false"/>
                <w:sz w:val="18"/>
                <w:szCs w:val="18"/>
              </w:rPr>
              <w:t xml:space="preserve">direccion, ciudad, coordenadas_lat/lon</w:t>
            </w:r>
          </w:p>
        </w:tc>
        <w:tc>
          <w:tcPr>
            <w:tcW w:type="pct" w:w="68%"/>
            <w:tcMar>
              <w:top w:type="dxa" w:w="80"/>
              <w:left w:type="dxa" w:w="100"/>
              <w:bottom w:type="dxa" w:w="80"/>
              <w:right w:type="dxa" w:w="100"/>
            </w:tcMar>
          </w:tcPr>
          <w:p>
            <w:r>
              <w:rPr>
                <w:b w:val="false"/>
                <w:bCs w:val="false"/>
                <w:sz w:val="18"/>
                <w:szCs w:val="18"/>
              </w:rPr>
              <w:t xml:space="preserve">Activas — alimentan el enlace de navegación (Maps/Waze) del listado</w:t>
            </w:r>
          </w:p>
        </w:tc>
      </w:tr>
      <w:tr>
        <w:tc>
          <w:tcPr>
            <w:tcW w:type="pct" w:w="32%"/>
            <w:tcMar>
              <w:top w:type="dxa" w:w="80"/>
              <w:left w:type="dxa" w:w="100"/>
              <w:bottom w:type="dxa" w:w="80"/>
              <w:right w:type="dxa" w:w="100"/>
            </w:tcMar>
          </w:tcPr>
          <w:p>
            <w:r>
              <w:rPr>
                <w:b w:val="false"/>
                <w:bCs w:val="false"/>
                <w:sz w:val="18"/>
                <w:szCs w:val="18"/>
              </w:rPr>
              <w:t xml:space="preserve">descripcion, informe</w:t>
            </w:r>
          </w:p>
        </w:tc>
        <w:tc>
          <w:tcPr>
            <w:tcW w:type="pct" w:w="68%"/>
            <w:tcMar>
              <w:top w:type="dxa" w:w="80"/>
              <w:left w:type="dxa" w:w="100"/>
              <w:bottom w:type="dxa" w:w="80"/>
              <w:right w:type="dxa" w:w="100"/>
            </w:tcMar>
          </w:tcPr>
          <w:p>
            <w:r>
              <w:rPr>
                <w:b w:val="false"/>
                <w:bCs w:val="false"/>
                <w:sz w:val="18"/>
                <w:szCs w:val="18"/>
              </w:rPr>
              <w:t xml:space="preserve">Mapean a "tareas ejecutadas" y "datos de interés" del formulario</w:t>
            </w:r>
          </w:p>
        </w:tc>
      </w:tr>
      <w:tr>
        <w:tc>
          <w:tcPr>
            <w:tcW w:type="pct" w:w="32%"/>
            <w:tcMar>
              <w:top w:type="dxa" w:w="80"/>
              <w:left w:type="dxa" w:w="100"/>
              <w:bottom w:type="dxa" w:w="80"/>
              <w:right w:type="dxa" w:w="100"/>
            </w:tcMar>
          </w:tcPr>
          <w:p>
            <w:r>
              <w:rPr>
                <w:b w:val="false"/>
                <w:bCs w:val="false"/>
                <w:sz w:val="18"/>
                <w:szCs w:val="18"/>
              </w:rPr>
              <w:t xml:space="preserve">estado</w:t>
            </w:r>
          </w:p>
        </w:tc>
        <w:tc>
          <w:tcPr>
            <w:tcW w:type="pct" w:w="68%"/>
            <w:tcMar>
              <w:top w:type="dxa" w:w="80"/>
              <w:left w:type="dxa" w:w="100"/>
              <w:bottom w:type="dxa" w:w="80"/>
              <w:right w:type="dxa" w:w="100"/>
            </w:tcMar>
          </w:tcPr>
          <w:p>
            <w:r>
              <w:rPr>
                <w:b w:val="false"/>
                <w:bCs w:val="false"/>
                <w:sz w:val="18"/>
                <w:szCs w:val="18"/>
              </w:rPr>
              <w:t xml:space="preserve">CHECK permite 5 valores; el código solo usa 3 (ver sección 5.2)</w:t>
            </w:r>
          </w:p>
        </w:tc>
      </w:tr>
      <w:tr>
        <w:tc>
          <w:tcPr>
            <w:tcW w:type="pct" w:w="32%"/>
            <w:tcMar>
              <w:top w:type="dxa" w:w="80"/>
              <w:left w:type="dxa" w:w="100"/>
              <w:bottom w:type="dxa" w:w="80"/>
              <w:right w:type="dxa" w:w="100"/>
            </w:tcMar>
          </w:tcPr>
          <w:p>
            <w:r>
              <w:rPr>
                <w:b w:val="false"/>
                <w:bCs w:val="false"/>
                <w:sz w:val="18"/>
                <w:szCs w:val="18"/>
              </w:rPr>
              <w:t xml:space="preserve">gravedad</w:t>
            </w:r>
          </w:p>
        </w:tc>
        <w:tc>
          <w:tcPr>
            <w:tcW w:type="pct" w:w="68%"/>
            <w:tcMar>
              <w:top w:type="dxa" w:w="80"/>
              <w:left w:type="dxa" w:w="100"/>
              <w:bottom w:type="dxa" w:w="80"/>
              <w:right w:type="dxa" w:w="100"/>
            </w:tcMar>
          </w:tcPr>
          <w:p>
            <w:r>
              <w:rPr>
                <w:b w:val="false"/>
                <w:bCs w:val="false"/>
                <w:sz w:val="18"/>
                <w:szCs w:val="18"/>
              </w:rPr>
              <w:t xml:space="preserve">Columna con CHECK (LEVE/MODERADA/GRAVE/CRITICA) — nunca se escribe (sección 12)</w:t>
            </w:r>
          </w:p>
        </w:tc>
      </w:tr>
      <w:tr>
        <w:tc>
          <w:tcPr>
            <w:tcW w:type="pct" w:w="32%"/>
            <w:tcMar>
              <w:top w:type="dxa" w:w="80"/>
              <w:left w:type="dxa" w:w="100"/>
              <w:bottom w:type="dxa" w:w="80"/>
              <w:right w:type="dxa" w:w="100"/>
            </w:tcMar>
          </w:tcPr>
          <w:p>
            <w:r>
              <w:rPr>
                <w:b w:val="false"/>
                <w:bCs w:val="false"/>
                <w:sz w:val="18"/>
                <w:szCs w:val="18"/>
              </w:rPr>
              <w:t xml:space="preserve">vehiculo_principal_id, oficial_ro_id, jefe_servicio_id</w:t>
            </w:r>
          </w:p>
        </w:tc>
        <w:tc>
          <w:tcPr>
            <w:tcW w:type="pct" w:w="68%"/>
            <w:tcMar>
              <w:top w:type="dxa" w:w="80"/>
              <w:left w:type="dxa" w:w="100"/>
              <w:bottom w:type="dxa" w:w="80"/>
              <w:right w:type="dxa" w:w="100"/>
            </w:tcMar>
          </w:tcPr>
          <w:p>
            <w:r>
              <w:rPr>
                <w:b w:val="false"/>
                <w:bCs w:val="false"/>
                <w:sz w:val="18"/>
                <w:szCs w:val="18"/>
              </w:rPr>
              <w:t xml:space="preserve">FKs estructuradas sin usar — esos datos hoy son texto libre dentro del JSON</w:t>
            </w:r>
          </w:p>
        </w:tc>
      </w:tr>
      <w:tr>
        <w:tc>
          <w:tcPr>
            <w:tcW w:type="pct" w:w="32%"/>
            <w:tcMar>
              <w:top w:type="dxa" w:w="80"/>
              <w:left w:type="dxa" w:w="100"/>
              <w:bottom w:type="dxa" w:w="80"/>
              <w:right w:type="dxa" w:w="100"/>
            </w:tcMar>
          </w:tcPr>
          <w:p>
            <w:r>
              <w:rPr>
                <w:b w:val="false"/>
                <w:bCs w:val="false"/>
                <w:sz w:val="18"/>
                <w:szCs w:val="18"/>
              </w:rPr>
              <w:t xml:space="preserve">kilometraje_salida/llegada/total (columna calculada)</w:t>
            </w:r>
          </w:p>
        </w:tc>
        <w:tc>
          <w:tcPr>
            <w:tcW w:type="pct" w:w="68%"/>
            <w:tcMar>
              <w:top w:type="dxa" w:w="80"/>
              <w:left w:type="dxa" w:w="100"/>
              <w:bottom w:type="dxa" w:w="80"/>
              <w:right w:type="dxa" w:w="100"/>
            </w:tcMar>
          </w:tcPr>
          <w:p>
            <w:r>
              <w:rPr>
                <w:b w:val="false"/>
                <w:bCs w:val="false"/>
                <w:sz w:val="18"/>
                <w:szCs w:val="18"/>
              </w:rPr>
              <w:t xml:space="preserve">Sin usar — el kilometraje por móvil vive solo dentro del JSON del formulario</w:t>
            </w:r>
          </w:p>
        </w:tc>
      </w:tr>
      <w:tr>
        <w:tc>
          <w:tcPr>
            <w:tcW w:type="pct" w:w="32%"/>
            <w:tcMar>
              <w:top w:type="dxa" w:w="80"/>
              <w:left w:type="dxa" w:w="100"/>
              <w:bottom w:type="dxa" w:w="80"/>
              <w:right w:type="dxa" w:w="100"/>
            </w:tcMar>
          </w:tcPr>
          <w:p>
            <w:r>
              <w:rPr>
                <w:b w:val="false"/>
                <w:bCs w:val="false"/>
                <w:sz w:val="18"/>
                <w:szCs w:val="18"/>
              </w:rPr>
              <w:t xml:space="preserve">combustible_usado, conclusiones, recomendaciones</w:t>
            </w:r>
          </w:p>
        </w:tc>
        <w:tc>
          <w:tcPr>
            <w:tcW w:type="pct" w:w="68%"/>
            <w:tcMar>
              <w:top w:type="dxa" w:w="80"/>
              <w:left w:type="dxa" w:w="100"/>
              <w:bottom w:type="dxa" w:w="80"/>
              <w:right w:type="dxa" w:w="100"/>
            </w:tcMar>
          </w:tcPr>
          <w:p>
            <w:r>
              <w:rPr>
                <w:b w:val="false"/>
                <w:bCs w:val="false"/>
                <w:sz w:val="18"/>
                <w:szCs w:val="18"/>
              </w:rPr>
              <w:t xml:space="preserve">Sin usar</w:t>
            </w:r>
          </w:p>
        </w:tc>
      </w:tr>
      <w:tr>
        <w:tc>
          <w:tcPr>
            <w:tcW w:type="pct" w:w="32%"/>
            <w:tcMar>
              <w:top w:type="dxa" w:w="80"/>
              <w:left w:type="dxa" w:w="100"/>
              <w:bottom w:type="dxa" w:w="80"/>
              <w:right w:type="dxa" w:w="100"/>
            </w:tcMar>
          </w:tcPr>
          <w:p>
            <w:r>
              <w:rPr>
                <w:b w:val="false"/>
                <w:bCs w:val="false"/>
                <w:sz w:val="18"/>
                <w:szCs w:val="18"/>
              </w:rPr>
              <w:t xml:space="preserve">fotos, documentos (arrays JSON)</w:t>
            </w:r>
          </w:p>
        </w:tc>
        <w:tc>
          <w:tcPr>
            <w:tcW w:type="pct" w:w="68%"/>
            <w:tcMar>
              <w:top w:type="dxa" w:w="80"/>
              <w:left w:type="dxa" w:w="100"/>
              <w:bottom w:type="dxa" w:w="80"/>
              <w:right w:type="dxa" w:w="100"/>
            </w:tcMar>
          </w:tcPr>
          <w:p>
            <w:r>
              <w:rPr>
                <w:b w:val="false"/>
                <w:bCs w:val="false"/>
                <w:sz w:val="18"/>
                <w:szCs w:val="18"/>
              </w:rPr>
              <w:t xml:space="preserve">Sin usar — no hay carga de fotos en el formulario actual</w:t>
            </w:r>
          </w:p>
        </w:tc>
      </w:tr>
    </w:tbl>
    <w:p>
      <w:pPr>
        <w:pStyle w:val="Heading2"/>
        <w:spacing w:after="150" w:before="300"/>
      </w:pPr>
      <w:r>
        <w:t xml:space="preserve">4.2 servicios.comunicaciones_servicio — el formulario</w:t>
      </w:r>
    </w:p>
    <w:p>
      <w:pPr>
        <w:spacing w:after="120"/>
      </w:pPr>
      <w:r>
        <w:t xml:space="preserve">12 columnas. Relación 1 a 1 con servicios.servicios vía UQ_comunicaciones_servicio_servicio, con ON DELETE CASCADE: borrar el Servicio borra la Comunicación sin aviso adicional.</w:t>
      </w:r>
    </w:p>
    <w:tbl>
      <w:tblPr>
        <w:tblW w:type="pct" w:w="100%"/>
        <w:tblBorders>
          <w:top w:val="single" w:color="C8D6DA" w:sz="2"/>
          <w:left w:val="single" w:color="C8D6DA" w:sz="2"/>
          <w:bottom w:val="single" w:color="C8D6DA" w:sz="2"/>
          <w:right w:val="single" w:color="C8D6DA" w:sz="2"/>
          <w:insideH w:val="single" w:color="E6EDEF" w:sz="2"/>
          <w:insideV w:val="single" w:color="E6EDEF" w:sz="2"/>
        </w:tblBorders>
      </w:tblPr>
      <w:tblGrid>
        <w:gridCol w:w="100"/>
        <w:gridCol w:w="100"/>
      </w:tblGrid>
      <w:tr>
        <w:tc>
          <w:tcPr>
            <w:tcW w:type="pct" w:w="25%"/>
            <w:shd w:fill="EAF1F3" w:val="clear"/>
            <w:tcMar>
              <w:top w:type="dxa" w:w="80"/>
              <w:left w:type="dxa" w:w="100"/>
              <w:bottom w:type="dxa" w:w="80"/>
              <w:right w:type="dxa" w:w="100"/>
            </w:tcMar>
          </w:tcPr>
          <w:p>
            <w:r>
              <w:rPr>
                <w:b/>
                <w:bCs/>
                <w:sz w:val="19"/>
                <w:szCs w:val="19"/>
              </w:rPr>
              <w:t xml:space="preserve">Columna</w:t>
            </w:r>
          </w:p>
        </w:tc>
        <w:tc>
          <w:tcPr>
            <w:tcW w:type="pct" w:w="75%"/>
            <w:shd w:fill="EAF1F3" w:val="clear"/>
            <w:tcMar>
              <w:top w:type="dxa" w:w="80"/>
              <w:left w:type="dxa" w:w="100"/>
              <w:bottom w:type="dxa" w:w="80"/>
              <w:right w:type="dxa" w:w="100"/>
            </w:tcMar>
          </w:tcPr>
          <w:p>
            <w:r>
              <w:rPr>
                <w:b/>
                <w:bCs/>
                <w:sz w:val="19"/>
                <w:szCs w:val="19"/>
              </w:rPr>
              <w:t xml:space="preserve">Detalle</w:t>
            </w:r>
          </w:p>
        </w:tc>
      </w:tr>
      <w:tr>
        <w:tc>
          <w:tcPr>
            <w:tcW w:type="pct" w:w="25%"/>
            <w:tcMar>
              <w:top w:type="dxa" w:w="80"/>
              <w:left w:type="dxa" w:w="100"/>
              <w:bottom w:type="dxa" w:w="80"/>
              <w:right w:type="dxa" w:w="100"/>
            </w:tcMar>
          </w:tcPr>
          <w:p>
            <w:r>
              <w:rPr>
                <w:b w:val="false"/>
                <w:bCs w:val="false"/>
                <w:sz w:val="18"/>
                <w:szCs w:val="18"/>
              </w:rPr>
              <w:t xml:space="preserve">tipo</w:t>
            </w:r>
          </w:p>
        </w:tc>
        <w:tc>
          <w:tcPr>
            <w:tcW w:type="pct" w:w="75%"/>
            <w:tcMar>
              <w:top w:type="dxa" w:w="80"/>
              <w:left w:type="dxa" w:w="100"/>
              <w:bottom w:type="dxa" w:w="80"/>
              <w:right w:type="dxa" w:w="100"/>
            </w:tcMar>
          </w:tcPr>
          <w:p>
            <w:r>
              <w:rPr>
                <w:b w:val="false"/>
                <w:bCs w:val="false"/>
                <w:sz w:val="18"/>
                <w:szCs w:val="18"/>
              </w:rPr>
              <w:t xml:space="preserve">'OTRAS_OCURRENCIAS' | 'INCENDIO'</w:t>
            </w:r>
          </w:p>
        </w:tc>
      </w:tr>
      <w:tr>
        <w:tc>
          <w:tcPr>
            <w:tcW w:type="pct" w:w="25%"/>
            <w:tcMar>
              <w:top w:type="dxa" w:w="80"/>
              <w:left w:type="dxa" w:w="100"/>
              <w:bottom w:type="dxa" w:w="80"/>
              <w:right w:type="dxa" w:w="100"/>
            </w:tcMar>
          </w:tcPr>
          <w:p>
            <w:r>
              <w:rPr>
                <w:b w:val="false"/>
                <w:bCs w:val="false"/>
                <w:sz w:val="18"/>
                <w:szCs w:val="18"/>
              </w:rPr>
              <w:t xml:space="preserve">estado</w:t>
            </w:r>
          </w:p>
        </w:tc>
        <w:tc>
          <w:tcPr>
            <w:tcW w:type="pct" w:w="75%"/>
            <w:tcMar>
              <w:top w:type="dxa" w:w="80"/>
              <w:left w:type="dxa" w:w="100"/>
              <w:bottom w:type="dxa" w:w="80"/>
              <w:right w:type="dxa" w:w="100"/>
            </w:tcMar>
          </w:tcPr>
          <w:p>
            <w:r>
              <w:rPr>
                <w:b w:val="false"/>
                <w:bCs w:val="false"/>
                <w:sz w:val="18"/>
                <w:szCs w:val="18"/>
              </w:rPr>
              <w:t xml:space="preserve">'BORRADOR' | 'PENDIENTE_REVISION' | 'OBSERVADO' | 'FINALIZADA' | 'ANULADO'</w:t>
            </w:r>
          </w:p>
        </w:tc>
      </w:tr>
      <w:tr>
        <w:tc>
          <w:tcPr>
            <w:tcW w:type="pct" w:w="25%"/>
            <w:tcMar>
              <w:top w:type="dxa" w:w="80"/>
              <w:left w:type="dxa" w:w="100"/>
              <w:bottom w:type="dxa" w:w="80"/>
              <w:right w:type="dxa" w:w="100"/>
            </w:tcMar>
          </w:tcPr>
          <w:p>
            <w:r>
              <w:rPr>
                <w:b w:val="false"/>
                <w:bCs w:val="false"/>
                <w:sz w:val="18"/>
                <w:szCs w:val="18"/>
              </w:rPr>
              <w:t xml:space="preserve">datos</w:t>
            </w:r>
          </w:p>
        </w:tc>
        <w:tc>
          <w:tcPr>
            <w:tcW w:type="pct" w:w="75%"/>
            <w:tcMar>
              <w:top w:type="dxa" w:w="80"/>
              <w:left w:type="dxa" w:w="100"/>
              <w:bottom w:type="dxa" w:w="80"/>
              <w:right w:type="dxa" w:w="100"/>
            </w:tcMar>
          </w:tcPr>
          <w:p>
            <w:r>
              <w:rPr>
                <w:b w:val="false"/>
                <w:bCs w:val="false"/>
                <w:sz w:val="18"/>
                <w:szCs w:val="18"/>
              </w:rPr>
              <w:t xml:space="preserve">NVARCHAR(MAX) con CHECK ISJSON — el formulario completo, sin esquema fijo (ver sección 4.3)</w:t>
            </w:r>
          </w:p>
        </w:tc>
      </w:tr>
      <w:tr>
        <w:tc>
          <w:tcPr>
            <w:tcW w:type="pct" w:w="25%"/>
            <w:tcMar>
              <w:top w:type="dxa" w:w="80"/>
              <w:left w:type="dxa" w:w="100"/>
              <w:bottom w:type="dxa" w:w="80"/>
              <w:right w:type="dxa" w:w="100"/>
            </w:tcMar>
          </w:tcPr>
          <w:p>
            <w:r>
              <w:rPr>
                <w:b w:val="false"/>
                <w:bCs w:val="false"/>
                <w:sz w:val="18"/>
                <w:szCs w:val="18"/>
              </w:rPr>
              <w:t xml:space="preserve">version</w:t>
            </w:r>
          </w:p>
        </w:tc>
        <w:tc>
          <w:tcPr>
            <w:tcW w:type="pct" w:w="75%"/>
            <w:tcMar>
              <w:top w:type="dxa" w:w="80"/>
              <w:left w:type="dxa" w:w="100"/>
              <w:bottom w:type="dxa" w:w="80"/>
              <w:right w:type="dxa" w:w="100"/>
            </w:tcMar>
          </w:tcPr>
          <w:p>
            <w:r>
              <w:rPr>
                <w:b w:val="false"/>
                <w:bCs w:val="false"/>
                <w:sz w:val="18"/>
                <w:szCs w:val="18"/>
              </w:rPr>
              <w:t xml:space="preserve">Control de concurrencia optimista — impide sobrescribir cambios de otra sesión</w:t>
            </w:r>
          </w:p>
        </w:tc>
      </w:tr>
      <w:tr>
        <w:tc>
          <w:tcPr>
            <w:tcW w:type="pct" w:w="25%"/>
            <w:tcMar>
              <w:top w:type="dxa" w:w="80"/>
              <w:left w:type="dxa" w:w="100"/>
              <w:bottom w:type="dxa" w:w="80"/>
              <w:right w:type="dxa" w:w="100"/>
            </w:tcMar>
          </w:tcPr>
          <w:p>
            <w:r>
              <w:rPr>
                <w:b w:val="false"/>
                <w:bCs w:val="false"/>
                <w:sz w:val="18"/>
                <w:szCs w:val="18"/>
              </w:rPr>
              <w:t xml:space="preserve">motivo_estado</w:t>
            </w:r>
          </w:p>
        </w:tc>
        <w:tc>
          <w:tcPr>
            <w:tcW w:type="pct" w:w="75%"/>
            <w:tcMar>
              <w:top w:type="dxa" w:w="80"/>
              <w:left w:type="dxa" w:w="100"/>
              <w:bottom w:type="dxa" w:w="80"/>
              <w:right w:type="dxa" w:w="100"/>
            </w:tcMar>
          </w:tcPr>
          <w:p>
            <w:r>
              <w:rPr>
                <w:b w:val="false"/>
                <w:bCs w:val="false"/>
                <w:sz w:val="18"/>
                <w:szCs w:val="18"/>
              </w:rPr>
              <w:t xml:space="preserve">Motivo obligatorio al observar, reabrir o anular</w:t>
            </w:r>
          </w:p>
        </w:tc>
      </w:tr>
      <w:tr>
        <w:tc>
          <w:tcPr>
            <w:tcW w:type="pct" w:w="25%"/>
            <w:tcMar>
              <w:top w:type="dxa" w:w="80"/>
              <w:left w:type="dxa" w:w="100"/>
              <w:bottom w:type="dxa" w:w="80"/>
              <w:right w:type="dxa" w:w="100"/>
            </w:tcMar>
          </w:tcPr>
          <w:p>
            <w:r>
              <w:rPr>
                <w:b w:val="false"/>
                <w:bCs w:val="false"/>
                <w:sz w:val="18"/>
                <w:szCs w:val="18"/>
              </w:rPr>
              <w:t xml:space="preserve">finalizado_en / finalizado_por</w:t>
            </w:r>
          </w:p>
        </w:tc>
        <w:tc>
          <w:tcPr>
            <w:tcW w:type="pct" w:w="75%"/>
            <w:tcMar>
              <w:top w:type="dxa" w:w="80"/>
              <w:left w:type="dxa" w:w="100"/>
              <w:bottom w:type="dxa" w:w="80"/>
              <w:right w:type="dxa" w:w="100"/>
            </w:tcMar>
          </w:tcPr>
          <w:p>
            <w:r>
              <w:rPr>
                <w:b w:val="false"/>
                <w:bCs w:val="false"/>
                <w:sz w:val="18"/>
                <w:szCs w:val="18"/>
              </w:rPr>
              <w:t xml:space="preserve">Se completan solo al finalizar</w:t>
            </w:r>
          </w:p>
        </w:tc>
      </w:tr>
    </w:tbl>
    <w:p>
      <w:pPr>
        <w:pStyle w:val="Heading2"/>
        <w:spacing w:after="150" w:before="300"/>
      </w:pPr>
      <w:r>
        <w:t xml:space="preserve">4.3 El formulario como documento JSON</w:t>
      </w:r>
    </w:p>
    <w:p>
      <w:pPr>
        <w:spacing w:after="120"/>
      </w:pPr>
      <w:r>
        <w:t xml:space="preserve">En vez de decenas de columnas por tipo de formulario, comunicaciones_servicio.datos guarda un único campo JSON validado por CHECK ISJSON (decisión documentada: decision--comunicacion-como-json). Ventaja: agregar un campo al formulario no requiere migración. Costo: no hay ningún esquema formal (ni JSON Schema ni tipo TypeScript compartido) que describa qué campos existen — el contrato entre frontend y backend es implícito, sostenido solo por el nombre de cada campo y la revisión manual del código. Límites aplicados en el backend: máximo 4 MB serializado, profundidad máxima 12, máximo 500 claves por objeto y 1000 elementos por lista.</w:t>
      </w:r>
    </w:p>
    <w:p>
      <w:pPr>
        <w:pStyle w:val="Heading2"/>
        <w:spacing w:after="150" w:before="300"/>
      </w:pPr>
      <w:r>
        <w:t xml:space="preserve">4.4 Tablas sin conectar</w:t>
      </w:r>
    </w:p>
    <w:p>
      <w:pPr>
        <w:spacing w:after="120"/>
      </w:pPr>
      <w:r>
        <w:rPr>
          <w:b/>
          <w:bCs/>
        </w:rPr>
        <w:t xml:space="preserve">servicios.personal_servicio</w:t>
      </w:r>
      <w:r>
        <w:t xml:space="preserve"> (6 columnas: servicio_id, bombero_id, rol, horas_servicio, observaciones) — pensada para registrar la cuadrilla de cada servicio de forma estructurada y consultable. Hoy la nómina vive como texto dentro del JSON del formulario; nada escribe en esta tabla.</w:t>
      </w:r>
    </w:p>
    <w:p>
      <w:pPr>
        <w:spacing w:after="120"/>
      </w:pPr>
      <w:r>
        <w:rPr>
          <w:b/>
          <w:bCs/>
        </w:rPr>
        <w:t xml:space="preserve">servicios.historial_servicios</w:t>
      </w:r>
      <w:r>
        <w:t xml:space="preserve"> (10 columnas, con tipo_evento restringido a SALIDA/LLEGADA/GPS/COMBUSTIBLE/INCIDENTE/FIN, y latitud/longitud/velocidad por evento) — pensada para un registro de posiciones en tiempo real durante el servicio. Ninguna pantalla ni servicio la usa (confirmado por el índice semántico del proyecto). Es la base de datos ya lista para un mapa en vivo de móviles despachados, hoy inexistente.</w:t>
      </w:r>
    </w:p>
    <w:p>
      <w:pPr>
        <w:pStyle w:val="Heading1"/>
        <w:spacing w:after="200" w:before="400"/>
      </w:pPr>
      <w:r>
        <w:t xml:space="preserve">5. Flujo funcional</w:t>
      </w:r>
    </w:p>
    <w:p>
      <w:pPr>
        <w:pStyle w:val="Heading2"/>
        <w:spacing w:after="150" w:before="300"/>
      </w:pPr>
      <w:r>
        <w:t xml:space="preserve">5.1 Ciclo de vida de la Comunicación</w:t>
      </w:r>
    </w:p>
    <w:tbl>
      <w:tblPr>
        <w:tblW w:type="pct" w:w="100%"/>
        <w:tblBorders>
          <w:top w:val="single" w:color="C8D6DA" w:sz="2"/>
          <w:left w:val="single" w:color="C8D6DA" w:sz="2"/>
          <w:bottom w:val="single" w:color="C8D6DA" w:sz="2"/>
          <w:right w:val="single" w:color="C8D6DA" w:sz="2"/>
          <w:insideH w:val="single" w:color="E6EDEF" w:sz="2"/>
          <w:insideV w:val="single" w:color="E6EDEF" w:sz="2"/>
        </w:tblBorders>
      </w:tblPr>
      <w:tblGrid>
        <w:gridCol w:w="100"/>
        <w:gridCol w:w="100"/>
        <w:gridCol w:w="100"/>
      </w:tblGrid>
      <w:tr>
        <w:tc>
          <w:tcPr>
            <w:tcW w:type="pct" w:w="22%"/>
            <w:shd w:fill="EAF1F3" w:val="clear"/>
            <w:tcMar>
              <w:top w:type="dxa" w:w="80"/>
              <w:left w:type="dxa" w:w="100"/>
              <w:bottom w:type="dxa" w:w="80"/>
              <w:right w:type="dxa" w:w="100"/>
            </w:tcMar>
          </w:tcPr>
          <w:p>
            <w:r>
              <w:rPr>
                <w:b/>
                <w:bCs/>
                <w:sz w:val="19"/>
                <w:szCs w:val="19"/>
              </w:rPr>
              <w:t xml:space="preserve">Estado</w:t>
            </w:r>
          </w:p>
        </w:tc>
        <w:tc>
          <w:tcPr>
            <w:tcW w:type="pct" w:w="46%"/>
            <w:shd w:fill="EAF1F3" w:val="clear"/>
            <w:tcMar>
              <w:top w:type="dxa" w:w="80"/>
              <w:left w:type="dxa" w:w="100"/>
              <w:bottom w:type="dxa" w:w="80"/>
              <w:right w:type="dxa" w:w="100"/>
            </w:tcMar>
          </w:tcPr>
          <w:p>
            <w:r>
              <w:rPr>
                <w:b/>
                <w:bCs/>
                <w:sz w:val="19"/>
                <w:szCs w:val="19"/>
              </w:rPr>
              <w:t xml:space="preserve">Significado</w:t>
            </w:r>
          </w:p>
        </w:tc>
        <w:tc>
          <w:tcPr>
            <w:tcW w:type="pct" w:w="32%"/>
            <w:shd w:fill="EAF1F3" w:val="clear"/>
            <w:tcMar>
              <w:top w:type="dxa" w:w="80"/>
              <w:left w:type="dxa" w:w="100"/>
              <w:bottom w:type="dxa" w:w="80"/>
              <w:right w:type="dxa" w:w="100"/>
            </w:tcMar>
          </w:tcPr>
          <w:p>
            <w:r>
              <w:rPr>
                <w:b/>
                <w:bCs/>
                <w:sz w:val="19"/>
                <w:szCs w:val="19"/>
              </w:rPr>
              <w:t xml:space="preserve">Puede pasar a</w:t>
            </w:r>
          </w:p>
        </w:tc>
      </w:tr>
      <w:tr>
        <w:tc>
          <w:tcPr>
            <w:tcW w:type="pct" w:w="22%"/>
            <w:tcMar>
              <w:top w:type="dxa" w:w="80"/>
              <w:left w:type="dxa" w:w="100"/>
              <w:bottom w:type="dxa" w:w="80"/>
              <w:right w:type="dxa" w:w="100"/>
            </w:tcMar>
          </w:tcPr>
          <w:p>
            <w:r>
              <w:rPr>
                <w:b w:val="false"/>
                <w:bCs w:val="false"/>
                <w:sz w:val="18"/>
                <w:szCs w:val="18"/>
              </w:rPr>
              <w:t xml:space="preserve">BORRADOR</w:t>
            </w:r>
          </w:p>
        </w:tc>
        <w:tc>
          <w:tcPr>
            <w:tcW w:type="pct" w:w="46%"/>
            <w:tcMar>
              <w:top w:type="dxa" w:w="80"/>
              <w:left w:type="dxa" w:w="100"/>
              <w:bottom w:type="dxa" w:w="80"/>
              <w:right w:type="dxa" w:w="100"/>
            </w:tcMar>
          </w:tcPr>
          <w:p>
            <w:r>
              <w:rPr>
                <w:b w:val="false"/>
                <w:bCs w:val="false"/>
                <w:sz w:val="18"/>
                <w:szCs w:val="18"/>
              </w:rPr>
              <w:t xml:space="preserve">Recién creada o editable</w:t>
            </w:r>
          </w:p>
        </w:tc>
        <w:tc>
          <w:tcPr>
            <w:tcW w:type="pct" w:w="32%"/>
            <w:tcMar>
              <w:top w:type="dxa" w:w="80"/>
              <w:left w:type="dxa" w:w="100"/>
              <w:bottom w:type="dxa" w:w="80"/>
              <w:right w:type="dxa" w:w="100"/>
            </w:tcMar>
          </w:tcPr>
          <w:p>
            <w:r>
              <w:rPr>
                <w:b w:val="false"/>
                <w:bCs w:val="false"/>
                <w:sz w:val="18"/>
                <w:szCs w:val="18"/>
              </w:rPr>
              <w:t xml:space="preserve">PENDIENTE_REVISION, FINALIZADA, ANULADO</w:t>
            </w:r>
          </w:p>
        </w:tc>
      </w:tr>
      <w:tr>
        <w:tc>
          <w:tcPr>
            <w:tcW w:type="pct" w:w="22%"/>
            <w:tcMar>
              <w:top w:type="dxa" w:w="80"/>
              <w:left w:type="dxa" w:w="100"/>
              <w:bottom w:type="dxa" w:w="80"/>
              <w:right w:type="dxa" w:w="100"/>
            </w:tcMar>
          </w:tcPr>
          <w:p>
            <w:r>
              <w:rPr>
                <w:b w:val="false"/>
                <w:bCs w:val="false"/>
                <w:sz w:val="18"/>
                <w:szCs w:val="18"/>
              </w:rPr>
              <w:t xml:space="preserve">PENDIENTE_REVISION</w:t>
            </w:r>
          </w:p>
        </w:tc>
        <w:tc>
          <w:tcPr>
            <w:tcW w:type="pct" w:w="46%"/>
            <w:tcMar>
              <w:top w:type="dxa" w:w="80"/>
              <w:left w:type="dxa" w:w="100"/>
              <w:bottom w:type="dxa" w:w="80"/>
              <w:right w:type="dxa" w:w="100"/>
            </w:tcMar>
          </w:tcPr>
          <w:p>
            <w:r>
              <w:rPr>
                <w:b w:val="false"/>
                <w:bCs w:val="false"/>
                <w:sz w:val="18"/>
                <w:szCs w:val="18"/>
              </w:rPr>
              <w:t xml:space="preserve">Enviada a revisión</w:t>
            </w:r>
          </w:p>
        </w:tc>
        <w:tc>
          <w:tcPr>
            <w:tcW w:type="pct" w:w="32%"/>
            <w:tcMar>
              <w:top w:type="dxa" w:w="80"/>
              <w:left w:type="dxa" w:w="100"/>
              <w:bottom w:type="dxa" w:w="80"/>
              <w:right w:type="dxa" w:w="100"/>
            </w:tcMar>
          </w:tcPr>
          <w:p>
            <w:r>
              <w:rPr>
                <w:b w:val="false"/>
                <w:bCs w:val="false"/>
                <w:sz w:val="18"/>
                <w:szCs w:val="18"/>
              </w:rPr>
              <w:t xml:space="preserve">OBSERVADO, FINALIZADA, ANULADO</w:t>
            </w:r>
          </w:p>
        </w:tc>
      </w:tr>
      <w:tr>
        <w:tc>
          <w:tcPr>
            <w:tcW w:type="pct" w:w="22%"/>
            <w:tcMar>
              <w:top w:type="dxa" w:w="80"/>
              <w:left w:type="dxa" w:w="100"/>
              <w:bottom w:type="dxa" w:w="80"/>
              <w:right w:type="dxa" w:w="100"/>
            </w:tcMar>
          </w:tcPr>
          <w:p>
            <w:r>
              <w:rPr>
                <w:b w:val="false"/>
                <w:bCs w:val="false"/>
                <w:sz w:val="18"/>
                <w:szCs w:val="18"/>
              </w:rPr>
              <w:t xml:space="preserve">OBSERVADO</w:t>
            </w:r>
          </w:p>
        </w:tc>
        <w:tc>
          <w:tcPr>
            <w:tcW w:type="pct" w:w="46%"/>
            <w:tcMar>
              <w:top w:type="dxa" w:w="80"/>
              <w:left w:type="dxa" w:w="100"/>
              <w:bottom w:type="dxa" w:w="80"/>
              <w:right w:type="dxa" w:w="100"/>
            </w:tcMar>
          </w:tcPr>
          <w:p>
            <w:r>
              <w:rPr>
                <w:b w:val="false"/>
                <w:bCs w:val="false"/>
                <w:sz w:val="18"/>
                <w:szCs w:val="18"/>
              </w:rPr>
              <w:t xml:space="preserve">Devuelta con objeciones (requiere motivo)</w:t>
            </w:r>
          </w:p>
        </w:tc>
        <w:tc>
          <w:tcPr>
            <w:tcW w:type="pct" w:w="32%"/>
            <w:tcMar>
              <w:top w:type="dxa" w:w="80"/>
              <w:left w:type="dxa" w:w="100"/>
              <w:bottom w:type="dxa" w:w="80"/>
              <w:right w:type="dxa" w:w="100"/>
            </w:tcMar>
          </w:tcPr>
          <w:p>
            <w:r>
              <w:rPr>
                <w:b w:val="false"/>
                <w:bCs w:val="false"/>
                <w:sz w:val="18"/>
                <w:szCs w:val="18"/>
              </w:rPr>
              <w:t xml:space="preserve">PENDIENTE_REVISION, FINALIZADA, ANULADO</w:t>
            </w:r>
          </w:p>
        </w:tc>
      </w:tr>
      <w:tr>
        <w:tc>
          <w:tcPr>
            <w:tcW w:type="pct" w:w="22%"/>
            <w:tcMar>
              <w:top w:type="dxa" w:w="80"/>
              <w:left w:type="dxa" w:w="100"/>
              <w:bottom w:type="dxa" w:w="80"/>
              <w:right w:type="dxa" w:w="100"/>
            </w:tcMar>
          </w:tcPr>
          <w:p>
            <w:r>
              <w:rPr>
                <w:b w:val="false"/>
                <w:bCs w:val="false"/>
                <w:sz w:val="18"/>
                <w:szCs w:val="18"/>
              </w:rPr>
              <w:t xml:space="preserve">FINALIZADA</w:t>
            </w:r>
          </w:p>
        </w:tc>
        <w:tc>
          <w:tcPr>
            <w:tcW w:type="pct" w:w="46%"/>
            <w:tcMar>
              <w:top w:type="dxa" w:w="80"/>
              <w:left w:type="dxa" w:w="100"/>
              <w:bottom w:type="dxa" w:w="80"/>
              <w:right w:type="dxa" w:w="100"/>
            </w:tcMar>
          </w:tcPr>
          <w:p>
            <w:r>
              <w:rPr>
                <w:b w:val="false"/>
                <w:bCs w:val="false"/>
                <w:sz w:val="18"/>
                <w:szCs w:val="18"/>
              </w:rPr>
              <w:t xml:space="preserve">Cerrada; genera el PDF oficial</w:t>
            </w:r>
          </w:p>
        </w:tc>
        <w:tc>
          <w:tcPr>
            <w:tcW w:type="pct" w:w="32%"/>
            <w:tcMar>
              <w:top w:type="dxa" w:w="80"/>
              <w:left w:type="dxa" w:w="100"/>
              <w:bottom w:type="dxa" w:w="80"/>
              <w:right w:type="dxa" w:w="100"/>
            </w:tcMar>
          </w:tcPr>
          <w:p>
            <w:r>
              <w:rPr>
                <w:b w:val="false"/>
                <w:bCs w:val="false"/>
                <w:sz w:val="18"/>
                <w:szCs w:val="18"/>
              </w:rPr>
              <w:t xml:space="preserve">OBSERVADO (reapertura, requiere motivo)</w:t>
            </w:r>
          </w:p>
        </w:tc>
      </w:tr>
      <w:tr>
        <w:tc>
          <w:tcPr>
            <w:tcW w:type="pct" w:w="22%"/>
            <w:tcMar>
              <w:top w:type="dxa" w:w="80"/>
              <w:left w:type="dxa" w:w="100"/>
              <w:bottom w:type="dxa" w:w="80"/>
              <w:right w:type="dxa" w:w="100"/>
            </w:tcMar>
          </w:tcPr>
          <w:p>
            <w:r>
              <w:rPr>
                <w:b w:val="false"/>
                <w:bCs w:val="false"/>
                <w:sz w:val="18"/>
                <w:szCs w:val="18"/>
              </w:rPr>
              <w:t xml:space="preserve">ANULADO</w:t>
            </w:r>
          </w:p>
        </w:tc>
        <w:tc>
          <w:tcPr>
            <w:tcW w:type="pct" w:w="46%"/>
            <w:tcMar>
              <w:top w:type="dxa" w:w="80"/>
              <w:left w:type="dxa" w:w="100"/>
              <w:bottom w:type="dxa" w:w="80"/>
              <w:right w:type="dxa" w:w="100"/>
            </w:tcMar>
          </w:tcPr>
          <w:p>
            <w:r>
              <w:rPr>
                <w:b w:val="false"/>
                <w:bCs w:val="false"/>
                <w:sz w:val="18"/>
                <w:szCs w:val="18"/>
              </w:rPr>
              <w:t xml:space="preserve">Estado terminal (requiere motivo)</w:t>
            </w:r>
          </w:p>
        </w:tc>
        <w:tc>
          <w:tcPr>
            <w:tcW w:type="pct" w:w="32%"/>
            <w:tcMar>
              <w:top w:type="dxa" w:w="80"/>
              <w:left w:type="dxa" w:w="100"/>
              <w:bottom w:type="dxa" w:w="80"/>
              <w:right w:type="dxa" w:w="100"/>
            </w:tcMar>
          </w:tcPr>
          <w:p>
            <w:r>
              <w:rPr>
                <w:b w:val="false"/>
                <w:bCs w:val="false"/>
                <w:sz w:val="18"/>
                <w:szCs w:val="18"/>
              </w:rPr>
              <w:t xml:space="preserve">— (sin salida)</w:t>
            </w:r>
          </w:p>
        </w:tc>
      </w:tr>
    </w:tbl>
    <w:p>
      <w:pPr>
        <w:spacing w:after="120"/>
      </w:pPr>
      <w:r>
        <w:t xml:space="preserve">Solo BORRADOR y OBSERVADO son editables (constante ESTADOS_EDITABLES). Reabrir una comunicación FINALIZADA no borra el PDF ya generado — queda archivado en Documentos como una versión histórica, y al volver a finalizar se genera uno nuevo.</w:t>
      </w:r>
    </w:p>
    <w:p>
      <w:pPr>
        <w:pStyle w:val="Heading2"/>
        <w:spacing w:after="150" w:before="300"/>
      </w:pPr>
      <w:r>
        <w:t xml:space="preserve">5.2 Estado paralelo del Servicio</w:t>
      </w:r>
    </w:p>
    <w:p>
      <w:pPr>
        <w:spacing w:after="120"/>
      </w:pPr>
      <w:r>
        <w:t xml:space="preserve">servicios.servicios.estado tiene un CHECK con 5 valores posibles (REGISTRADO, DESPACHADO, EN_CURSO, FINALIZADO, CANCELADO), pero el código solo transiciona entre 3:</w:t>
      </w:r>
    </w:p>
    <w:p>
      <w:pPr>
        <w:pStyle w:val="ListParagraph"/>
        <w:numPr>
          <w:ilvl w:val="0"/>
          <w:numId w:val="1"/>
        </w:numPr>
        <w:spacing w:after="60"/>
      </w:pPr>
      <w:r>
        <w:t xml:space="preserve">Al crear la Comunicación → REGISTRADO.</w:t>
      </w:r>
    </w:p>
    <w:p>
      <w:pPr>
        <w:pStyle w:val="ListParagraph"/>
        <w:numPr>
          <w:ilvl w:val="0"/>
          <w:numId w:val="1"/>
        </w:numPr>
        <w:spacing w:after="60"/>
      </w:pPr>
      <w:r>
        <w:t xml:space="preserve">Al finalizar la Comunicación → FINALIZADO.</w:t>
      </w:r>
    </w:p>
    <w:p>
      <w:pPr>
        <w:pStyle w:val="ListParagraph"/>
        <w:numPr>
          <w:ilvl w:val="0"/>
          <w:numId w:val="1"/>
        </w:numPr>
        <w:spacing w:after="60"/>
      </w:pPr>
      <w:r>
        <w:t xml:space="preserve">Al anular la Comunicación → CANCELADO.</w:t>
      </w:r>
    </w:p>
    <w:p>
      <w:pPr>
        <w:pStyle w:val="ListParagraph"/>
        <w:numPr>
          <w:ilvl w:val="0"/>
          <w:numId w:val="1"/>
        </w:numPr>
        <w:spacing w:after="60"/>
      </w:pPr>
      <w:r>
        <w:t xml:space="preserve">Al reabrir una Comunicación FINALIZADA → vuelve a REGISTRADO.</w:t>
      </w:r>
    </w:p>
    <w:p>
      <w:pPr>
        <w:spacing w:after="120"/>
      </w:pPr>
      <w:r>
        <w:rPr>
          <w:i/>
          <w:iCs/>
          <w:color w:val="64748B"/>
        </w:rPr>
        <w:t xml:space="preserve">DESPACHADO y EN_CURSO nunca se asignan. Ningún flujo del sistema representa hoy "el móvil salió pero el servicio todavía no terminó" — ver sección 12.</w:t>
      </w:r>
    </w:p>
    <w:p>
      <w:pPr>
        <w:pStyle w:val="Heading2"/>
        <w:spacing w:after="150" w:before="300"/>
      </w:pPr>
      <w:r>
        <w:t xml:space="preserve">5.3 Numeración</w:t>
      </w:r>
    </w:p>
    <w:p>
      <w:pPr>
        <w:spacing w:after="120"/>
      </w:pPr>
      <w:r>
        <w:t xml:space="preserve">Formato CS-AAAA-NNNNN (ej. CS-2026-00047), calculado dentro de una transacción SERIALIZABLE con UPDLOCK + HOLDLOCK sobre servicios.servicios, con reintento automático (hasta 3 veces) si dos guardados simultáneos chocan contra la restricción de unicidad. Es un mecanismo de concurrencia más estricto que el usado en otros módulos con numeración (ej. Documentos), a costa de una consulta SQL cruda en vez de TypeORM puro.</w:t>
      </w:r>
    </w:p>
    <w:p>
      <w:pPr>
        <w:pStyle w:val="Heading1"/>
        <w:spacing w:after="200" w:before="400"/>
      </w:pPr>
      <w:r>
        <w:t xml:space="preserve">6. Endpoints de la API</w:t>
      </w:r>
    </w:p>
    <w:p>
      <w:pPr>
        <w:spacing w:after="120"/>
      </w:pPr>
      <w:r>
        <w:t xml:space="preserve">Base: /api/v1/servicios/comunicaciones. Todos exigen JwtAuthGuard + PermissionsGuard.</w:t>
      </w:r>
    </w:p>
    <w:tbl>
      <w:tblPr>
        <w:tblW w:type="pct" w:w="100%"/>
        <w:tblBorders>
          <w:top w:val="single" w:color="C8D6DA" w:sz="2"/>
          <w:left w:val="single" w:color="C8D6DA" w:sz="2"/>
          <w:bottom w:val="single" w:color="C8D6DA" w:sz="2"/>
          <w:right w:val="single" w:color="C8D6DA" w:sz="2"/>
          <w:insideH w:val="single" w:color="E6EDEF" w:sz="2"/>
          <w:insideV w:val="single" w:color="E6EDEF" w:sz="2"/>
        </w:tblBorders>
      </w:tblPr>
      <w:tblGrid>
        <w:gridCol w:w="100"/>
        <w:gridCol w:w="100"/>
        <w:gridCol w:w="100"/>
      </w:tblGrid>
      <w:tr>
        <w:tc>
          <w:tcPr>
            <w:tcW w:type="pct" w:w="30%"/>
            <w:shd w:fill="EAF1F3" w:val="clear"/>
            <w:tcMar>
              <w:top w:type="dxa" w:w="80"/>
              <w:left w:type="dxa" w:w="100"/>
              <w:bottom w:type="dxa" w:w="80"/>
              <w:right w:type="dxa" w:w="100"/>
            </w:tcMar>
          </w:tcPr>
          <w:p>
            <w:r>
              <w:rPr>
                <w:b/>
                <w:bCs/>
                <w:sz w:val="19"/>
                <w:szCs w:val="19"/>
              </w:rPr>
              <w:t xml:space="preserve">Método y ruta</w:t>
            </w:r>
          </w:p>
        </w:tc>
        <w:tc>
          <w:tcPr>
            <w:tcW w:type="pct" w:w="22%"/>
            <w:shd w:fill="EAF1F3" w:val="clear"/>
            <w:tcMar>
              <w:top w:type="dxa" w:w="80"/>
              <w:left w:type="dxa" w:w="100"/>
              <w:bottom w:type="dxa" w:w="80"/>
              <w:right w:type="dxa" w:w="100"/>
            </w:tcMar>
          </w:tcPr>
          <w:p>
            <w:r>
              <w:rPr>
                <w:b/>
                <w:bCs/>
                <w:sz w:val="19"/>
                <w:szCs w:val="19"/>
              </w:rPr>
              <w:t xml:space="preserve">Permiso</w:t>
            </w:r>
          </w:p>
        </w:tc>
        <w:tc>
          <w:tcPr>
            <w:tcW w:type="pct" w:w="48%"/>
            <w:shd w:fill="EAF1F3" w:val="clear"/>
            <w:tcMar>
              <w:top w:type="dxa" w:w="80"/>
              <w:left w:type="dxa" w:w="100"/>
              <w:bottom w:type="dxa" w:w="80"/>
              <w:right w:type="dxa" w:w="100"/>
            </w:tcMar>
          </w:tcPr>
          <w:p>
            <w:r>
              <w:rPr>
                <w:b/>
                <w:bCs/>
                <w:sz w:val="19"/>
                <w:szCs w:val="19"/>
              </w:rPr>
              <w:t xml:space="preserve">Qué hace</w:t>
            </w:r>
          </w:p>
        </w:tc>
      </w:tr>
      <w:tr>
        <w:tc>
          <w:tcPr>
            <w:tcW w:type="pct" w:w="30%"/>
            <w:tcMar>
              <w:top w:type="dxa" w:w="80"/>
              <w:left w:type="dxa" w:w="100"/>
              <w:bottom w:type="dxa" w:w="80"/>
              <w:right w:type="dxa" w:w="100"/>
            </w:tcMar>
          </w:tcPr>
          <w:p>
            <w:r>
              <w:rPr>
                <w:b w:val="false"/>
                <w:bCs w:val="false"/>
                <w:sz w:val="18"/>
                <w:szCs w:val="18"/>
              </w:rPr>
              <w:t xml:space="preserve">GET /</w:t>
            </w:r>
          </w:p>
        </w:tc>
        <w:tc>
          <w:tcPr>
            <w:tcW w:type="pct" w:w="22%"/>
            <w:tcMar>
              <w:top w:type="dxa" w:w="80"/>
              <w:left w:type="dxa" w:w="100"/>
              <w:bottom w:type="dxa" w:w="80"/>
              <w:right w:type="dxa" w:w="100"/>
            </w:tcMar>
          </w:tcPr>
          <w:p>
            <w:r>
              <w:rPr>
                <w:b w:val="false"/>
                <w:bCs w:val="false"/>
                <w:sz w:val="18"/>
                <w:szCs w:val="18"/>
              </w:rPr>
              <w:t xml:space="preserve">servicios:ver</w:t>
            </w:r>
          </w:p>
        </w:tc>
        <w:tc>
          <w:tcPr>
            <w:tcW w:type="pct" w:w="48%"/>
            <w:tcMar>
              <w:top w:type="dxa" w:w="80"/>
              <w:left w:type="dxa" w:w="100"/>
              <w:bottom w:type="dxa" w:w="80"/>
              <w:right w:type="dxa" w:w="100"/>
            </w:tcMar>
          </w:tcPr>
          <w:p>
            <w:r>
              <w:rPr>
                <w:b w:val="false"/>
                <w:bCs w:val="false"/>
                <w:sz w:val="18"/>
                <w:szCs w:val="18"/>
              </w:rPr>
              <w:t xml:space="preserve">Lista TODAS las comunicaciones — sin filtros, sin paginación (ver sección 12)</w:t>
            </w:r>
          </w:p>
        </w:tc>
      </w:tr>
      <w:tr>
        <w:tc>
          <w:tcPr>
            <w:tcW w:type="pct" w:w="30%"/>
            <w:tcMar>
              <w:top w:type="dxa" w:w="80"/>
              <w:left w:type="dxa" w:w="100"/>
              <w:bottom w:type="dxa" w:w="80"/>
              <w:right w:type="dxa" w:w="100"/>
            </w:tcMar>
          </w:tcPr>
          <w:p>
            <w:r>
              <w:rPr>
                <w:b w:val="false"/>
                <w:bCs w:val="false"/>
                <w:sz w:val="18"/>
                <w:szCs w:val="18"/>
              </w:rPr>
              <w:t xml:space="preserve">GET /catalogos</w:t>
            </w:r>
          </w:p>
        </w:tc>
        <w:tc>
          <w:tcPr>
            <w:tcW w:type="pct" w:w="22%"/>
            <w:tcMar>
              <w:top w:type="dxa" w:w="80"/>
              <w:left w:type="dxa" w:w="100"/>
              <w:bottom w:type="dxa" w:w="80"/>
              <w:right w:type="dxa" w:w="100"/>
            </w:tcMar>
          </w:tcPr>
          <w:p>
            <w:r>
              <w:rPr>
                <w:b w:val="false"/>
                <w:bCs w:val="false"/>
                <w:sz w:val="18"/>
                <w:szCs w:val="18"/>
              </w:rPr>
              <w:t xml:space="preserve">servicios:ver</w:t>
            </w:r>
          </w:p>
        </w:tc>
        <w:tc>
          <w:tcPr>
            <w:tcW w:type="pct" w:w="48%"/>
            <w:tcMar>
              <w:top w:type="dxa" w:w="80"/>
              <w:left w:type="dxa" w:w="100"/>
              <w:bottom w:type="dxa" w:w="80"/>
              <w:right w:type="dxa" w:w="100"/>
            </w:tcMar>
          </w:tcPr>
          <w:p>
            <w:r>
              <w:rPr>
                <w:b w:val="false"/>
                <w:bCs w:val="false"/>
                <w:sz w:val="18"/>
                <w:szCs w:val="18"/>
              </w:rPr>
              <w:t xml:space="preserve">Personal activo, móviles operativos y listas de opciones fijas</w:t>
            </w:r>
          </w:p>
        </w:tc>
      </w:tr>
      <w:tr>
        <w:tc>
          <w:tcPr>
            <w:tcW w:type="pct" w:w="30%"/>
            <w:tcMar>
              <w:top w:type="dxa" w:w="80"/>
              <w:left w:type="dxa" w:w="100"/>
              <w:bottom w:type="dxa" w:w="80"/>
              <w:right w:type="dxa" w:w="100"/>
            </w:tcMar>
          </w:tcPr>
          <w:p>
            <w:r>
              <w:rPr>
                <w:b w:val="false"/>
                <w:bCs w:val="false"/>
                <w:sz w:val="18"/>
                <w:szCs w:val="18"/>
              </w:rPr>
              <w:t xml:space="preserve">GET /:id</w:t>
            </w:r>
          </w:p>
        </w:tc>
        <w:tc>
          <w:tcPr>
            <w:tcW w:type="pct" w:w="22%"/>
            <w:tcMar>
              <w:top w:type="dxa" w:w="80"/>
              <w:left w:type="dxa" w:w="100"/>
              <w:bottom w:type="dxa" w:w="80"/>
              <w:right w:type="dxa" w:w="100"/>
            </w:tcMar>
          </w:tcPr>
          <w:p>
            <w:r>
              <w:rPr>
                <w:b w:val="false"/>
                <w:bCs w:val="false"/>
                <w:sz w:val="18"/>
                <w:szCs w:val="18"/>
              </w:rPr>
              <w:t xml:space="preserve">servicios:ver</w:t>
            </w:r>
          </w:p>
        </w:tc>
        <w:tc>
          <w:tcPr>
            <w:tcW w:type="pct" w:w="48%"/>
            <w:tcMar>
              <w:top w:type="dxa" w:w="80"/>
              <w:left w:type="dxa" w:w="100"/>
              <w:bottom w:type="dxa" w:w="80"/>
              <w:right w:type="dxa" w:w="100"/>
            </w:tcMar>
          </w:tcPr>
          <w:p>
            <w:r>
              <w:rPr>
                <w:b w:val="false"/>
                <w:bCs w:val="false"/>
                <w:sz w:val="18"/>
                <w:szCs w:val="18"/>
              </w:rPr>
              <w:t xml:space="preserve">Detalle de una comunicación + su servicio</w:t>
            </w:r>
          </w:p>
        </w:tc>
      </w:tr>
      <w:tr>
        <w:tc>
          <w:tcPr>
            <w:tcW w:type="pct" w:w="30%"/>
            <w:tcMar>
              <w:top w:type="dxa" w:w="80"/>
              <w:left w:type="dxa" w:w="100"/>
              <w:bottom w:type="dxa" w:w="80"/>
              <w:right w:type="dxa" w:w="100"/>
            </w:tcMar>
          </w:tcPr>
          <w:p>
            <w:r>
              <w:rPr>
                <w:b w:val="false"/>
                <w:bCs w:val="false"/>
                <w:sz w:val="18"/>
                <w:szCs w:val="18"/>
              </w:rPr>
              <w:t xml:space="preserve">GET /:id/exportar/pdf</w:t>
            </w:r>
          </w:p>
        </w:tc>
        <w:tc>
          <w:tcPr>
            <w:tcW w:type="pct" w:w="22%"/>
            <w:tcMar>
              <w:top w:type="dxa" w:w="80"/>
              <w:left w:type="dxa" w:w="100"/>
              <w:bottom w:type="dxa" w:w="80"/>
              <w:right w:type="dxa" w:w="100"/>
            </w:tcMar>
          </w:tcPr>
          <w:p>
            <w:r>
              <w:rPr>
                <w:b w:val="false"/>
                <w:bCs w:val="false"/>
                <w:sz w:val="18"/>
                <w:szCs w:val="18"/>
              </w:rPr>
              <w:t xml:space="preserve">servicios:exportar_informe</w:t>
            </w:r>
          </w:p>
        </w:tc>
        <w:tc>
          <w:tcPr>
            <w:tcW w:type="pct" w:w="48%"/>
            <w:tcMar>
              <w:top w:type="dxa" w:w="80"/>
              <w:left w:type="dxa" w:w="100"/>
              <w:bottom w:type="dxa" w:w="80"/>
              <w:right w:type="dxa" w:w="100"/>
            </w:tcMar>
          </w:tcPr>
          <w:p>
            <w:r>
              <w:rPr>
                <w:b w:val="false"/>
                <w:bCs w:val="false"/>
                <w:sz w:val="18"/>
                <w:szCs w:val="18"/>
              </w:rPr>
              <w:t xml:space="preserve">PDF bajo demanda, en cualquier estado</w:t>
            </w:r>
          </w:p>
        </w:tc>
      </w:tr>
      <w:tr>
        <w:tc>
          <w:tcPr>
            <w:tcW w:type="pct" w:w="30%"/>
            <w:tcMar>
              <w:top w:type="dxa" w:w="80"/>
              <w:left w:type="dxa" w:w="100"/>
              <w:bottom w:type="dxa" w:w="80"/>
              <w:right w:type="dxa" w:w="100"/>
            </w:tcMar>
          </w:tcPr>
          <w:p>
            <w:r>
              <w:rPr>
                <w:b w:val="false"/>
                <w:bCs w:val="false"/>
                <w:sz w:val="18"/>
                <w:szCs w:val="18"/>
              </w:rPr>
              <w:t xml:space="preserve">POST /</w:t>
            </w:r>
          </w:p>
        </w:tc>
        <w:tc>
          <w:tcPr>
            <w:tcW w:type="pct" w:w="22%"/>
            <w:tcMar>
              <w:top w:type="dxa" w:w="80"/>
              <w:left w:type="dxa" w:w="100"/>
              <w:bottom w:type="dxa" w:w="80"/>
              <w:right w:type="dxa" w:w="100"/>
            </w:tcMar>
          </w:tcPr>
          <w:p>
            <w:r>
              <w:rPr>
                <w:b w:val="false"/>
                <w:bCs w:val="false"/>
                <w:sz w:val="18"/>
                <w:szCs w:val="18"/>
              </w:rPr>
              <w:t xml:space="preserve">servicios:crear</w:t>
            </w:r>
          </w:p>
        </w:tc>
        <w:tc>
          <w:tcPr>
            <w:tcW w:type="pct" w:w="48%"/>
            <w:tcMar>
              <w:top w:type="dxa" w:w="80"/>
              <w:left w:type="dxa" w:w="100"/>
              <w:bottom w:type="dxa" w:w="80"/>
              <w:right w:type="dxa" w:w="100"/>
            </w:tcMar>
          </w:tcPr>
          <w:p>
            <w:r>
              <w:rPr>
                <w:b w:val="false"/>
                <w:bCs w:val="false"/>
                <w:sz w:val="18"/>
                <w:szCs w:val="18"/>
              </w:rPr>
              <w:t xml:space="preserve">Crea Servicio + Comunicación juntos, en BORRADOR</w:t>
            </w:r>
          </w:p>
        </w:tc>
      </w:tr>
      <w:tr>
        <w:tc>
          <w:tcPr>
            <w:tcW w:type="pct" w:w="30%"/>
            <w:tcMar>
              <w:top w:type="dxa" w:w="80"/>
              <w:left w:type="dxa" w:w="100"/>
              <w:bottom w:type="dxa" w:w="80"/>
              <w:right w:type="dxa" w:w="100"/>
            </w:tcMar>
          </w:tcPr>
          <w:p>
            <w:r>
              <w:rPr>
                <w:b w:val="false"/>
                <w:bCs w:val="false"/>
                <w:sz w:val="18"/>
                <w:szCs w:val="18"/>
              </w:rPr>
              <w:t xml:space="preserve">PATCH /:id</w:t>
            </w:r>
          </w:p>
        </w:tc>
        <w:tc>
          <w:tcPr>
            <w:tcW w:type="pct" w:w="22%"/>
            <w:tcMar>
              <w:top w:type="dxa" w:w="80"/>
              <w:left w:type="dxa" w:w="100"/>
              <w:bottom w:type="dxa" w:w="80"/>
              <w:right w:type="dxa" w:w="100"/>
            </w:tcMar>
          </w:tcPr>
          <w:p>
            <w:r>
              <w:rPr>
                <w:b w:val="false"/>
                <w:bCs w:val="false"/>
                <w:sz w:val="18"/>
                <w:szCs w:val="18"/>
              </w:rPr>
              <w:t xml:space="preserve">servicios:editar</w:t>
            </w:r>
          </w:p>
        </w:tc>
        <w:tc>
          <w:tcPr>
            <w:tcW w:type="pct" w:w="48%"/>
            <w:tcMar>
              <w:top w:type="dxa" w:w="80"/>
              <w:left w:type="dxa" w:w="100"/>
              <w:bottom w:type="dxa" w:w="80"/>
              <w:right w:type="dxa" w:w="100"/>
            </w:tcMar>
          </w:tcPr>
          <w:p>
            <w:r>
              <w:rPr>
                <w:b w:val="false"/>
                <w:bCs w:val="false"/>
                <w:sz w:val="18"/>
                <w:szCs w:val="18"/>
              </w:rPr>
              <w:t xml:space="preserve">Solo en BORRADOR/OBSERVADO; exige version</w:t>
            </w:r>
          </w:p>
        </w:tc>
      </w:tr>
      <w:tr>
        <w:tc>
          <w:tcPr>
            <w:tcW w:type="pct" w:w="30%"/>
            <w:tcMar>
              <w:top w:type="dxa" w:w="80"/>
              <w:left w:type="dxa" w:w="100"/>
              <w:bottom w:type="dxa" w:w="80"/>
              <w:right w:type="dxa" w:w="100"/>
            </w:tcMar>
          </w:tcPr>
          <w:p>
            <w:r>
              <w:rPr>
                <w:b w:val="false"/>
                <w:bCs w:val="false"/>
                <w:sz w:val="18"/>
                <w:szCs w:val="18"/>
              </w:rPr>
              <w:t xml:space="preserve">POST /:id/finalizar</w:t>
            </w:r>
          </w:p>
        </w:tc>
        <w:tc>
          <w:tcPr>
            <w:tcW w:type="pct" w:w="22%"/>
            <w:tcMar>
              <w:top w:type="dxa" w:w="80"/>
              <w:left w:type="dxa" w:w="100"/>
              <w:bottom w:type="dxa" w:w="80"/>
              <w:right w:type="dxa" w:w="100"/>
            </w:tcMar>
          </w:tcPr>
          <w:p>
            <w:r>
              <w:rPr>
                <w:b w:val="false"/>
                <w:bCs w:val="false"/>
                <w:sz w:val="18"/>
                <w:szCs w:val="18"/>
              </w:rPr>
              <w:t xml:space="preserve">servicios:finalizar</w:t>
            </w:r>
          </w:p>
        </w:tc>
        <w:tc>
          <w:tcPr>
            <w:tcW w:type="pct" w:w="48%"/>
            <w:tcMar>
              <w:top w:type="dxa" w:w="80"/>
              <w:left w:type="dxa" w:w="100"/>
              <w:bottom w:type="dxa" w:w="80"/>
              <w:right w:type="dxa" w:w="100"/>
            </w:tcMar>
          </w:tcPr>
          <w:p>
            <w:r>
              <w:rPr>
                <w:b w:val="false"/>
                <w:bCs w:val="false"/>
                <w:sz w:val="18"/>
                <w:szCs w:val="18"/>
              </w:rPr>
              <w:t xml:space="preserve">Valida campos obligatorios, cierra y genera el PDF oficial</w:t>
            </w:r>
          </w:p>
        </w:tc>
      </w:tr>
      <w:tr>
        <w:tc>
          <w:tcPr>
            <w:tcW w:type="pct" w:w="30%"/>
            <w:tcMar>
              <w:top w:type="dxa" w:w="80"/>
              <w:left w:type="dxa" w:w="100"/>
              <w:bottom w:type="dxa" w:w="80"/>
              <w:right w:type="dxa" w:w="100"/>
            </w:tcMar>
          </w:tcPr>
          <w:p>
            <w:r>
              <w:rPr>
                <w:b w:val="false"/>
                <w:bCs w:val="false"/>
                <w:sz w:val="18"/>
                <w:szCs w:val="18"/>
              </w:rPr>
              <w:t xml:space="preserve">POST /:id/enviar-revision</w:t>
            </w:r>
          </w:p>
        </w:tc>
        <w:tc>
          <w:tcPr>
            <w:tcW w:type="pct" w:w="22%"/>
            <w:tcMar>
              <w:top w:type="dxa" w:w="80"/>
              <w:left w:type="dxa" w:w="100"/>
              <w:bottom w:type="dxa" w:w="80"/>
              <w:right w:type="dxa" w:w="100"/>
            </w:tcMar>
          </w:tcPr>
          <w:p>
            <w:r>
              <w:rPr>
                <w:b w:val="false"/>
                <w:bCs w:val="false"/>
                <w:sz w:val="18"/>
                <w:szCs w:val="18"/>
              </w:rPr>
              <w:t xml:space="preserve">servicios:editar</w:t>
            </w:r>
          </w:p>
        </w:tc>
        <w:tc>
          <w:tcPr>
            <w:tcW w:type="pct" w:w="48%"/>
            <w:tcMar>
              <w:top w:type="dxa" w:w="80"/>
              <w:left w:type="dxa" w:w="100"/>
              <w:bottom w:type="dxa" w:w="80"/>
              <w:right w:type="dxa" w:w="100"/>
            </w:tcMar>
          </w:tcPr>
          <w:p>
            <w:r>
              <w:rPr>
                <w:b w:val="false"/>
                <w:bCs w:val="false"/>
                <w:sz w:val="18"/>
                <w:szCs w:val="18"/>
              </w:rPr>
              <w:t xml:space="preserve">BORRADOR/OBSERVADO → PENDIENTE_REVISION</w:t>
            </w:r>
          </w:p>
        </w:tc>
      </w:tr>
      <w:tr>
        <w:tc>
          <w:tcPr>
            <w:tcW w:type="pct" w:w="30%"/>
            <w:tcMar>
              <w:top w:type="dxa" w:w="80"/>
              <w:left w:type="dxa" w:w="100"/>
              <w:bottom w:type="dxa" w:w="80"/>
              <w:right w:type="dxa" w:w="100"/>
            </w:tcMar>
          </w:tcPr>
          <w:p>
            <w:r>
              <w:rPr>
                <w:b w:val="false"/>
                <w:bCs w:val="false"/>
                <w:sz w:val="18"/>
                <w:szCs w:val="18"/>
              </w:rPr>
              <w:t xml:space="preserve">POST /:id/observar</w:t>
            </w:r>
          </w:p>
        </w:tc>
        <w:tc>
          <w:tcPr>
            <w:tcW w:type="pct" w:w="22%"/>
            <w:tcMar>
              <w:top w:type="dxa" w:w="80"/>
              <w:left w:type="dxa" w:w="100"/>
              <w:bottom w:type="dxa" w:w="80"/>
              <w:right w:type="dxa" w:w="100"/>
            </w:tcMar>
          </w:tcPr>
          <w:p>
            <w:r>
              <w:rPr>
                <w:b w:val="false"/>
                <w:bCs w:val="false"/>
                <w:sz w:val="18"/>
                <w:szCs w:val="18"/>
              </w:rPr>
              <w:t xml:space="preserve">servicios:editar</w:t>
            </w:r>
          </w:p>
        </w:tc>
        <w:tc>
          <w:tcPr>
            <w:tcW w:type="pct" w:w="48%"/>
            <w:tcMar>
              <w:top w:type="dxa" w:w="80"/>
              <w:left w:type="dxa" w:w="100"/>
              <w:bottom w:type="dxa" w:w="80"/>
              <w:right w:type="dxa" w:w="100"/>
            </w:tcMar>
          </w:tcPr>
          <w:p>
            <w:r>
              <w:rPr>
                <w:b w:val="false"/>
                <w:bCs w:val="false"/>
                <w:sz w:val="18"/>
                <w:szCs w:val="18"/>
              </w:rPr>
              <w:t xml:space="preserve">Devuelve con objeciones (motivo obligatorio)</w:t>
            </w:r>
          </w:p>
        </w:tc>
      </w:tr>
      <w:tr>
        <w:tc>
          <w:tcPr>
            <w:tcW w:type="pct" w:w="30%"/>
            <w:tcMar>
              <w:top w:type="dxa" w:w="80"/>
              <w:left w:type="dxa" w:w="100"/>
              <w:bottom w:type="dxa" w:w="80"/>
              <w:right w:type="dxa" w:w="100"/>
            </w:tcMar>
          </w:tcPr>
          <w:p>
            <w:r>
              <w:rPr>
                <w:b w:val="false"/>
                <w:bCs w:val="false"/>
                <w:sz w:val="18"/>
                <w:szCs w:val="18"/>
              </w:rPr>
              <w:t xml:space="preserve">POST /:id/reabrir</w:t>
            </w:r>
          </w:p>
        </w:tc>
        <w:tc>
          <w:tcPr>
            <w:tcW w:type="pct" w:w="22%"/>
            <w:tcMar>
              <w:top w:type="dxa" w:w="80"/>
              <w:left w:type="dxa" w:w="100"/>
              <w:bottom w:type="dxa" w:w="80"/>
              <w:right w:type="dxa" w:w="100"/>
            </w:tcMar>
          </w:tcPr>
          <w:p>
            <w:r>
              <w:rPr>
                <w:b w:val="false"/>
                <w:bCs w:val="false"/>
                <w:sz w:val="18"/>
                <w:szCs w:val="18"/>
              </w:rPr>
              <w:t xml:space="preserve">servicios:editar</w:t>
            </w:r>
          </w:p>
        </w:tc>
        <w:tc>
          <w:tcPr>
            <w:tcW w:type="pct" w:w="48%"/>
            <w:tcMar>
              <w:top w:type="dxa" w:w="80"/>
              <w:left w:type="dxa" w:w="100"/>
              <w:bottom w:type="dxa" w:w="80"/>
              <w:right w:type="dxa" w:w="100"/>
            </w:tcMar>
          </w:tcPr>
          <w:p>
            <w:r>
              <w:rPr>
                <w:b w:val="false"/>
                <w:bCs w:val="false"/>
                <w:sz w:val="18"/>
                <w:szCs w:val="18"/>
              </w:rPr>
              <w:t xml:space="preserve">FINALIZADA → OBSERVADO (motivo obligatorio)</w:t>
            </w:r>
          </w:p>
        </w:tc>
      </w:tr>
      <w:tr>
        <w:tc>
          <w:tcPr>
            <w:tcW w:type="pct" w:w="30%"/>
            <w:tcMar>
              <w:top w:type="dxa" w:w="80"/>
              <w:left w:type="dxa" w:w="100"/>
              <w:bottom w:type="dxa" w:w="80"/>
              <w:right w:type="dxa" w:w="100"/>
            </w:tcMar>
          </w:tcPr>
          <w:p>
            <w:r>
              <w:rPr>
                <w:b w:val="false"/>
                <w:bCs w:val="false"/>
                <w:sz w:val="18"/>
                <w:szCs w:val="18"/>
              </w:rPr>
              <w:t xml:space="preserve">POST /:id/anular</w:t>
            </w:r>
          </w:p>
        </w:tc>
        <w:tc>
          <w:tcPr>
            <w:tcW w:type="pct" w:w="22%"/>
            <w:tcMar>
              <w:top w:type="dxa" w:w="80"/>
              <w:left w:type="dxa" w:w="100"/>
              <w:bottom w:type="dxa" w:w="80"/>
              <w:right w:type="dxa" w:w="100"/>
            </w:tcMar>
          </w:tcPr>
          <w:p>
            <w:r>
              <w:rPr>
                <w:b w:val="false"/>
                <w:bCs w:val="false"/>
                <w:sz w:val="18"/>
                <w:szCs w:val="18"/>
              </w:rPr>
              <w:t xml:space="preserve">servicios:eliminar</w:t>
            </w:r>
          </w:p>
        </w:tc>
        <w:tc>
          <w:tcPr>
            <w:tcW w:type="pct" w:w="48%"/>
            <w:tcMar>
              <w:top w:type="dxa" w:w="80"/>
              <w:left w:type="dxa" w:w="100"/>
              <w:bottom w:type="dxa" w:w="80"/>
              <w:right w:type="dxa" w:w="100"/>
            </w:tcMar>
          </w:tcPr>
          <w:p>
            <w:r>
              <w:rPr>
                <w:b w:val="false"/>
                <w:bCs w:val="false"/>
                <w:sz w:val="18"/>
                <w:szCs w:val="18"/>
              </w:rPr>
              <w:t xml:space="preserve">Estado terminal (motivo obligatorio)</w:t>
            </w:r>
          </w:p>
        </w:tc>
      </w:tr>
      <w:tr>
        <w:tc>
          <w:tcPr>
            <w:tcW w:type="pct" w:w="30%"/>
            <w:tcMar>
              <w:top w:type="dxa" w:w="80"/>
              <w:left w:type="dxa" w:w="100"/>
              <w:bottom w:type="dxa" w:w="80"/>
              <w:right w:type="dxa" w:w="100"/>
            </w:tcMar>
          </w:tcPr>
          <w:p>
            <w:r>
              <w:rPr>
                <w:b w:val="false"/>
                <w:bCs w:val="false"/>
                <w:sz w:val="18"/>
                <w:szCs w:val="18"/>
              </w:rPr>
              <w:t xml:space="preserve">DELETE /:id</w:t>
            </w:r>
          </w:p>
        </w:tc>
        <w:tc>
          <w:tcPr>
            <w:tcW w:type="pct" w:w="22%"/>
            <w:tcMar>
              <w:top w:type="dxa" w:w="80"/>
              <w:left w:type="dxa" w:w="100"/>
              <w:bottom w:type="dxa" w:w="80"/>
              <w:right w:type="dxa" w:w="100"/>
            </w:tcMar>
          </w:tcPr>
          <w:p>
            <w:r>
              <w:rPr>
                <w:b w:val="false"/>
                <w:bCs w:val="false"/>
                <w:sz w:val="18"/>
                <w:szCs w:val="18"/>
              </w:rPr>
              <w:t xml:space="preserve">servicios:eliminar</w:t>
            </w:r>
          </w:p>
        </w:tc>
        <w:tc>
          <w:tcPr>
            <w:tcW w:type="pct" w:w="48%"/>
            <w:tcMar>
              <w:top w:type="dxa" w:w="80"/>
              <w:left w:type="dxa" w:w="100"/>
              <w:bottom w:type="dxa" w:w="80"/>
              <w:right w:type="dxa" w:w="100"/>
            </w:tcMar>
          </w:tcPr>
          <w:p>
            <w:r>
              <w:rPr>
                <w:b w:val="false"/>
                <w:bCs w:val="false"/>
                <w:sz w:val="18"/>
                <w:szCs w:val="18"/>
              </w:rPr>
              <w:t xml:space="preserve">Solo si está en BORRADOR — elimina el Servicio (CASCADE)</w:t>
            </w:r>
          </w:p>
        </w:tc>
      </w:tr>
    </w:tbl>
    <w:p>
      <w:pPr>
        <w:pStyle w:val="Heading1"/>
        <w:spacing w:after="200" w:before="400"/>
      </w:pPr>
      <w:r>
        <w:t xml:space="preserve">7. Pantallas</w:t>
      </w:r>
    </w:p>
    <w:p>
      <w:pPr>
        <w:pStyle w:val="Heading2"/>
        <w:spacing w:after="150" w:before="300"/>
      </w:pPr>
      <w:r>
        <w:t xml:space="preserve">7.1 Listado (/dashboard/servicios)</w:t>
      </w:r>
    </w:p>
    <w:p>
      <w:pPr>
        <w:spacing w:after="120"/>
      </w:pPr>
      <w:r>
        <w:t xml:space="preserve">Tabla con número, tipo, ubicación, estado y última actualización. Cada fila con ubicación registrada muestra un enlace "Iniciar ruta" que abre Google Maps con navegación directa al punto GPS del servicio. El botón de acción cambia según el estado: "Continuar" para comunicaciones editables, "Ver" para finalizadas o anuladas.</w:t>
      </w:r>
    </w:p>
    <w:p>
      <w:pPr>
        <w:pStyle w:val="Heading2"/>
        <w:spacing w:after="150" w:before="300"/>
      </w:pPr>
      <w:r>
        <w:t xml:space="preserve">7.2 Formulario (/dashboard/servicios/nuevo)</w:t>
      </w:r>
    </w:p>
    <w:p>
      <w:pPr>
        <w:spacing w:after="120"/>
      </w:pPr>
      <w:r>
        <w:t xml:space="preserve">La pantalla más compleja del módulo (847 líneas). Estructura:</w:t>
      </w:r>
    </w:p>
    <w:p>
      <w:pPr>
        <w:pStyle w:val="ListParagraph"/>
        <w:numPr>
          <w:ilvl w:val="0"/>
          <w:numId w:val="1"/>
        </w:numPr>
        <w:spacing w:after="60"/>
      </w:pPr>
      <w:r>
        <w:t xml:space="preserve">Datos generales: fecha, hora de denuncia, salida y regreso a base (con duración total calculada automáticamente), denunciante, teléfono, quién recibió el aviso, ubicación con geolocalización GPS, comandante de incidente.</w:t>
      </w:r>
    </w:p>
    <w:p>
      <w:pPr>
        <w:pStyle w:val="ListParagraph"/>
        <w:numPr>
          <w:ilvl w:val="0"/>
          <w:numId w:val="1"/>
        </w:numPr>
        <w:spacing w:after="60"/>
      </w:pPr>
      <w:r>
        <w:t xml:space="preserve">Personal y nómina: roles de guardia predefinidos (SCI, B1 a B20, RO1, RO2), cada uno asignable a una persona por nombre o código.</w:t>
      </w:r>
    </w:p>
    <w:p>
      <w:pPr>
        <w:pStyle w:val="ListParagraph"/>
        <w:numPr>
          <w:ilvl w:val="0"/>
          <w:numId w:val="1"/>
        </w:numPr>
        <w:spacing w:after="60"/>
      </w:pPr>
      <w:r>
        <w:t xml:space="preserve">Móviles despachados: lista editable con chofer, hora de salida/regreso y kilometraje inicial/final por móvil — precargada con nombres de referencia y, cuando está disponible, con los vehículos reales operativos.</w:t>
      </w:r>
    </w:p>
    <w:p>
      <w:pPr>
        <w:pStyle w:val="ListParagraph"/>
        <w:numPr>
          <w:ilvl w:val="0"/>
          <w:numId w:val="1"/>
        </w:numPr>
        <w:spacing w:after="60"/>
      </w:pPr>
      <w:r>
        <w:t xml:space="preserve">Sección específica por tipo — Otras Ocurrencias: accidente, animales, transporte, rescate, cobertura u otro servicio, cada una con sus propios sub-campos condicionales y conteos de personas afectadas/transportadas/rescatadas.</w:t>
      </w:r>
    </w:p>
    <w:p>
      <w:pPr>
        <w:pStyle w:val="ListParagraph"/>
        <w:numPr>
          <w:ilvl w:val="0"/>
          <w:numId w:val="1"/>
        </w:numPr>
        <w:spacing w:after="60"/>
      </w:pPr>
      <w:r>
        <w:t xml:space="preserve">Sección específica por tipo — Incendio: tipo de incendio, combustibles, recursos de extinción (agua/espuma/PQS en litros/kilos), causas con hipótesis (antrópica/accidental/natural).</w:t>
      </w:r>
    </w:p>
    <w:p>
      <w:pPr>
        <w:pStyle w:val="ListParagraph"/>
        <w:numPr>
          <w:ilvl w:val="0"/>
          <w:numId w:val="1"/>
        </w:numPr>
        <w:spacing w:after="60"/>
      </w:pPr>
      <w:r>
        <w:t xml:space="preserve">Personas involucradas, facturación opcional (número y monto), croquis dibujado a mano sobre un canvas (con undo y limpiar).</w:t>
      </w:r>
    </w:p>
    <w:p>
      <w:pPr>
        <w:spacing w:after="120"/>
      </w:pPr>
      <w:r>
        <w:t xml:space="preserve">Detalles técnicos relevantes:</w:t>
      </w:r>
    </w:p>
    <w:p>
      <w:pPr>
        <w:pStyle w:val="ListParagraph"/>
        <w:numPr>
          <w:ilvl w:val="0"/>
          <w:numId w:val="1"/>
        </w:numPr>
        <w:spacing w:after="60"/>
      </w:pPr>
      <w:r>
        <w:t xml:space="preserve">Geolocalización: usa navigator.geolocation.getCurrentPosition del navegador (alta precisión, timeout 12s) para capturar la posición del dispositivo presente en el lugar. También editable a mano. Con coordenadas válidas, ofrece enlaces directos "Navegar con Google Maps" y "Navegar con Waze".</w:t>
      </w:r>
    </w:p>
    <w:p>
      <w:pPr>
        <w:pStyle w:val="ListParagraph"/>
        <w:numPr>
          <w:ilvl w:val="0"/>
          <w:numId w:val="1"/>
        </w:numPr>
        <w:spacing w:after="60"/>
      </w:pPr>
      <w:r>
        <w:t xml:space="preserve">Borrador local: mientras se completa el formulario, se guarda automáticamente en localStorage (clave versionada sigbo-servicio-borrador-v3) — sobrevive a un cierre accidental de pestaña, pero es exclusivamente de ese navegador y ese dispositivo: no sincroniza entre equipos ni se sube al servidor hasta el primer guardado explícito.</w:t>
      </w:r>
    </w:p>
    <w:p>
      <w:pPr>
        <w:pStyle w:val="ListParagraph"/>
        <w:numPr>
          <w:ilvl w:val="0"/>
          <w:numId w:val="1"/>
        </w:numPr>
        <w:spacing w:after="60"/>
      </w:pPr>
      <w:r>
        <w:t xml:space="preserve">Solo lectura automática: si la comunicación ya está FINALIZADA o ANULADA, el formulario completo se deshabilita.</w:t>
      </w:r>
    </w:p>
    <w:p>
      <w:pPr>
        <w:pStyle w:val="Heading1"/>
        <w:spacing w:after="200" w:before="400"/>
      </w:pPr>
      <w:r>
        <w:t xml:space="preserve">8. Reglas de validación de negocio</w:t>
      </w:r>
    </w:p>
    <w:p>
      <w:pPr>
        <w:spacing w:after="120"/>
      </w:pPr>
      <w:r>
        <w:t xml:space="preserve">La validación es enteramente código TypeScript imperativo (no hay JSON Schema); se aplica dos veces con distinto rigor:</w:t>
      </w:r>
    </w:p>
    <w:p>
      <w:pPr>
        <w:pStyle w:val="ListParagraph"/>
        <w:numPr>
          <w:ilvl w:val="0"/>
          <w:numId w:val="1"/>
        </w:numPr>
        <w:spacing w:after="60"/>
      </w:pPr>
      <w:r>
        <w:t xml:space="preserve">Al guardar (crear/actualizar): formato de fechas y horas, montos y cantidades no negativos, coordenadas dentro de rango, móviles sin repetir.</w:t>
      </w:r>
    </w:p>
    <w:p>
      <w:pPr>
        <w:pStyle w:val="ListParagraph"/>
        <w:numPr>
          <w:ilvl w:val="0"/>
          <w:numId w:val="1"/>
        </w:numPr>
        <w:spacing w:after="60"/>
      </w:pPr>
      <w:r>
        <w:t xml:space="preserve">Al finalizar: además de lo anterior, exige fecha, hora de denuncia, hora de salida y regreso general, quién recibió el aviso, ubicación, comandante de incidente, al menos una categoría/tipo de ocurrencia, al menos un móvil despachado (o su justificación por escrito), y una descripción de tareas ejecutadas (o justificación de falsa alarma).</w:t>
      </w:r>
    </w:p>
    <w:p>
      <w:pPr>
        <w:pStyle w:val="ListParagraph"/>
        <w:numPr>
          <w:ilvl w:val="0"/>
          <w:numId w:val="1"/>
        </w:numPr>
        <w:spacing w:after="60"/>
      </w:pPr>
      <w:r>
        <w:t xml:space="preserve">Reglas cruzadas: si se factura, exige número y monto; toda opción "Otro" seleccionada exige su descripción; todo móvil despachado exige chofer y horarios completos al finalizar; si el kilometraje final es menor al inicial, exige justificación.</w:t>
      </w:r>
    </w:p>
    <w:p>
      <w:pPr>
        <w:spacing w:after="120"/>
      </w:pPr>
      <w:r>
        <w:t xml:space="preserve">Concurrencia: cada comunicación se bloquea (pessimistic_write) dentro de una transacción SERIALIZABLE en cada escritura, y el campo version detecta si otra sesión modificó el registro mientras se editaba — evita que dos usuarios pisen los cambios del otro sin darse cuenta.</w:t>
      </w:r>
    </w:p>
    <w:p>
      <w:pPr>
        <w:pStyle w:val="Heading1"/>
        <w:spacing w:after="200" w:before="400"/>
      </w:pPr>
      <w:r>
        <w:t xml:space="preserve">9. Generación y archivo del PDF</w:t>
      </w:r>
    </w:p>
    <w:p>
      <w:pPr>
        <w:spacing w:after="120"/>
      </w:pPr>
      <w:r>
        <w:t xml:space="preserve">Se genera con pdfkit (comunicacion-servicio.pdf.ts), volcando cada campo no vacío del formulario con su etiqueta, más el croquis si existe. Dos particularidades a tener en cuenta:</w:t>
      </w:r>
    </w:p>
    <w:p>
      <w:pPr>
        <w:spacing w:after="120"/>
      </w:pPr>
      <w:r>
        <w:t xml:space="preserve">El PDF se imprime con la leyenda </w:t>
      </w:r>
      <w:r>
        <w:rPr>
          <w:b/>
          <w:bCs/>
          <w:color w:val="B42318"/>
        </w:rPr>
        <w:t xml:space="preserve">"No válido como Informe"</w:t>
      </w:r>
      <w:r>
        <w:t xml:space="preserve"> en cada página, y su título dice "…de Uso Interno".</w:t>
      </w:r>
    </w:p>
    <w:p>
      <w:pPr>
        <w:spacing w:after="120"/>
      </w:pPr>
      <w:r>
        <w:t xml:space="preserve">Pese a esa leyenda, al finalizar la comunicación el mismo PDF se archiva automáticamente en el módulo Documentos como un documento oficial: tipo </w:t>
      </w:r>
      <w:r>
        <w:rPr>
          <w:i/>
          <w:iCs/>
        </w:rPr>
        <w:t xml:space="preserve">"Informe"</w:t>
      </w:r>
      <w:r>
        <w:t xml:space="preserve">, categoría </w:t>
      </w:r>
      <w:r>
        <w:rPr>
          <w:i/>
          <w:iCs/>
        </w:rPr>
        <w:t xml:space="preserve">"Operativo"</w:t>
      </w:r>
      <w:r>
        <w:t xml:space="preserve">, estado </w:t>
      </w:r>
      <w:r>
        <w:rPr>
          <w:i/>
          <w:iCs/>
        </w:rPr>
        <w:t xml:space="preserve">"Publicado"</w:t>
      </w:r>
      <w:r>
        <w:t xml:space="preserve">. Es una contradicción a resolver: o el documento archivado no debería decir "no válido como informe", o no debería publicarse como si lo fuera.</w:t>
      </w:r>
    </w:p>
    <w:p>
      <w:pPr>
        <w:spacing w:after="120"/>
      </w:pPr>
      <w:r>
        <w:t xml:space="preserve">Además, a diferencia de los documentos generados por el módulo Documentos (que usan el membrete institucional compartido — logos, datos de contacto, pie de página configurables), este PDF no usa esa identidad institucional: es texto plano sin membrete. Se ve visualmente distinto a cualquier otro documento oficial que genera SIGBO.</w:t>
      </w:r>
    </w:p>
    <w:p>
      <w:pPr>
        <w:spacing w:after="120"/>
      </w:pPr>
      <w:r>
        <w:t xml:space="preserve">El PDF también puede exportarse bajo demanda en cualquier estado (GET /:id/exportar/pdf) sin que eso archive nada — esa exportación solo queda registrada en auditoría.</w:t>
      </w:r>
    </w:p>
    <w:p>
      <w:pPr>
        <w:pStyle w:val="Heading1"/>
        <w:spacing w:after="200" w:before="400"/>
      </w:pPr>
      <w:r>
        <w:t xml:space="preserve">10. Integración con otros módulos</w:t>
      </w:r>
    </w:p>
    <w:tbl>
      <w:tblPr>
        <w:tblW w:type="pct" w:w="100%"/>
        <w:tblBorders>
          <w:top w:val="single" w:color="C8D6DA" w:sz="2"/>
          <w:left w:val="single" w:color="C8D6DA" w:sz="2"/>
          <w:bottom w:val="single" w:color="C8D6DA" w:sz="2"/>
          <w:right w:val="single" w:color="C8D6DA" w:sz="2"/>
          <w:insideH w:val="single" w:color="E6EDEF" w:sz="2"/>
          <w:insideV w:val="single" w:color="E6EDEF" w:sz="2"/>
        </w:tblBorders>
      </w:tblPr>
      <w:tblGrid>
        <w:gridCol w:w="100"/>
        <w:gridCol w:w="100"/>
      </w:tblGrid>
      <w:tr>
        <w:tc>
          <w:tcPr>
            <w:tcW w:type="pct" w:w="22%"/>
            <w:shd w:fill="EAF1F3" w:val="clear"/>
            <w:tcMar>
              <w:top w:type="dxa" w:w="80"/>
              <w:left w:type="dxa" w:w="100"/>
              <w:bottom w:type="dxa" w:w="80"/>
              <w:right w:type="dxa" w:w="100"/>
            </w:tcMar>
          </w:tcPr>
          <w:p>
            <w:r>
              <w:rPr>
                <w:b/>
                <w:bCs/>
                <w:sz w:val="19"/>
                <w:szCs w:val="19"/>
              </w:rPr>
              <w:t xml:space="preserve">Módulo</w:t>
            </w:r>
          </w:p>
        </w:tc>
        <w:tc>
          <w:tcPr>
            <w:tcW w:type="pct" w:w="78%"/>
            <w:shd w:fill="EAF1F3" w:val="clear"/>
            <w:tcMar>
              <w:top w:type="dxa" w:w="80"/>
              <w:left w:type="dxa" w:w="100"/>
              <w:bottom w:type="dxa" w:w="80"/>
              <w:right w:type="dxa" w:w="100"/>
            </w:tcMar>
          </w:tcPr>
          <w:p>
            <w:r>
              <w:rPr>
                <w:b/>
                <w:bCs/>
                <w:sz w:val="19"/>
                <w:szCs w:val="19"/>
              </w:rPr>
              <w:t xml:space="preserve">Relación</w:t>
            </w:r>
          </w:p>
        </w:tc>
      </w:tr>
      <w:tr>
        <w:tc>
          <w:tcPr>
            <w:tcW w:type="pct" w:w="22%"/>
            <w:tcMar>
              <w:top w:type="dxa" w:w="80"/>
              <w:left w:type="dxa" w:w="100"/>
              <w:bottom w:type="dxa" w:w="80"/>
              <w:right w:type="dxa" w:w="100"/>
            </w:tcMar>
          </w:tcPr>
          <w:p>
            <w:r>
              <w:rPr>
                <w:b w:val="false"/>
                <w:bCs w:val="false"/>
                <w:sz w:val="18"/>
                <w:szCs w:val="18"/>
              </w:rPr>
              <w:t xml:space="preserve">Documentos</w:t>
            </w:r>
          </w:p>
        </w:tc>
        <w:tc>
          <w:tcPr>
            <w:tcW w:type="pct" w:w="78%"/>
            <w:tcMar>
              <w:top w:type="dxa" w:w="80"/>
              <w:left w:type="dxa" w:w="100"/>
              <w:bottom w:type="dxa" w:w="80"/>
              <w:right w:type="dxa" w:w="100"/>
            </w:tcMar>
          </w:tcPr>
          <w:p>
            <w:r>
              <w:rPr>
                <w:b w:val="false"/>
                <w:bCs w:val="false"/>
                <w:sz w:val="18"/>
                <w:szCs w:val="18"/>
              </w:rPr>
              <w:t xml:space="preserve">Recibe el PDF final vía registrarDesdeOtroModulo() al finalizar — reutiliza el módulo transversal en vez de tener su propio archivo (correcto, sin duplicación)</w:t>
            </w:r>
          </w:p>
        </w:tc>
      </w:tr>
      <w:tr>
        <w:tc>
          <w:tcPr>
            <w:tcW w:type="pct" w:w="22%"/>
            <w:tcMar>
              <w:top w:type="dxa" w:w="80"/>
              <w:left w:type="dxa" w:w="100"/>
              <w:bottom w:type="dxa" w:w="80"/>
              <w:right w:type="dxa" w:w="100"/>
            </w:tcMar>
          </w:tcPr>
          <w:p>
            <w:r>
              <w:rPr>
                <w:b w:val="false"/>
                <w:bCs w:val="false"/>
                <w:sz w:val="18"/>
                <w:szCs w:val="18"/>
              </w:rPr>
              <w:t xml:space="preserve">Denuncias</w:t>
            </w:r>
          </w:p>
        </w:tc>
        <w:tc>
          <w:tcPr>
            <w:tcW w:type="pct" w:w="78%"/>
            <w:tcMar>
              <w:top w:type="dxa" w:w="80"/>
              <w:left w:type="dxa" w:w="100"/>
              <w:bottom w:type="dxa" w:w="80"/>
              <w:right w:type="dxa" w:w="100"/>
            </w:tcMar>
          </w:tcPr>
          <w:p>
            <w:r>
              <w:rPr>
                <w:b w:val="false"/>
                <w:bCs w:val="false"/>
                <w:sz w:val="18"/>
                <w:szCs w:val="18"/>
              </w:rPr>
              <w:t xml:space="preserve">Solo lectura: una denuncia ciudadana puede vincularse a un Servicio existente de los últimos 90 días, y cruza los móviles despachados (leyendo el JSON del formulario) para validar que el móvil elegido participó. Denuncias nunca crea Servicios nuevos</w:t>
            </w:r>
          </w:p>
        </w:tc>
      </w:tr>
      <w:tr>
        <w:tc>
          <w:tcPr>
            <w:tcW w:type="pct" w:w="22%"/>
            <w:tcMar>
              <w:top w:type="dxa" w:w="80"/>
              <w:left w:type="dxa" w:w="100"/>
              <w:bottom w:type="dxa" w:w="80"/>
              <w:right w:type="dxa" w:w="100"/>
            </w:tcMar>
          </w:tcPr>
          <w:p>
            <w:r>
              <w:rPr>
                <w:b w:val="false"/>
                <w:bCs w:val="false"/>
                <w:sz w:val="18"/>
                <w:szCs w:val="18"/>
              </w:rPr>
              <w:t xml:space="preserve">Inteligencia Artificial (Snoopy)</w:t>
            </w:r>
          </w:p>
        </w:tc>
        <w:tc>
          <w:tcPr>
            <w:tcW w:type="pct" w:w="78%"/>
            <w:tcMar>
              <w:top w:type="dxa" w:w="80"/>
              <w:left w:type="dxa" w:w="100"/>
              <w:bottom w:type="dxa" w:w="80"/>
              <w:right w:type="dxa" w:w="100"/>
            </w:tcMar>
          </w:tcPr>
          <w:p>
            <w:r>
              <w:rPr>
                <w:b w:val="false"/>
                <w:bCs w:val="false"/>
                <w:sz w:val="18"/>
                <w:szCs w:val="18"/>
              </w:rPr>
              <w:t xml:space="preserve">Herramienta get_servicios: responde "¿cuántos servicios hubo este mes?" agrupando por gravedad — columna que, como se detalla en la sección 12, nunca se completa, así que hoy responde siempre 100% "SIN_CLASIFICAR"</w:t>
            </w:r>
          </w:p>
        </w:tc>
      </w:tr>
      <w:tr>
        <w:tc>
          <w:tcPr>
            <w:tcW w:type="pct" w:w="22%"/>
            <w:tcMar>
              <w:top w:type="dxa" w:w="80"/>
              <w:left w:type="dxa" w:w="100"/>
              <w:bottom w:type="dxa" w:w="80"/>
              <w:right w:type="dxa" w:w="100"/>
            </w:tcMar>
          </w:tcPr>
          <w:p>
            <w:r>
              <w:rPr>
                <w:b w:val="false"/>
                <w:bCs w:val="false"/>
                <w:sz w:val="18"/>
                <w:szCs w:val="18"/>
              </w:rPr>
              <w:t xml:space="preserve">Depósito</w:t>
            </w:r>
          </w:p>
        </w:tc>
        <w:tc>
          <w:tcPr>
            <w:tcW w:type="pct" w:w="78%"/>
            <w:tcMar>
              <w:top w:type="dxa" w:w="80"/>
              <w:left w:type="dxa" w:w="100"/>
              <w:bottom w:type="dxa" w:w="80"/>
              <w:right w:type="dxa" w:w="100"/>
            </w:tcMar>
          </w:tcPr>
          <w:p>
            <w:r>
              <w:rPr>
                <w:b w:val="false"/>
                <w:bCs w:val="false"/>
                <w:sz w:val="18"/>
                <w:szCs w:val="18"/>
              </w:rPr>
              <w:t xml:space="preserve">Solo lectura: si un artículo está prestado durante un servicio, se muestra el número de servicio como referencia de ubicación</w:t>
            </w:r>
          </w:p>
        </w:tc>
      </w:tr>
    </w:tbl>
    <w:p>
      <w:pPr>
        <w:pStyle w:val="Heading1"/>
        <w:spacing w:after="200" w:before="400"/>
      </w:pPr>
      <w:r>
        <w:t xml:space="preserve">11. Seguridad y permisos</w:t>
      </w:r>
    </w:p>
    <w:tbl>
      <w:tblPr>
        <w:tblW w:type="pct" w:w="100%"/>
        <w:tblBorders>
          <w:top w:val="single" w:color="C8D6DA" w:sz="2"/>
          <w:left w:val="single" w:color="C8D6DA" w:sz="2"/>
          <w:bottom w:val="single" w:color="C8D6DA" w:sz="2"/>
          <w:right w:val="single" w:color="C8D6DA" w:sz="2"/>
          <w:insideH w:val="single" w:color="E6EDEF" w:sz="2"/>
          <w:insideV w:val="single" w:color="E6EDEF" w:sz="2"/>
        </w:tblBorders>
      </w:tblPr>
      <w:tblGrid>
        <w:gridCol w:w="100"/>
        <w:gridCol w:w="100"/>
      </w:tblGrid>
      <w:tr>
        <w:tc>
          <w:tcPr>
            <w:tcW w:type="pct" w:w="30%"/>
            <w:shd w:fill="EAF1F3" w:val="clear"/>
            <w:tcMar>
              <w:top w:type="dxa" w:w="80"/>
              <w:left w:type="dxa" w:w="100"/>
              <w:bottom w:type="dxa" w:w="80"/>
              <w:right w:type="dxa" w:w="100"/>
            </w:tcMar>
          </w:tcPr>
          <w:p>
            <w:r>
              <w:rPr>
                <w:b/>
                <w:bCs/>
                <w:sz w:val="19"/>
                <w:szCs w:val="19"/>
              </w:rPr>
              <w:t xml:space="preserve">Permiso</w:t>
            </w:r>
          </w:p>
        </w:tc>
        <w:tc>
          <w:tcPr>
            <w:tcW w:type="pct" w:w="70%"/>
            <w:shd w:fill="EAF1F3" w:val="clear"/>
            <w:tcMar>
              <w:top w:type="dxa" w:w="80"/>
              <w:left w:type="dxa" w:w="100"/>
              <w:bottom w:type="dxa" w:w="80"/>
              <w:right w:type="dxa" w:w="100"/>
            </w:tcMar>
          </w:tcPr>
          <w:p>
            <w:r>
              <w:rPr>
                <w:b/>
                <w:bCs/>
                <w:sz w:val="19"/>
                <w:szCs w:val="19"/>
              </w:rPr>
              <w:t xml:space="preserve">Usado en el código</w:t>
            </w:r>
          </w:p>
        </w:tc>
      </w:tr>
      <w:tr>
        <w:tc>
          <w:tcPr>
            <w:tcW w:type="pct" w:w="30%"/>
            <w:tcMar>
              <w:top w:type="dxa" w:w="80"/>
              <w:left w:type="dxa" w:w="100"/>
              <w:bottom w:type="dxa" w:w="80"/>
              <w:right w:type="dxa" w:w="100"/>
            </w:tcMar>
          </w:tcPr>
          <w:p>
            <w:r>
              <w:rPr>
                <w:b w:val="false"/>
                <w:bCs w:val="false"/>
                <w:sz w:val="18"/>
                <w:szCs w:val="18"/>
              </w:rPr>
              <w:t xml:space="preserve">servicios:ver</w:t>
            </w:r>
          </w:p>
        </w:tc>
        <w:tc>
          <w:tcPr>
            <w:tcW w:type="pct" w:w="70%"/>
            <w:tcMar>
              <w:top w:type="dxa" w:w="80"/>
              <w:left w:type="dxa" w:w="100"/>
              <w:bottom w:type="dxa" w:w="80"/>
              <w:right w:type="dxa" w:w="100"/>
            </w:tcMar>
          </w:tcPr>
          <w:p>
            <w:r>
              <w:rPr>
                <w:b w:val="false"/>
                <w:bCs w:val="false"/>
                <w:sz w:val="18"/>
                <w:szCs w:val="18"/>
              </w:rPr>
              <w:t xml:space="preserve">Sí — listar, obtener, catálogos</w:t>
            </w:r>
          </w:p>
        </w:tc>
      </w:tr>
      <w:tr>
        <w:tc>
          <w:tcPr>
            <w:tcW w:type="pct" w:w="30%"/>
            <w:tcMar>
              <w:top w:type="dxa" w:w="80"/>
              <w:left w:type="dxa" w:w="100"/>
              <w:bottom w:type="dxa" w:w="80"/>
              <w:right w:type="dxa" w:w="100"/>
            </w:tcMar>
          </w:tcPr>
          <w:p>
            <w:r>
              <w:rPr>
                <w:b w:val="false"/>
                <w:bCs w:val="false"/>
                <w:sz w:val="18"/>
                <w:szCs w:val="18"/>
              </w:rPr>
              <w:t xml:space="preserve">servicios:crear</w:t>
            </w:r>
          </w:p>
        </w:tc>
        <w:tc>
          <w:tcPr>
            <w:tcW w:type="pct" w:w="70%"/>
            <w:tcMar>
              <w:top w:type="dxa" w:w="80"/>
              <w:left w:type="dxa" w:w="100"/>
              <w:bottom w:type="dxa" w:w="80"/>
              <w:right w:type="dxa" w:w="100"/>
            </w:tcMar>
          </w:tcPr>
          <w:p>
            <w:r>
              <w:rPr>
                <w:b w:val="false"/>
                <w:bCs w:val="false"/>
                <w:sz w:val="18"/>
                <w:szCs w:val="18"/>
              </w:rPr>
              <w:t xml:space="preserve">Sí — crear comunicación</w:t>
            </w:r>
          </w:p>
        </w:tc>
      </w:tr>
      <w:tr>
        <w:tc>
          <w:tcPr>
            <w:tcW w:type="pct" w:w="30%"/>
            <w:tcMar>
              <w:top w:type="dxa" w:w="80"/>
              <w:left w:type="dxa" w:w="100"/>
              <w:bottom w:type="dxa" w:w="80"/>
              <w:right w:type="dxa" w:w="100"/>
            </w:tcMar>
          </w:tcPr>
          <w:p>
            <w:r>
              <w:rPr>
                <w:b w:val="false"/>
                <w:bCs w:val="false"/>
                <w:sz w:val="18"/>
                <w:szCs w:val="18"/>
              </w:rPr>
              <w:t xml:space="preserve">servicios:editar</w:t>
            </w:r>
          </w:p>
        </w:tc>
        <w:tc>
          <w:tcPr>
            <w:tcW w:type="pct" w:w="70%"/>
            <w:tcMar>
              <w:top w:type="dxa" w:w="80"/>
              <w:left w:type="dxa" w:w="100"/>
              <w:bottom w:type="dxa" w:w="80"/>
              <w:right w:type="dxa" w:w="100"/>
            </w:tcMar>
          </w:tcPr>
          <w:p>
            <w:r>
              <w:rPr>
                <w:b w:val="false"/>
                <w:bCs w:val="false"/>
                <w:sz w:val="18"/>
                <w:szCs w:val="18"/>
              </w:rPr>
              <w:t xml:space="preserve">Sí — actualizar, enviar a revisión, observar, reabrir</w:t>
            </w:r>
          </w:p>
        </w:tc>
      </w:tr>
      <w:tr>
        <w:tc>
          <w:tcPr>
            <w:tcW w:type="pct" w:w="30%"/>
            <w:tcMar>
              <w:top w:type="dxa" w:w="80"/>
              <w:left w:type="dxa" w:w="100"/>
              <w:bottom w:type="dxa" w:w="80"/>
              <w:right w:type="dxa" w:w="100"/>
            </w:tcMar>
          </w:tcPr>
          <w:p>
            <w:r>
              <w:rPr>
                <w:b w:val="false"/>
                <w:bCs w:val="false"/>
                <w:sz w:val="18"/>
                <w:szCs w:val="18"/>
              </w:rPr>
              <w:t xml:space="preserve">servicios:finalizar</w:t>
            </w:r>
          </w:p>
        </w:tc>
        <w:tc>
          <w:tcPr>
            <w:tcW w:type="pct" w:w="70%"/>
            <w:tcMar>
              <w:top w:type="dxa" w:w="80"/>
              <w:left w:type="dxa" w:w="100"/>
              <w:bottom w:type="dxa" w:w="80"/>
              <w:right w:type="dxa" w:w="100"/>
            </w:tcMar>
          </w:tcPr>
          <w:p>
            <w:r>
              <w:rPr>
                <w:b w:val="false"/>
                <w:bCs w:val="false"/>
                <w:sz w:val="18"/>
                <w:szCs w:val="18"/>
              </w:rPr>
              <w:t xml:space="preserve">Sí — finalizar</w:t>
            </w:r>
          </w:p>
        </w:tc>
      </w:tr>
      <w:tr>
        <w:tc>
          <w:tcPr>
            <w:tcW w:type="pct" w:w="30%"/>
            <w:tcMar>
              <w:top w:type="dxa" w:w="80"/>
              <w:left w:type="dxa" w:w="100"/>
              <w:bottom w:type="dxa" w:w="80"/>
              <w:right w:type="dxa" w:w="100"/>
            </w:tcMar>
          </w:tcPr>
          <w:p>
            <w:r>
              <w:rPr>
                <w:b w:val="false"/>
                <w:bCs w:val="false"/>
                <w:sz w:val="18"/>
                <w:szCs w:val="18"/>
              </w:rPr>
              <w:t xml:space="preserve">servicios:eliminar</w:t>
            </w:r>
          </w:p>
        </w:tc>
        <w:tc>
          <w:tcPr>
            <w:tcW w:type="pct" w:w="70%"/>
            <w:tcMar>
              <w:top w:type="dxa" w:w="80"/>
              <w:left w:type="dxa" w:w="100"/>
              <w:bottom w:type="dxa" w:w="80"/>
              <w:right w:type="dxa" w:w="100"/>
            </w:tcMar>
          </w:tcPr>
          <w:p>
            <w:r>
              <w:rPr>
                <w:b w:val="false"/>
                <w:bCs w:val="false"/>
                <w:sz w:val="18"/>
                <w:szCs w:val="18"/>
              </w:rPr>
              <w:t xml:space="preserve">Sí — anular, eliminar borrador</w:t>
            </w:r>
          </w:p>
        </w:tc>
      </w:tr>
      <w:tr>
        <w:tc>
          <w:tcPr>
            <w:tcW w:type="pct" w:w="30%"/>
            <w:tcMar>
              <w:top w:type="dxa" w:w="80"/>
              <w:left w:type="dxa" w:w="100"/>
              <w:bottom w:type="dxa" w:w="80"/>
              <w:right w:type="dxa" w:w="100"/>
            </w:tcMar>
          </w:tcPr>
          <w:p>
            <w:r>
              <w:rPr>
                <w:b w:val="false"/>
                <w:bCs w:val="false"/>
                <w:sz w:val="18"/>
                <w:szCs w:val="18"/>
              </w:rPr>
              <w:t xml:space="preserve">servicios:exportar_informe</w:t>
            </w:r>
          </w:p>
        </w:tc>
        <w:tc>
          <w:tcPr>
            <w:tcW w:type="pct" w:w="70%"/>
            <w:tcMar>
              <w:top w:type="dxa" w:w="80"/>
              <w:left w:type="dxa" w:w="100"/>
              <w:bottom w:type="dxa" w:w="80"/>
              <w:right w:type="dxa" w:w="100"/>
            </w:tcMar>
          </w:tcPr>
          <w:p>
            <w:r>
              <w:rPr>
                <w:b w:val="false"/>
                <w:bCs w:val="false"/>
                <w:sz w:val="18"/>
                <w:szCs w:val="18"/>
              </w:rPr>
              <w:t xml:space="preserve">Sí — exportar PDF</w:t>
            </w:r>
          </w:p>
        </w:tc>
      </w:tr>
      <w:tr>
        <w:tc>
          <w:tcPr>
            <w:tcW w:type="pct" w:w="30%"/>
            <w:tcMar>
              <w:top w:type="dxa" w:w="80"/>
              <w:left w:type="dxa" w:w="100"/>
              <w:bottom w:type="dxa" w:w="80"/>
              <w:right w:type="dxa" w:w="100"/>
            </w:tcMar>
          </w:tcPr>
          <w:p>
            <w:r>
              <w:rPr>
                <w:b w:val="false"/>
                <w:bCs w:val="false"/>
                <w:sz w:val="18"/>
                <w:szCs w:val="18"/>
              </w:rPr>
              <w:t xml:space="preserve">servicios:despachar</w:t>
            </w:r>
          </w:p>
        </w:tc>
        <w:tc>
          <w:tcPr>
            <w:tcW w:type="pct" w:w="70%"/>
            <w:tcMar>
              <w:top w:type="dxa" w:w="80"/>
              <w:left w:type="dxa" w:w="100"/>
              <w:bottom w:type="dxa" w:w="80"/>
              <w:right w:type="dxa" w:w="100"/>
            </w:tcMar>
          </w:tcPr>
          <w:p>
            <w:r>
              <w:rPr>
                <w:b w:val="false"/>
                <w:bCs w:val="false"/>
                <w:sz w:val="18"/>
                <w:szCs w:val="18"/>
              </w:rPr>
              <w:t xml:space="preserve">No — sembrado y asignado a roles (Jefe de Guardia, Comandante), pero ningún @RequirePermission lo usa</w:t>
            </w:r>
          </w:p>
        </w:tc>
      </w:tr>
      <w:tr>
        <w:tc>
          <w:tcPr>
            <w:tcW w:type="pct" w:w="30%"/>
            <w:tcMar>
              <w:top w:type="dxa" w:w="80"/>
              <w:left w:type="dxa" w:w="100"/>
              <w:bottom w:type="dxa" w:w="80"/>
              <w:right w:type="dxa" w:w="100"/>
            </w:tcMar>
          </w:tcPr>
          <w:p>
            <w:r>
              <w:rPr>
                <w:b w:val="false"/>
                <w:bCs w:val="false"/>
                <w:sz w:val="18"/>
                <w:szCs w:val="18"/>
              </w:rPr>
              <w:t xml:space="preserve">servicios:ver_gps</w:t>
            </w:r>
          </w:p>
        </w:tc>
        <w:tc>
          <w:tcPr>
            <w:tcW w:type="pct" w:w="70%"/>
            <w:tcMar>
              <w:top w:type="dxa" w:w="80"/>
              <w:left w:type="dxa" w:w="100"/>
              <w:bottom w:type="dxa" w:w="80"/>
              <w:right w:type="dxa" w:w="100"/>
            </w:tcMar>
          </w:tcPr>
          <w:p>
            <w:r>
              <w:rPr>
                <w:b w:val="false"/>
                <w:bCs w:val="false"/>
                <w:sz w:val="18"/>
                <w:szCs w:val="18"/>
              </w:rPr>
              <w:t xml:space="preserve">No — sembrado y asignado a roles, pero las coordenadas viajan siempre junto al resto de los datos para cualquiera con servicios:ver</w:t>
            </w:r>
          </w:p>
        </w:tc>
      </w:tr>
    </w:tbl>
    <w:p>
      <w:pPr>
        <w:spacing w:after="120"/>
      </w:pPr>
      <w:r>
        <w:t xml:space="preserve">El caso de servicios:ver_gps es notable porque el proyecto ya resolvió el mismo problema en otro módulo: Denuncias separa explícitamente los datos técnicos (IP, GPS, user agent) detrás de un permiso propio (denuncias:ver_datos_tecnicos), documentado como regla crítica. Servicios tiene el permiso creado para hacer lo mismo con la ubicación GPS, pero nunca se conectó — hoy cualquier persona con servicios:ver ve las coordenadas exactas de cada intervención.</w:t>
      </w:r>
    </w:p>
    <w:p>
      <w:pPr>
        <w:pStyle w:val="Heading1"/>
        <w:spacing w:after="200" w:before="400"/>
      </w:pPr>
      <w:r>
        <w:t xml:space="preserve">12. Hallazgos y oportunidades de mejora</w:t>
      </w:r>
    </w:p>
    <w:p>
      <w:pPr>
        <w:spacing w:after="120"/>
      </w:pPr>
      <w:r>
        <w:t xml:space="preserve">Ordenados de mayor a menor impacto funcional. Cada punto está verificado contra el código, no es una suposición.</w:t>
      </w:r>
    </w:p>
    <w:p>
      <w:pPr>
        <w:spacing w:after="120"/>
      </w:pPr>
      <w:r>
        <w:rPr>
          <w:b/>
          <w:bCs/>
          <w:color w:val="10263F"/>
        </w:rPr>
        <w:t xml:space="preserve">Despacho y seguimiento en tiempo real (lo más grande sin construir) — </w:t>
      </w:r>
      <w:r>
        <w:t xml:space="preserve">La base de datos ya tiene todo lo necesario — estados DESPACHADO/EN_CURSO, la tabla historial_servicios para posiciones GPS por evento (SALIDA/LLEGADA/GPS/COMBUSTIBLE/INCIDENTE/FIN), el permiso servicios:despachar — pero no existe ningún endpoint ni pantalla que los use. Construir esto habilitaría un tablero en vivo: qué móviles están en camino, dónde están, cuánto llevan.</w:t>
      </w:r>
    </w:p>
    <w:p>
      <w:pPr>
        <w:spacing w:after="120"/>
      </w:pPr>
      <w:r>
        <w:rPr>
          <w:b/>
          <w:bCs/>
          <w:color w:val="10263F"/>
        </w:rPr>
        <w:t xml:space="preserve">Coordenadas GPS sin control de acceso — </w:t>
      </w:r>
      <w:r>
        <w:t xml:space="preserve">servicios:ver_gps existe pero no gatea nada. Aplicar el mismo patrón que ya usa Denuncias (separar el bloque de ubicación detrás de ese permiso) es un cambio acotado y ya tiene precedente probado en el sistema.</w:t>
      </w:r>
    </w:p>
    <w:p>
      <w:pPr>
        <w:spacing w:after="120"/>
      </w:pPr>
      <w:r>
        <w:rPr>
          <w:b/>
          <w:bCs/>
          <w:color w:val="10263F"/>
        </w:rPr>
        <w:t xml:space="preserve">Clasificación por gravedad, nunca capturada — </w:t>
      </w:r>
      <w:r>
        <w:t xml:space="preserve">La columna existe, el CHECK la restringe a valores válidos, y Snoopy ya la usa para responder consultas — pero el formulario nunca la pide. Agregar un campo "Gravedad" (Leve/Moderada/Grave/Crítica) en el formulario haría que esa respuesta de la IA (y cualquier reporte futuro por gravedad) deje de estar vacía.</w:t>
      </w:r>
    </w:p>
    <w:p>
      <w:pPr>
        <w:spacing w:after="120"/>
      </w:pPr>
      <w:r>
        <w:rPr>
          <w:b/>
          <w:bCs/>
          <w:color w:val="10263F"/>
        </w:rPr>
        <w:t xml:space="preserve">Cuadrilla como texto libre, no como datos — </w:t>
      </w:r>
      <w:r>
        <w:t xml:space="preserve">servicios.personal_servicio permitiría saber, con una consulta simple, cuántas horas sirvió cada bombero en el mes, o quién participó en tal intervención. Hoy esa información existe solo dentro del JSON del formulario (nombres tipeados a mano por rol de guardia), no consultable sin parsear cada registro.</w:t>
      </w:r>
    </w:p>
    <w:p>
      <w:pPr>
        <w:spacing w:after="120"/>
      </w:pPr>
      <w:r>
        <w:rPr>
          <w:b/>
          <w:bCs/>
          <w:color w:val="10263F"/>
        </w:rPr>
        <w:t xml:space="preserve">Kilometraje y combustible no se agregan al Servicio — </w:t>
      </w:r>
      <w:r>
        <w:t xml:space="preserve">Cada móvil ya registra su kilometraje inicial y final dentro del formulario. Sumarlo a las columnas kilometraje_salida/llegada/total y combustible_usado del Servicio (que además tiene una columna calculada lista para el total) habilitaría reportes de uso de flota sin tocar la base.</w:t>
      </w:r>
    </w:p>
    <w:p>
      <w:pPr>
        <w:spacing w:after="120"/>
      </w:pPr>
      <w:r>
        <w:rPr>
          <w:b/>
          <w:bCs/>
          <w:color w:val="10263F"/>
        </w:rPr>
        <w:t xml:space="preserve">Sin filtros ni paginación en el listado — </w:t>
      </w:r>
      <w:r>
        <w:t xml:space="preserve">GET /servicios/comunicaciones trae absolutamente todo. Es manejable hoy; con meses de uso real (una intervención registrable por día no es un volumen menor) se vuelve una respuesta cada vez más pesada. Agregar filtros por fecha, tipo, estado y un parámetro de paginación es una mejora de bajo riesgo con alto impacto a mediano plazo.</w:t>
      </w:r>
    </w:p>
    <w:p>
      <w:pPr>
        <w:spacing w:after="120"/>
      </w:pPr>
      <w:r>
        <w:rPr>
          <w:b/>
          <w:bCs/>
          <w:color w:val="10263F"/>
        </w:rPr>
        <w:t xml:space="preserve">Catálogos de opciones hardcodeados, no parametrizables — </w:t>
      </w:r>
      <w:r>
        <w:t xml:space="preserve">Categorías, tipos de incendio, tipos de accidente, tipos de rescate, magnitudes, unidades de superficie e instituciones de apoyo están escritos como listas fijas en el backend (OPCIONES_CATALOGO). El resto del sistema resuelve este mismo problema con organizacion.parametros: agregar o renombrar una opción no debería requerir un despliegue de código.</w:t>
      </w:r>
    </w:p>
    <w:p>
      <w:pPr>
        <w:spacing w:after="120"/>
      </w:pPr>
      <w:r>
        <w:rPr>
          <w:b/>
          <w:bCs/>
          <w:color w:val="10263F"/>
        </w:rPr>
        <w:t xml:space="preserve">El PDF se contradice a sí mismo — </w:t>
      </w:r>
      <w:r>
        <w:t xml:space="preserve">Se imprime con la leyenda “No válido como Informe” pero se archiva en Documentos como un Informe publicado. Además no usa el membrete institucional compartido que sí usan los demás documentos oficiales de SIGBO — se ve visualmente distinto. Conviene decidir un criterio único: si es un documento oficial, que se vea y se declare como tal.</w:t>
      </w:r>
    </w:p>
    <w:p>
      <w:pPr>
        <w:spacing w:after="120"/>
      </w:pPr>
      <w:r>
        <w:rPr>
          <w:b/>
          <w:bCs/>
          <w:color w:val="10263F"/>
        </w:rPr>
        <w:t xml:space="preserve">Sin trazabilidad real hacia la guardia — </w:t>
      </w:r>
      <w:r>
        <w:t xml:space="preserve">El campo "Guardias relacionadas" del formulario es texto libre separado por comas, no una relación con operaciones.asignaciones_guardia. No se puede responder de forma confiable "qué servicios ocurrieron durante tal guardia" con una consulta — depende de que alguien haya tipeado el dato de forma consistente.</w:t>
      </w:r>
    </w:p>
    <w:p>
      <w:pPr>
        <w:spacing w:after="120"/>
      </w:pPr>
      <w:r>
        <w:rPr>
          <w:b/>
          <w:bCs/>
          <w:color w:val="10263F"/>
        </w:rPr>
        <w:t xml:space="preserve">Sin carga de fotos — </w:t>
      </w:r>
      <w:r>
        <w:t xml:space="preserve">La columna fotos existe (array JSON) pero el formulario no tiene ningún campo para adjuntar imágenes del lugar — solo el croquis dibujado a mano. Podría reusar el mismo patrón de almacenamiento que ya usa el resto del sistema (multer + guardarImagen).</w:t>
      </w:r>
    </w:p>
    <w:p>
      <w:pPr>
        <w:spacing w:after="120"/>
      </w:pPr>
      <w:r>
        <w:rPr>
          <w:b/>
          <w:bCs/>
          <w:color w:val="10263F"/>
        </w:rPr>
        <w:t xml:space="preserve">Cobertura de pruebas mínima, pero ya hay un precedente — </w:t>
      </w:r>
      <w:r>
        <w:t xml:space="preserve">El proyecto no tiene pruebas automatizadas en general — servicios.geolocalizacion.spec.ts es una excepción real que ya funciona y cubre un único método (validarCoordenadas) de los más de veinte métodos de validación del servicio. Es un molde ya probado para extender cobertura a las validaciones más críticas (numeración, transiciones de estado, validarFinalizacion) sin tener que decidir un framework nuevo.</w:t>
      </w:r>
    </w:p>
    <w:p>
      <w:pPr>
        <w:pStyle w:val="Heading1"/>
        <w:spacing w:after="200" w:before="400"/>
      </w:pPr>
      <w:r>
        <w:t xml:space="preserve">13. Anexo — catálogo de opciones fijas actuales</w:t>
      </w:r>
    </w:p>
    <w:p>
      <w:pPr>
        <w:spacing w:after="120"/>
      </w:pPr>
      <w:r>
        <w:t xml:space="preserve">Listas definidas en servicios.service.ts (constante OPCIONES_CATALOGO), expuestas por GET /catalogos:</w:t>
      </w:r>
    </w:p>
    <w:p>
      <w:pPr>
        <w:pStyle w:val="ListParagraph"/>
        <w:numPr>
          <w:ilvl w:val="0"/>
          <w:numId w:val="1"/>
        </w:numPr>
        <w:spacing w:after="60"/>
      </w:pPr>
      <w:r>
        <w:t xml:space="preserve">Categorías (Otras Ocurrencias): Accidente, Animales, Transporte, Rescate, Cobertura, Otro servicio.</w:t>
      </w:r>
    </w:p>
    <w:p>
      <w:pPr>
        <w:pStyle w:val="ListParagraph"/>
        <w:numPr>
          <w:ilvl w:val="0"/>
          <w:numId w:val="1"/>
        </w:numPr>
        <w:spacing w:after="60"/>
      </w:pPr>
      <w:r>
        <w:t xml:space="preserve">Tipos de incendio: Estructural, Forestal Pastizal, Forestal Bosque, Vehicular, Basural, Eléctrico, MAT-PEL, Otro.</w:t>
      </w:r>
    </w:p>
    <w:p>
      <w:pPr>
        <w:pStyle w:val="ListParagraph"/>
        <w:numPr>
          <w:ilvl w:val="0"/>
          <w:numId w:val="1"/>
        </w:numPr>
        <w:spacing w:after="60"/>
      </w:pPr>
      <w:r>
        <w:t xml:space="preserve">Tipos de accidente: Choque, Arrollamiento, Vuelco, Caída, Otro.</w:t>
      </w:r>
    </w:p>
    <w:p>
      <w:pPr>
        <w:pStyle w:val="ListParagraph"/>
        <w:numPr>
          <w:ilvl w:val="0"/>
          <w:numId w:val="1"/>
        </w:numPr>
        <w:spacing w:after="60"/>
      </w:pPr>
      <w:r>
        <w:t xml:space="preserve">Tipos de rescate: Accidente, Vertical, Vivienda, Acuático, Otro.</w:t>
      </w:r>
    </w:p>
    <w:p>
      <w:pPr>
        <w:pStyle w:val="ListParagraph"/>
        <w:numPr>
          <w:ilvl w:val="0"/>
          <w:numId w:val="1"/>
        </w:numPr>
        <w:spacing w:after="60"/>
      </w:pPr>
      <w:r>
        <w:t xml:space="preserve">Magnitudes de incendio: Principio, Pequeña, Mediana, Grande, Emergencia general.</w:t>
      </w:r>
    </w:p>
    <w:p>
      <w:pPr>
        <w:pStyle w:val="ListParagraph"/>
        <w:numPr>
          <w:ilvl w:val="0"/>
          <w:numId w:val="1"/>
        </w:numPr>
        <w:spacing w:after="60"/>
      </w:pPr>
      <w:r>
        <w:t xml:space="preserve">Unidades de superficie: Metros cuadrados, Hectáreas.</w:t>
      </w:r>
    </w:p>
    <w:p>
      <w:pPr>
        <w:pStyle w:val="ListParagraph"/>
        <w:numPr>
          <w:ilvl w:val="0"/>
          <w:numId w:val="1"/>
        </w:numPr>
        <w:spacing w:after="60"/>
      </w:pPr>
      <w:r>
        <w:t xml:space="preserve">Posiciones de nómina: SCI, B1 a B20, RO1, RO2.</w:t>
      </w:r>
    </w:p>
    <w:p>
      <w:pPr>
        <w:pStyle w:val="ListParagraph"/>
        <w:numPr>
          <w:ilvl w:val="0"/>
          <w:numId w:val="1"/>
        </w:numPr>
        <w:spacing w:after="60"/>
      </w:pPr>
      <w:r>
        <w:t xml:space="preserve">Instituciones de apoyo: Hospital, Policía Nacional, Patrulla Caminera, Fiscalía, Otro.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2026-08-28T13:20:09.243Z</dcterms:created>
  <dcterms:modified xsi:type="dcterms:W3CDTF">2026-08-28T13:20:09.259Z</dcterms:modified>
</cp:coreProperties>
</file>

<file path=docProps/custom.xml><?xml version="1.0" encoding="utf-8"?>
<Properties xmlns="http://schemas.openxmlformats.org/officeDocument/2006/custom-properties" xmlns:vt="http://schemas.openxmlformats.org/officeDocument/2006/docPropsVTypes"/>
</file>