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PROYECTO API BOOKS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Documento de Arquitectura y Despliegue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5" w:dyaOrig="1560">
          <v:rect xmlns:o="urn:schemas-microsoft-com:office:office" xmlns:v="urn:schemas-microsoft-com:vml" id="rectole0000000000" style="width:318.750000pt;height:7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TABLA DE CONTENIDOS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Lineamientos arquitectónicos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Estándares de codificación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Pila tecnológica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Despliegue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Introducción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El presente documento tiene como objetivo definir los lineamientos técnicos a seguir en el proyecto API BOOKS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documento no pretende ofrecer una documentación detallada de cada artefacto implementado, sino representar de manera general las aproximaciones arquitectónicas y de diseño seguidas en la implementación de dicho artefacto.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 igual manera, este documento describe el conjunto de herramientas, marcos de trabajo y otros elementos de soporte utilizado(a)s en/la durante la implementación del artefacto producido.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Lineamientos arquitectónicos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El proyecto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API BOOKS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ha sido concebido con una arquitectura basada en microservicios, la cual ofrece beneficios importantes en varios aspectos cuando se compara con los modelos monolíticos de las arquitecturas basadas en capas y/o en servicios. No obstante, las arquitecturas microservicios también suponen nuevos retos con respecto a la resolución de mecanismos de comunicación e interacción entre componentes (entre otros) que no se presentan en las arquitecturas heredadas.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 cara a enfrentar la resolución de dichos retos se definen los siguientes lineamientos arquitectónicos a seguir en la implementación del artefacto a construir: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Adoptar principios SOLID en la implementación del artefacto: la implementación de la solución estará guiada por la aplicación de los principios SOLID de desarrollo orientado a objetos, por lo tanto, el artefacto producido durante el desarrollo deberá cumplir con los siguientes lineamientos particulares: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 Cada componente deberá tener una responsabilidad simple de manera que en caso de ser necesario pueda ser modificado y/o remplazado sin impactar a otros componentes.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Los componentes implementados en la soluci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 no tendrán dependencias de implementaciones concretas de otros componentes, sino que dependerán de abstracciones o contratos.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180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Las implementaciones concretas que usar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 cada componente deberán ser provistas mediante inyección a través del constructor. </w:t>
      </w:r>
    </w:p>
    <w:p>
      <w:pPr>
        <w:spacing w:before="0" w:after="0" w:line="240"/>
        <w:ind w:right="0" w:left="180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108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Adoptar DDD como estrategia de diseño: la estructura de los diferentes componentes de la solución estará guiados por una estrategia de diseño orientada al dominio para facilitar la concentración y mantenimiento de las diferentes responsabilidades en componentes específicos.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Estándares de codificación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FFFFFF" w:val="clear"/>
        </w:rPr>
        <w:t xml:space="preserve">La solución se implementará usando Python como lenguaje de programación para el componente de BackEnd. En consecuencia, se seguirán los estándares de codificación oficiales establecidos. Ver 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9454C3"/>
            <w:spacing w:val="0"/>
            <w:position w:val="0"/>
            <w:sz w:val="22"/>
            <w:u w:val="single"/>
            <w:shd w:fill="FFFFFF" w:val="clear"/>
          </w:rPr>
          <w:t xml:space="preserve">PEP8</w:t>
        </w:r>
      </w:hyperlink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Pila tecnológica</w:t>
      </w:r>
    </w:p>
    <w:tbl>
      <w:tblPr/>
      <w:tblGrid>
        <w:gridCol w:w="2784"/>
        <w:gridCol w:w="6068"/>
      </w:tblGrid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Componente 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Versión 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 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3.8.5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fastapi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18"/>
                <w:shd w:fill="auto" w:val="clear"/>
              </w:rPr>
              <w:t xml:space="preserve">0.72.0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asyncpg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0.25.0</w:t>
            </w:r>
          </w:p>
        </w:tc>
      </w:tr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aiohttp[client]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3.8.1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dependency-injector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4.37.0</w:t>
            </w:r>
          </w:p>
        </w:tc>
      </w:tr>
      <w:tr>
        <w:trPr>
          <w:trHeight w:val="315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SQLAlchemy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1.4.31</w:t>
            </w:r>
          </w:p>
        </w:tc>
      </w:tr>
      <w:tr>
        <w:trPr>
          <w:trHeight w:val="240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retry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0.9.2</w:t>
            </w:r>
          </w:p>
        </w:tc>
      </w:tr>
      <w:tr>
        <w:trPr>
          <w:trHeight w:val="285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20.8b1</w:t>
            </w:r>
          </w:p>
        </w:tc>
      </w:tr>
      <w:tr>
        <w:trPr>
          <w:trHeight w:val="240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uvicorn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0.17.0</w:t>
            </w:r>
          </w:p>
        </w:tc>
      </w:tr>
      <w:tr>
        <w:trPr>
          <w:trHeight w:val="225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pytest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6.0.1</w:t>
            </w:r>
          </w:p>
        </w:tc>
      </w:tr>
      <w:tr>
        <w:trPr>
          <w:trHeight w:val="225" w:hRule="auto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pytest-cov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2.10.1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AWS 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La implementación de la solución está vinculada a diferentes componentes de AWS los cuales se mencionan a continuación 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465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EC2 (Ubuntu 18.04 LTS)  t2.micro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 para alojar contenedores Docker  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PostgreSQL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14.1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 version 20.10.7, build 20.10.7-0ubuntu5~18.04.3</w:t>
            </w:r>
          </w:p>
        </w:tc>
      </w:tr>
      <w:tr>
        <w:trPr>
          <w:trHeight w:val="1" w:hRule="atLeast"/>
          <w:jc w:val="left"/>
        </w:trPr>
        <w:tc>
          <w:tcPr>
            <w:tcW w:w="2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Docker-compose</w:t>
            </w:r>
          </w:p>
        </w:tc>
        <w:tc>
          <w:tcPr>
            <w:tcW w:w="606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docker-compose version 1.29.2, build 5becea4c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Despliegue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Al tratarse de una solución basada en una arquitectura de microservicios, los escenarios de despliegue son variados y admite múltiples configuraciones. El presente documento esquematiza el modelo de despliegue propuesto para API BOOKS.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04">
          <v:rect xmlns:o="urn:schemas-microsoft-com:office:office" xmlns:v="urn:schemas-microsoft-com:vml" id="rectole0000000001" style="width:432.000000pt;height:275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Ver archivos de despliegue en el repositorio de codigo: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build.sh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Dockerfile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docker-compose.yml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updated.sh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install.md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python.org/dev/peps/pep-0008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