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 CLUB CORE LOGIC v3.0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THE GEOMETRY: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Always use Equilateral Triangular Spacing (Hexagonal Packing).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Row Distance = Spacing * 0.866.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Offset every second row by 50% to ensure high-impact density.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DENSITY &amp; PRICING TIERS: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Calculate density using the Area scale: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 &lt; 0.9m2: 12 plants/m2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 1.0 - 1.9m2: 11 plants/m2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 2.0 - 2.9m2: 10 plants/m2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 3.0 - 3.9m2: 9 plants/m2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* 4.0m2+: 8 plants/m2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"Ready-to-Grow" Modifier: Subtract exactly 2 plants per m2. 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Removal Rule: Prioritize removing Slot 2, 5, 3, 6 (fillers). Never remove 1, 4, or 7.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VIEWING PERSPECTIVE: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One-Sided (Against wall): Tallest (Slots 1, 8, 9) at the back (Y=0).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Both-Sides (Island): Tallest (Slot 1) along the center spine.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SCALING LONG BORDERS (&gt; 2m):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Implement Rhythmic Repetition: Place Slot 1 "Anchors" every 1.5m.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Bookending: Place structural plants (#8 or #9) at far-left and far-right.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SWAP LOGIC: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Category Lock: Users can only swap a plant for one listed in the "Alternative plants" column of the same Slot Category.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