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pPr/>
      <w:r>
        <w:rPr>
          <w:b/>
        </w:rPr>
        <w:t>Artículo de Investigación</w:t>
      </w:r>
    </w:p>
    <w:p>
      <w:pPr/>
      <w:r>
        <w:t>Fecha de envío: 26 / 02 / 2026</w:t>
      </w:r>
    </w:p>
    <w:p/>
    <w:p>
      <w:pPr>
        <w:jc w:val="center"/>
      </w:pPr>
      <w:r>
        <w:rPr>
          <w:b/>
          <w:sz w:val="28"/>
        </w:rPr>
        <w:t>Telemonitoreo Domiciliario de Embarazos de Alto Riesgo: Desarrollo y Evaluación de un Sistema Interoperable Basado en Estándares Abiertos</w:t>
      </w:r>
    </w:p>
    <w:p>
      <w:pPr>
        <w:jc w:val="center"/>
      </w:pPr>
      <w:r>
        <w:rPr>
          <w:i/>
          <w:sz w:val="24"/>
        </w:rPr>
        <w:t>Home Telemonitoring of High-Risk Pregnancies: Development and Evaluation of an Interoperable System Based on Open Standards</w:t>
      </w:r>
    </w:p>
    <w:p>
      <w:pPr>
        <w:jc w:val="center"/>
      </w:pPr>
      <w:r>
        <w:t>Henry Andrade-Caicedo1*, Oscar Eduardo Sánchez García1, Luz Viviana Cobaleda1, Ever A. Torres-Silva2, Iván F. Luna-Gomez3, Juan Guillermo Barrientos-Gomez3</w:t>
      </w:r>
    </w:p>
    <w:p>
      <w:pPr>
        <w:jc w:val="center"/>
      </w:pPr>
      <w:r>
        <w:rPr>
          <w:i/>
        </w:rPr>
        <w:t>1Universidad Pontificia Bolivariana, Colombia; 2Institución Educativa [Afiliación 2]; 3Institución Educativa [Afiliación 3]</w:t>
        <w:br/>
        <w:t>*Correspondencia: henry.andrade@upb.edu.co</w:t>
      </w:r>
    </w:p>
    <w:p/>
    <w:p>
      <w:pPr/>
      <w:r>
        <w:rPr>
          <w:b/>
        </w:rPr>
        <w:t>RESUMEN</w:t>
      </w:r>
    </w:p>
    <w:p>
      <w:pPr/>
      <w:r>
        <w:t>Objetivo: Presentar el diseño, implementación y evaluación de un sistema de telemonitoreo domiciliario interoperable para el seguimiento de embarazos de alto riesgo, utilizando estándares abiertos de comunicación biomédica. Metodología: Se desarrolló una arquitectura de software en capas que integra dispositivos biomédicos personales (PHD), un gateway de salud personal (PHG) y un bus de servicios empresariales (ESB) conforme a las guías Continua de la Personal Connected Health Alliance (PCHA) y los estándares IEEE 11073, HL7 FHIR y OAuth 2.0. Se realizó una prueba piloto con 63 pacientes con embarazos de alto riesgo durante 13 meses (agosto 2021 – septiembre 2022). Resultados: Se generaron 7.066 registros clínicos (presión arterial: 52,1%; glucosa: 38,3%; peso: 9,6%) con una tasa de confirmación del 93,9%. El promedio de mediciones por paciente fue de 112,2 ± 112,4. La validación funcional incluyó 1.322 casos de prueba distribuidos en tres ciclos, con 104 hallazgos identificados y resueltos en su totalidad. Limitaciones: Alta variabilidad en la adherencia de los pacientes y dependencia de la conectividad doméstica. Contribución original: Se propone una arquitectura escalable, interoperable y basada en estándares abiertos para el monitoreo remoto de gestantes de alto riesgo en entornos de recursos limitados. Conclusiones: El sistema demostró ser técnicamente viable, con alta calidad de datos y funcionalidad validada, representando una herramienta prometedora para la atención obstétrica remota.</w:t>
      </w:r>
    </w:p>
    <w:p>
      <w:pPr/>
      <w:r>
        <w:rPr>
          <w:i/>
        </w:rPr>
        <w:t>Palabras clave: embarazo de alto riesgo, estándares abiertos, interoperabilidad, telemonitoreo domiciliario, telemedicina.</w:t>
      </w:r>
    </w:p>
    <w:p/>
    <w:p>
      <w:pPr/>
      <w:r>
        <w:rPr>
          <w:b/>
        </w:rPr>
        <w:t>ABSTRACT</w:t>
      </w:r>
    </w:p>
    <w:p>
      <w:pPr/>
      <w:r>
        <w:t>Objective: To present the design, implementation, and evaluation of an interoperable home telemonitoring system for high-risk pregnancy follow-up using open biomedical communication standards. Methodology: A layered software architecture was developed integrating personal health devices (PHD), a personal health gateway (PHG), and an enterprise service bus (ESB), compliant with the Continua guidelines of the Personal Connected Health Alliance (PCHA) and the IEEE 11073, HL7 FHIR, and OAuth 2.0 standards. A pilot study was conducted with 63 high-risk pregnant patients over 13 months (August 2021 – September 2022). Results: A total of 7,066 clinical records were generated (blood pressure: 52.1%; glucose: 38.3%; weight: 9.6%) with a confirmation rate of 93.9%. The average number of measurements per patient was 112.2 ± 112.4. Functional validation comprised 1,322 test cases across three testing cycles, with 104 identified findings, all of which were resolved. Limitations: High variability in patient adherence and dependence on home internet connectivity. Original contribution: A scalable, interoperable, open-standards-based architecture for remote monitoring of high-risk pregnant patients in resource-limited settings is proposed. Conclusions: The system demonstrated technical feasibility, high data quality, and validated functionality, representing a promising tool for remote obstetric care.</w:t>
      </w:r>
    </w:p>
    <w:p>
      <w:pPr/>
      <w:r>
        <w:rPr>
          <w:i/>
        </w:rPr>
        <w:t>Keywords: home telemonitoring, high-risk pregnancy, interoperability, open standards, telemedicine.</w:t>
      </w:r>
    </w:p>
    <w:p/>
    <w:p>
      <w:pPr/>
      <w:r>
        <w:rPr>
          <w:b/>
        </w:rPr>
        <w:t>INTRODUCCIÓN</w:t>
      </w:r>
    </w:p>
    <w:p>
      <w:pPr/>
      <w:r>
        <w:t>El monitoreo de embarazos de alto riesgo representa un desafío significativo para los sistemas de salud, especialmente en regiones con acceso limitado a centros especializados o con recursos insuficientes [1]. Complicaciones como los trastornos hipertensivos del embarazo (HDP) y la diabetes mellitus gestacional (DMG) están asociadas a una elevada morbimortalidad materna y perinatal, y requieren un seguimiento clínico continuo y oportuno [2], [3]. Según la Organización Mundial de la Salud (OMS), cerca del 15% de los embarazos presentan algún tipo de complicación que puede poner en riesgo la vida de la madre o el feto [4].</w:t>
      </w:r>
    </w:p>
    <w:p>
      <w:pPr/>
      <w:r>
        <w:t>El telemonitoreo domiciliario ha emergido como una estrategia eficaz para superar las barreras geográficas y logísticas que impiden el acceso oportuno a la atención médica [5]. Esta modalidad ofrece beneficios clave, como la detección temprana de alteraciones clínicas, la mejora en la adherencia al tratamiento y la optimización de los recursos médicos disponibles [6]. Revisiones sistemáticas recientes han evidenciado que el monitoreo remoto de la presión arterial en embarazadas con hipertensión se asocia a una reducción significativa en la variabilidad de las mediciones y una mayor adherencia al seguimiento clínico [7], [8].</w:t>
      </w:r>
    </w:p>
    <w:p>
      <w:pPr/>
      <w:r>
        <w:t>La implementación de soluciones de telemonitoreo en contextos de salud heterogéneos enfrenta desafíos técnicos críticos, entre los que destaca la interoperabilidad entre dispositivos médicos y sistemas de información en salud [9], [10]. La falta de estandarización en los formatos de datos y protocolos de comunicación constituye una barrera frecuente para la integración de sistemas de monitoreo remoto en la práctica clínica [11]. En este contexto, las guías Continua de la Personal Connected Health Alliance (PCHA) y los estándares IEEE 11073, HL7 FHIR y OAuth 2.0 proporcionan un marco técnico robusto para diseñar sistemas interoperables orientados al paciente [12], [13].</w:t>
      </w:r>
    </w:p>
    <w:p>
      <w:pPr/>
      <w:r>
        <w:t>A pesar del creciente número de iniciativas en telemedicina obstétrica, pocos estudios han abordado la implementación de arquitecturas de software completamente interoperables para el monitoreo domiciliario de gestantes de alto riesgo en países de ingresos medios y bajos [5], [14]. La mayoría de las soluciones existentes presentan limitaciones en cuanto a escalabilidad, integración con historias clínicas electrónicas (HCE) y trazabilidad de los datos clínicos [10]. Adicionalmente, la integración de decisiones clínicas asistidas por inteligencia artificial en estos sistemas aún es incipiente en el contexto latinoamericano [15].</w:t>
      </w:r>
    </w:p>
    <w:p>
      <w:pPr/>
      <w:r>
        <w:t>En este trabajo se presenta el desarrollo y evaluación de un sistema de telemonitoreo domiciliario, denominado HADA (Health Assistant for Data Analysis), diseñado específicamente para mujeres con embarazos de alto riesgo. El sistema integra dispositivos biomédicos comerciales certificados bajo un modelo interoperable que cumple con los estándares internacionales y aplica técnicas de inteligencia artificial para la detección del riesgo obstétrico [16]. El objetivo principal de este artículo es describir la arquitectura técnica del sistema, su proceso de implementación y los resultados de la prueba piloto realizada con 63 pacientes durante 13 meses de seguimiento domiciliario.</w:t>
      </w:r>
    </w:p>
    <w:p/>
    <w:p>
      <w:pPr/>
      <w:r>
        <w:rPr>
          <w:b/>
        </w:rPr>
        <w:t>MATERIALES Y MÉTODOS</w:t>
      </w:r>
    </w:p>
    <w:p>
      <w:pPr/>
      <w:r>
        <w:rPr>
          <w:b/>
        </w:rPr>
        <w:t>Diseño del estudio</w:t>
      </w:r>
    </w:p>
    <w:p>
      <w:pPr/>
      <w:r>
        <w:t>El desarrollo del sistema de telemonitoreo domiciliario se fundamentó en un enfoque centrado en el paciente, orientado por las guías Continua de la Personal Connected Health Alliance (PCHA) [12]. Este enfoque utilizó estándares abiertos como IEEE 11073 para la comunicación entre dispositivos biomédicos y gateways de salud personal, HL7 FHIR para el intercambio estructurado de información clínica, y OAuth 2.0 para la autenticación segura [13], [17]. El diseño de la arquitectura siguió el modelo arquitectónico de capas propuesto por Zhang y Butler [18], que permite una separación clara de responsabilidades entre componentes del sistema y facilita la escalabilidad.</w:t>
      </w:r>
    </w:p>
    <w:p>
      <w:pPr/>
      <w:r>
        <w:t>El proceso de desarrollo comprendió las siguientes etapas: (i) identificación de requerimientos funcionales y no funcionales mediante revisión de literatura y entrevistas con personal clínico; (ii) diseño de la arquitectura de software utilizando notación UML; (iii) implementación y configuración de los componentes del sistema; y (iv) prueba piloto con pacientes reales. La validación funcional de la plataforma web fue realizada por una empresa externa de aseguramiento de calidad de software (Qualitas Test Team SAS), aplicando tres ciclos de pruebas bajo metodología formal de testing [19].</w:t>
      </w:r>
    </w:p>
    <w:p>
      <w:pPr/>
      <w:r>
        <w:rPr>
          <w:b/>
        </w:rPr>
        <w:t>Participantes</w:t>
      </w:r>
    </w:p>
    <w:p>
      <w:pPr/>
      <w:r>
        <w:t>El estudio incluyó dos fases de evaluación con participantes humanos. En la primera fase, controlada, se convocó a 10 voluntarios sanos para realizar pruebas de funcionamiento del sistema con los tres dispositivos biomédicos (tensiómetro, báscula y glucómetro). Algunos voluntarios pertenecían al equipo de investigación y conocían el protocolo de medición. En la segunda fase, se seleccionaron 63 pacientes con embarazos de alto riesgo mediante criterios médicos establecidos por el equipo clínico de la Clínica Universitaria Bolivariana, quienes participaron en la prueba piloto domiciliaria entre agosto de 2021 y septiembre de 2022.</w:t>
      </w:r>
    </w:p>
    <w:p>
      <w:pPr/>
      <w:r>
        <w:t>Los criterios de inclusión para la prueba piloto fueron: (i) diagnóstico de embarazo de alto riesgo por HDP o DMG, (ii) disposición de conectividad a internet en el domicilio, (iii) capacidad para operar los dispositivos biomédicos autónomamente o con apoyo de un cuidador, y (iv) consentimiento informado firmado. Se excluyeron pacientes con limitaciones cognitivas o físicas que impidieran el uso de los dispositivos. El estudio fue aprobado por el comité de ética de la Clínica Universitaria Bolivariana y se realizó conforme a la Declaración de Helsinki.</w:t>
      </w:r>
    </w:p>
    <w:p>
      <w:pPr/>
      <w:r>
        <w:rPr>
          <w:b/>
        </w:rPr>
        <w:t>Escenarios de Implementación</w:t>
      </w:r>
    </w:p>
    <w:p>
      <w:pPr/>
      <w:r>
        <w:t>Este trabajo hace parte de un proyecto más amplio denominado HADA, cuyo objetivo es estandarizar un modelo integrado de atención médica para pacientes obstétricas de alto riesgo apoyado por un asistente computarizado inteligente [16]. Los usuarios principales del sistema son mujeres embarazadas con HDP o DMG, quienes pueden residir en zonas apartadas o con acceso limitado a servicios médicos especializados. El personal clínico involucrado comprende enfermería, ginecología-obstetricia y medicina general, quienes realizan seguimiento remoto continuo a través de la plataforma web.</w:t>
      </w:r>
    </w:p>
    <w:p>
      <w:pPr/>
      <w:r>
        <w:t>Dado que el volumen de datos clínicos generado durante el seguimiento es considerable, los registros electrónicos deben ser confiables, trazables e interoperables con el sistema de información hospitalario. La heterogeneidad de dispositivos y formatos de datos requiere que toda la cadena de información sea interoperable. La capacidad de incorporar nuevos dispositivos biomédicos en la arquitectura de forma modular permite adaptar el sistema a las necesidades clínicas cambiantes sin modificar la infraestructura central.</w:t>
      </w:r>
    </w:p>
    <w:p/>
    <w:p>
      <w:pPr/>
      <w:r>
        <w:rPr>
          <w:b/>
        </w:rPr>
        <w:t>Arquitectura del Sistema de Telemonitoreo</w:t>
      </w:r>
    </w:p>
    <w:p>
      <w:pPr/>
      <w:r>
        <w:t>La arquitectura del sistema HADA fue diseñada para abordar los desafíos de interoperabilidad en la transferencia de información entre dispositivos médicos y sistemas de información en salud en un entorno heterogéneo. A partir de las necesidades definidas en el modelo centrado en el paciente, se propone una arquitectura de software en capas que especifica requerimientos técnicos mediante modelos UML.</w:t>
      </w:r>
    </w:p>
    <w:p>
      <w:pPr/>
      <w:r>
        <w:rPr>
          <w:b/>
        </w:rPr>
        <w:t>Requerimientos del sistema</w:t>
      </w:r>
    </w:p>
    <w:p>
      <w:pPr/>
      <w:r>
        <w:t>La identificación de requerimientos se basó en el marco de integración definido por la IHE (Integrating the Healthcare Enterprise), que establece implementaciones específicas de estándares para la integración efectiva de sistemas de salud [20]. El diseño arquitectónico utiliza un estilo en capas, donde cada capa tiene una responsabilidad específica, lo que facilita el mantenimiento, la escalabilidad y la incorporación de nuevos módulos. La Figura 1 ilustra los principales componentes de la arquitectura propuesta y el flujo de datos entre ellos.</w:t>
      </w:r>
    </w:p>
    <w:p>
      <w:pPr/>
      <w:r>
        <w:rPr>
          <w:i/>
        </w:rPr>
        <w:t>Figura 1. Componentes del sistema y flujo de datos de la arquitectura HADA.</w:t>
      </w:r>
    </w:p>
    <w:p>
      <w:pPr/>
      <w:r>
        <w:t>Los dispositivos de salud personal (PHD) integrados en el sistema son: el monitor de presión arterial UA-651BLE (A&amp;D Medical), la báscula de peso UC-352BLE (A&amp;D Medical) y el glucómetro Accu-Chek® Instant (Roche Diagnostics). Todos estos dispositivos cuentan con certificación Continua, lo que garantiza su conformidad con los estándares IEEE 11073 y asegura la interoperabilidad técnica y sintáctica con el ecosistema PCHA [12], [21].</w:t>
      </w:r>
    </w:p>
    <w:p>
      <w:pPr/>
      <w:r>
        <w:t>La Figura 2 muestra el diagrama de secuencia UML del flujo de información entre cada capa del sistema, desde la medición del paciente hasta el almacenamiento en la base de datos clínica. La Figura 3 presenta el diagrama de despliegue, donde se visualizan los nodos de hardware, los enlaces de comunicación y la colocación de los componentes de software. Los diagramas de paquetes (Figura 4) muestran la organización modular de la aplicación web y las dependencias entre componentes.</w:t>
      </w:r>
    </w:p>
    <w:p>
      <w:pPr/>
      <w:r>
        <w:rPr>
          <w:i/>
        </w:rPr>
        <w:t>Figura 2. Diagrama de secuencia: flujo de información entre capas del sistema.</w:t>
      </w:r>
    </w:p>
    <w:p>
      <w:pPr/>
      <w:r>
        <w:rPr>
          <w:i/>
        </w:rPr>
        <w:t>Figura 3. Diagrama de despliegue del sistema HADA.</w:t>
      </w:r>
    </w:p>
    <w:p>
      <w:pPr/>
      <w:r>
        <w:rPr>
          <w:i/>
        </w:rPr>
        <w:t>Figura 4. Diagrama de paquetes de la aplicación web.</w:t>
      </w:r>
    </w:p>
    <w:p>
      <w:pPr/>
      <w:r>
        <w:t>El patrón arquitectónico Enterprise Service Bus (ESB) fue seleccionado como solución central de integración, por su capacidad para gestionar la escalabilidad horizontal, la heterogeneidad de dispositivos y los distintos formatos de mensajes [22]. El ESB implementado es Mirth Connect v3.10.0 (actualmente NextGen Connect), un motor de integración HL7 multiplataforma de código abierto que permite la transformación, filtrado y enrutamiento de mensajes clínicos en tiempo real [23].</w:t>
      </w:r>
    </w:p>
    <w:p>
      <w:pPr/>
      <w:r>
        <w:t>El flujo de datos comienza cuando el paciente utiliza un PHD para obtener una medición. El PHD transfiere los datos al PHG (gateway de salud personal) mediante Bluetooth utilizando el protocolo IEEE 11073-20601. El PHG encapsula las observaciones en un paquete FHIR Bundle (conforme al estándar H.812.5 de PCHA [24]) y lo envía al ESB mediante HTTP sobre la API de aprovisionamiento desarrollada en Node.js. El ESB fragmenta cada mensaje en cuatro tipos: datos del PHG, datos del paciente, datos del dispositivo y datos de la observación, y los almacena en tablas específicas de la base de datos HADA.</w:t>
      </w:r>
    </w:p>
    <w:p>
      <w:pPr/>
      <w:r>
        <w:rPr>
          <w:b/>
        </w:rPr>
        <w:t>Diseño e implementación</w:t>
      </w:r>
    </w:p>
    <w:p>
      <w:pPr/>
      <w:r>
        <w:t>El proceso de implementación se describe en tres etapas secuenciales: (i) configuración y aprovisionamiento, (ii) captura y transferencia de datos, y (iii) almacenamiento y visualización. La Figura 5 muestra el proceso global mediante un diagrama de secuencia UML.</w:t>
      </w:r>
    </w:p>
    <w:p>
      <w:pPr/>
      <w:r>
        <w:rPr>
          <w:i/>
        </w:rPr>
        <w:t>Figura 5. Diagrama de secuencia para el manejo de mensajes a través del ESB.</w:t>
      </w:r>
    </w:p>
    <w:p>
      <w:pPr/>
      <w:r>
        <w:rPr>
          <w:i/>
        </w:rPr>
        <w:t>Etapa 1: Configuración y aprovisionamiento</w:t>
      </w:r>
    </w:p>
    <w:p>
      <w:pPr/>
      <w:r>
        <w:t>Al iniciar el seguimiento de un nuevo paciente, se realiza la configuración in situ del PHG con la red Wi-Fi del domicilio. El aprovisionamiento se gestiona mediante una API REST desarrollada en Node.js que implementa el protocolo de intercambio de capacidades PCHA: (a) el PHG solicita el archivo root.xml con las funcionalidades del servidor; (b) descarga el archivo hData.xml con el endpoint para recibir observaciones; y (c) se autentica mediante OAuth 2.0, generando tokens de acceso para autorizar las solicitudes subsiguientes. Este mecanismo garantiza la autenticidad del origen de los datos y protege la privacidad de la información clínica.</w:t>
      </w:r>
    </w:p>
    <w:p>
      <w:pPr/>
      <w:r>
        <w:rPr>
          <w:i/>
        </w:rPr>
        <w:t>Etapa 2: Captura y transferencia de datos</w:t>
      </w:r>
    </w:p>
    <w:p>
      <w:pPr/>
      <w:r>
        <w:t>Las mediciones se pueden realizar sin conexión a internet, dado que los PHD utilizan Bluetooth para transferir datos al PHG de manera local. Los datos de múltiples PHD se encapsulan en un paquete FHIR Bundle y se almacenan temporalmente en el PHG. Cuando se restablece la conectividad, el paquete se envía al ESB mediante HTTP. Mirth Connect procesa cada mensaje siguiendo un pipeline de transformación que incluye: decodificación en base64, validación del dispositivo y usuario, filtrado mediante códigos ISO-IEEE 11073, identificación del tipo de medición, extracción de valores y unidades, verificación de fechas y almacenamiento en la base de datos.</w:t>
      </w:r>
    </w:p>
    <w:p>
      <w:pPr/>
      <w:r>
        <w:rPr>
          <w:i/>
        </w:rPr>
        <w:t>Etapa 3: Almacenamiento y visualización de datos</w:t>
      </w:r>
    </w:p>
    <w:p>
      <w:pPr/>
      <w:r>
        <w:t>La aplicación web HADA consume los datos desde una API RESTful que implementa el estándar JSON Web Token (JWT) para la seguridad de las transferencias. Los datos clínicos almacenados se presentan al personal clínico a través de un tablero de monitoreo con información sistematizada en gráficos, tablas y alarmas automatizadas. La plataforma incluye módulos para: (i) visualización del historial de mediciones con líneas de tiempo; (ii) generación de alarmas por valores fuera de rango; (iii) soporte para telemedicina (video consulta y tele orientación); y (iv) recursos educativos para pacientes sobre el manejo de su condición gestacional. La Figura 6 muestra la interfaz del tablero de monitoreo.</w:t>
      </w:r>
    </w:p>
    <w:p>
      <w:pPr/>
      <w:r>
        <w:rPr>
          <w:i/>
        </w:rPr>
        <w:t>Figura 6. Tablero de monitoreo de la plataforma web HADA.</w:t>
      </w:r>
    </w:p>
    <w:p/>
    <w:p>
      <w:pPr/>
      <w:r>
        <w:rPr>
          <w:b/>
        </w:rPr>
        <w:t>RESULTADOS Y DISCUSIÓN</w:t>
      </w:r>
    </w:p>
    <w:p>
      <w:pPr/>
      <w:r>
        <w:t>Los resultados del sistema HADA se presentan en dos dimensiones complementarias: los resultados de la prueba piloto clínica con pacientes y los resultados de la validación funcional de la plataforma web.</w:t>
      </w:r>
    </w:p>
    <w:p>
      <w:pPr/>
      <w:r>
        <w:rPr>
          <w:b/>
        </w:rPr>
        <w:t>Prueba piloto con pacientes</w:t>
      </w:r>
    </w:p>
    <w:p>
      <w:pPr/>
      <w:r>
        <w:t>La prueba piloto se llevó a cabo durante 13 meses (agosto 2021 – septiembre 2022) con 63 pacientes con embarazos de alto riesgo atendidas en la Clínica Universitaria Bolivariana. Cada paciente recibió, al alta hospitalaria, un kit de dispositivos biomédicos compuesto por un tensiómetro UA-651BLE, una báscula UC-352BLE y un glucómetro Accu-Chek® Instant, junto con un PHG (smartphone Android). El seguimiento clínico fue realizado de forma remota por un equipo multidisciplinario a través de la plataforma HADA.</w:t>
      </w:r>
    </w:p>
    <w:p>
      <w:pPr/>
      <w:r>
        <w:t>Durante el periodo de seguimiento se generaron un total de 7.066 registros clínicos. La distribución por tipo de medición fue la siguiente: presión arterial, 3.682 registros (52,1%); glucosa en sangre, 2.706 registros (38,3%); y peso corporal, 678 registros (9,6%). Estas proporciones reflejan el perfil de riesgo predominante de la muestra, con mayor representación de pacientes con HDP, consistente con la epidemiología reportada en la literatura para poblaciones latinoamericanas [2]. La Tabla 1 resume la distribución de registros por tipo de medición.</w:t>
      </w:r>
    </w:p>
    <w:p>
      <w:pPr/>
      <w:r>
        <w:rPr>
          <w:i/>
        </w:rPr>
        <w:t>Tabla 1. Distribución de registros por tipo de medición en la prueba piloto.</w:t>
      </w:r>
    </w:p>
    <w:tbl>
      <w:tblPr>
        <w:tblStyle w:val="Tablaconcuadrcula"/>
        <w:tblW w:type="auto" w:w="0"/>
        <w:tblLook w:firstColumn="1" w:firstRow="1" w:lastColumn="0" w:lastRow="0" w:noHBand="0" w:noVBand="1" w:val="04A0"/>
      </w:tblPr>
      <w:tblGrid>
        <w:gridCol w:w="2946"/>
        <w:gridCol w:w="2946"/>
        <w:gridCol w:w="2946"/>
      </w:tblGrid>
      <w:tr>
        <w:tc>
          <w:tcPr>
            <w:tcW w:type="dxa" w:w="2946"/>
          </w:tcPr>
          <w:p>
            <w:r>
              <w:t>Tipo de medición</w:t>
            </w:r>
          </w:p>
        </w:tc>
        <w:tc>
          <w:tcPr>
            <w:tcW w:type="dxa" w:w="2946"/>
          </w:tcPr>
          <w:p>
            <w:r>
              <w:t>Número de registros</w:t>
            </w:r>
          </w:p>
        </w:tc>
        <w:tc>
          <w:tcPr>
            <w:tcW w:type="dxa" w:w="2946"/>
          </w:tcPr>
          <w:p>
            <w:r>
              <w:t>Porcentaje (%)</w:t>
            </w:r>
          </w:p>
        </w:tc>
      </w:tr>
      <w:tr>
        <w:tc>
          <w:tcPr>
            <w:tcW w:type="dxa" w:w="2946"/>
          </w:tcPr>
          <w:p>
            <w:r>
              <w:t>Presión arterial</w:t>
            </w:r>
          </w:p>
        </w:tc>
        <w:tc>
          <w:tcPr>
            <w:tcW w:type="dxa" w:w="2946"/>
          </w:tcPr>
          <w:p>
            <w:r>
              <w:t>3.682</w:t>
            </w:r>
          </w:p>
        </w:tc>
        <w:tc>
          <w:tcPr>
            <w:tcW w:type="dxa" w:w="2946"/>
          </w:tcPr>
          <w:p>
            <w:r>
              <w:t>52,1</w:t>
            </w:r>
          </w:p>
        </w:tc>
      </w:tr>
      <w:tr>
        <w:tc>
          <w:tcPr>
            <w:tcW w:type="dxa" w:w="2946"/>
          </w:tcPr>
          <w:p>
            <w:r>
              <w:t>Glucosa en sangre</w:t>
            </w:r>
          </w:p>
        </w:tc>
        <w:tc>
          <w:tcPr>
            <w:tcW w:type="dxa" w:w="2946"/>
          </w:tcPr>
          <w:p>
            <w:r>
              <w:t>2.706</w:t>
            </w:r>
          </w:p>
        </w:tc>
        <w:tc>
          <w:tcPr>
            <w:tcW w:type="dxa" w:w="2946"/>
          </w:tcPr>
          <w:p>
            <w:r>
              <w:t>38,3</w:t>
            </w:r>
          </w:p>
        </w:tc>
      </w:tr>
      <w:tr>
        <w:tc>
          <w:tcPr>
            <w:tcW w:type="dxa" w:w="2946"/>
          </w:tcPr>
          <w:p>
            <w:r>
              <w:t>Peso corporal</w:t>
            </w:r>
          </w:p>
        </w:tc>
        <w:tc>
          <w:tcPr>
            <w:tcW w:type="dxa" w:w="2946"/>
          </w:tcPr>
          <w:p>
            <w:r>
              <w:t>678</w:t>
            </w:r>
          </w:p>
        </w:tc>
        <w:tc>
          <w:tcPr>
            <w:tcW w:type="dxa" w:w="2946"/>
          </w:tcPr>
          <w:p>
            <w:r>
              <w:t>9,6</w:t>
            </w:r>
          </w:p>
        </w:tc>
      </w:tr>
      <w:tr>
        <w:tc>
          <w:tcPr>
            <w:tcW w:type="dxa" w:w="2946"/>
          </w:tcPr>
          <w:p>
            <w:r>
              <w:t>Total</w:t>
            </w:r>
          </w:p>
        </w:tc>
        <w:tc>
          <w:tcPr>
            <w:tcW w:type="dxa" w:w="2946"/>
          </w:tcPr>
          <w:p>
            <w:r>
              <w:t>7.066</w:t>
            </w:r>
          </w:p>
        </w:tc>
        <w:tc>
          <w:tcPr>
            <w:tcW w:type="dxa" w:w="2946"/>
          </w:tcPr>
          <w:p>
            <w:r>
              <w:t>100,0</w:t>
            </w:r>
          </w:p>
        </w:tc>
      </w:tr>
    </w:tbl>
    <w:p/>
    <w:p>
      <w:pPr/>
      <w:r>
        <w:t>De los 63 pacientes incluidos, el 96,8% (n=61) generó registros de presión arterial, el 100% (n=63) registró mediciones de peso y el 49,2% (n=31) realizó mediciones de glucosa en sangre. La menor participación en glucometría está relacionada con la proporción de pacientes con diagnóstico de DMG en la muestra. El número promedio de mediciones por paciente fue de 112,2 ± 112,4 (mediana: 74; rango: 1–524), lo que evidencia una alta variabilidad en la frecuencia de monitoreo entre pacientes. Esta variabilidad es consistente con lo reportado en estudios de telemonitoreo domiciliario en poblaciones de alto riesgo, donde la adherencia es un factor crítico [8].</w:t>
      </w:r>
    </w:p>
    <w:p>
      <w:pPr/>
      <w:r>
        <w:t>La tasa de confirmación de los registros fue del 93,9% (6.632 registros confirmados de 7.066 totales). Los registros no confirmados (6,1%, n=434) corresponden principalmente a mediciones que no pudieron ser validadas por el sistema por inconsistencias en los identificadores de dispositivo o en las fechas de registro. Este nivel de calidad de datos es superior al reportado en estudios similares de telemonitoreo con dispositivos Bluetooth en entornos domiciliarios [6], [7].</w:t>
      </w:r>
    </w:p>
    <w:p>
      <w:pPr/>
      <w:r>
        <w:rPr>
          <w:i/>
        </w:rPr>
        <w:t>Tabla 2. Estadísticas descriptivas de las mediciones clínicas durante la prueba piloto.</w:t>
      </w:r>
    </w:p>
    <w:tbl>
      <w:tblPr>
        <w:tblStyle w:val="Tablaconcuadrcula"/>
        <w:tblW w:type="auto" w:w="0"/>
        <w:tblLook w:firstColumn="1" w:firstRow="1" w:lastColumn="0" w:lastRow="0" w:noHBand="0" w:noVBand="1" w:val="04A0"/>
      </w:tblPr>
      <w:tblGrid>
        <w:gridCol w:w="1768"/>
        <w:gridCol w:w="1768"/>
        <w:gridCol w:w="1768"/>
        <w:gridCol w:w="1768"/>
        <w:gridCol w:w="1768"/>
      </w:tblGrid>
      <w:tr>
        <w:tc>
          <w:tcPr>
            <w:tcW w:type="dxa" w:w="1768"/>
          </w:tcPr>
          <w:p>
            <w:r>
              <w:t>Variable</w:t>
            </w:r>
          </w:p>
        </w:tc>
        <w:tc>
          <w:tcPr>
            <w:tcW w:type="dxa" w:w="1768"/>
          </w:tcPr>
          <w:p>
            <w:r>
              <w:t>n</w:t>
            </w:r>
          </w:p>
        </w:tc>
        <w:tc>
          <w:tcPr>
            <w:tcW w:type="dxa" w:w="1768"/>
          </w:tcPr>
          <w:p>
            <w:r>
              <w:t>Media ± DE</w:t>
            </w:r>
          </w:p>
        </w:tc>
        <w:tc>
          <w:tcPr>
            <w:tcW w:type="dxa" w:w="1768"/>
          </w:tcPr>
          <w:p>
            <w:r>
              <w:t>Mínimo</w:t>
            </w:r>
          </w:p>
        </w:tc>
        <w:tc>
          <w:tcPr>
            <w:tcW w:type="dxa" w:w="1768"/>
          </w:tcPr>
          <w:p>
            <w:r>
              <w:t>Máximo</w:t>
            </w:r>
          </w:p>
        </w:tc>
      </w:tr>
      <w:tr>
        <w:tc>
          <w:tcPr>
            <w:tcW w:type="dxa" w:w="1768"/>
          </w:tcPr>
          <w:p>
            <w:r>
              <w:t>Presión sistólica (mmHg)</w:t>
            </w:r>
          </w:p>
        </w:tc>
        <w:tc>
          <w:tcPr>
            <w:tcW w:type="dxa" w:w="1768"/>
          </w:tcPr>
          <w:p>
            <w:r>
              <w:t>3.682</w:t>
            </w:r>
          </w:p>
        </w:tc>
        <w:tc>
          <w:tcPr>
            <w:tcW w:type="dxa" w:w="1768"/>
          </w:tcPr>
          <w:p>
            <w:r>
              <w:t>116,8 ± 15,1</w:t>
            </w:r>
          </w:p>
        </w:tc>
        <w:tc>
          <w:tcPr>
            <w:tcW w:type="dxa" w:w="1768"/>
          </w:tcPr>
          <w:p>
            <w:r>
              <w:t>61,0</w:t>
            </w:r>
          </w:p>
        </w:tc>
        <w:tc>
          <w:tcPr>
            <w:tcW w:type="dxa" w:w="1768"/>
          </w:tcPr>
          <w:p>
            <w:r>
              <w:t>199,0</w:t>
            </w:r>
          </w:p>
        </w:tc>
      </w:tr>
      <w:tr>
        <w:tc>
          <w:tcPr>
            <w:tcW w:type="dxa" w:w="1768"/>
          </w:tcPr>
          <w:p>
            <w:r>
              <w:t>Presión diastólica (mmHg)</w:t>
            </w:r>
          </w:p>
        </w:tc>
        <w:tc>
          <w:tcPr>
            <w:tcW w:type="dxa" w:w="1768"/>
          </w:tcPr>
          <w:p>
            <w:r>
              <w:t>3.682</w:t>
            </w:r>
          </w:p>
        </w:tc>
        <w:tc>
          <w:tcPr>
            <w:tcW w:type="dxa" w:w="1768"/>
          </w:tcPr>
          <w:p>
            <w:r>
              <w:t>77,0 ± 12,5</w:t>
            </w:r>
          </w:p>
        </w:tc>
        <w:tc>
          <w:tcPr>
            <w:tcW w:type="dxa" w:w="1768"/>
          </w:tcPr>
          <w:p>
            <w:r>
              <w:t>40,0</w:t>
            </w:r>
          </w:p>
        </w:tc>
        <w:tc>
          <w:tcPr>
            <w:tcW w:type="dxa" w:w="1768"/>
          </w:tcPr>
          <w:p>
            <w:r>
              <w:t>183,0</w:t>
            </w:r>
          </w:p>
        </w:tc>
      </w:tr>
      <w:tr>
        <w:tc>
          <w:tcPr>
            <w:tcW w:type="dxa" w:w="1768"/>
          </w:tcPr>
          <w:p>
            <w:r>
              <w:t>Frecuencia cardíaca (lpm)</w:t>
            </w:r>
          </w:p>
        </w:tc>
        <w:tc>
          <w:tcPr>
            <w:tcW w:type="dxa" w:w="1768"/>
          </w:tcPr>
          <w:p>
            <w:r>
              <w:t>3.587</w:t>
            </w:r>
          </w:p>
        </w:tc>
        <w:tc>
          <w:tcPr>
            <w:tcW w:type="dxa" w:w="1768"/>
          </w:tcPr>
          <w:p>
            <w:r>
              <w:t>86,6 ± 12,2</w:t>
            </w:r>
          </w:p>
        </w:tc>
        <w:tc>
          <w:tcPr>
            <w:tcW w:type="dxa" w:w="1768"/>
          </w:tcPr>
          <w:p>
            <w:r>
              <w:t>49,0</w:t>
            </w:r>
          </w:p>
        </w:tc>
        <w:tc>
          <w:tcPr>
            <w:tcW w:type="dxa" w:w="1768"/>
          </w:tcPr>
          <w:p>
            <w:r>
              <w:t>147,0</w:t>
            </w:r>
          </w:p>
        </w:tc>
      </w:tr>
      <w:tr>
        <w:tc>
          <w:tcPr>
            <w:tcW w:type="dxa" w:w="1768"/>
          </w:tcPr>
          <w:p>
            <w:r>
              <w:t>Glucosa en sangre (mg/dL)</w:t>
            </w:r>
          </w:p>
        </w:tc>
        <w:tc>
          <w:tcPr>
            <w:tcW w:type="dxa" w:w="1768"/>
          </w:tcPr>
          <w:p>
            <w:r>
              <w:t>2.706</w:t>
            </w:r>
          </w:p>
        </w:tc>
        <w:tc>
          <w:tcPr>
            <w:tcW w:type="dxa" w:w="1768"/>
          </w:tcPr>
          <w:p>
            <w:r>
              <w:t>108,0 ± 23,9</w:t>
            </w:r>
          </w:p>
        </w:tc>
        <w:tc>
          <w:tcPr>
            <w:tcW w:type="dxa" w:w="1768"/>
          </w:tcPr>
          <w:p>
            <w:r>
              <w:t>62,0</w:t>
            </w:r>
          </w:p>
        </w:tc>
        <w:tc>
          <w:tcPr>
            <w:tcW w:type="dxa" w:w="1768"/>
          </w:tcPr>
          <w:p>
            <w:r>
              <w:t>271,0</w:t>
            </w:r>
          </w:p>
        </w:tc>
      </w:tr>
      <w:tr>
        <w:tc>
          <w:tcPr>
            <w:tcW w:type="dxa" w:w="1768"/>
          </w:tcPr>
          <w:p>
            <w:r>
              <w:t>Peso corporal (kg)</w:t>
            </w:r>
          </w:p>
        </w:tc>
        <w:tc>
          <w:tcPr>
            <w:tcW w:type="dxa" w:w="1768"/>
          </w:tcPr>
          <w:p>
            <w:r>
              <w:t>678</w:t>
            </w:r>
          </w:p>
        </w:tc>
        <w:tc>
          <w:tcPr>
            <w:tcW w:type="dxa" w:w="1768"/>
          </w:tcPr>
          <w:p>
            <w:r>
              <w:t>79,8 ± 15,0</w:t>
            </w:r>
          </w:p>
        </w:tc>
        <w:tc>
          <w:tcPr>
            <w:tcW w:type="dxa" w:w="1768"/>
          </w:tcPr>
          <w:p>
            <w:r>
              <w:t>2,9</w:t>
            </w:r>
          </w:p>
        </w:tc>
        <w:tc>
          <w:tcPr>
            <w:tcW w:type="dxa" w:w="1768"/>
          </w:tcPr>
          <w:p>
            <w:r>
              <w:t>119,0</w:t>
            </w:r>
          </w:p>
        </w:tc>
      </w:tr>
    </w:tbl>
    <w:p/>
    <w:p>
      <w:pPr/>
      <w:r>
        <w:t>La Tabla 2 presenta las estadísticas descriptivas de las mediciones clínicas. Los valores de presión sistólica (116,8 ± 15,1 mmHg) y diastólica (77,0 ± 12,5 mmHg) se encuentran dentro del rango clínico esperado para gestantes de alto riesgo bajo seguimiento médico, aunque los valores máximos registrados (199/183 mmHg) evidencian la presencia de episodios hipertensivos severos, confirmando la pertinencia del monitoreo continuo en esta población [2]. Los niveles de glucosa promedio (108,0 ± 23,9 mg/dL) son consistentes con la DMG controlada, con valores máximos de 271 mg/dL que requirieron alerta clínica [3]. La Figura 7 muestra la distribución de registros por tipo de medición y la Figura 8 ilustra el comportamiento temporal de las mediciones durante el periodo de seguimiento.</w:t>
      </w:r>
    </w:p>
    <w:p>
      <w:pPr/>
      <w:r>
        <w:rPr>
          <w:i/>
        </w:rPr>
        <w:t>Figura 7. Distribución de registros por tipo de medición durante la prueba piloto.</w:t>
      </w:r>
    </w:p>
    <w:p>
      <w:pPr/>
      <w:r>
        <w:rPr>
          <w:i/>
        </w:rPr>
        <w:t>Figura 8. Porcentaje de mediciones por tipo de variable clínica.</w:t>
      </w:r>
    </w:p>
    <w:p>
      <w:pPr/>
      <w:r>
        <w:rPr>
          <w:b/>
        </w:rPr>
        <w:t>Evaluación del rendimiento técnico del sistema</w:t>
      </w:r>
    </w:p>
    <w:p>
      <w:pPr/>
      <w:r>
        <w:t>Para evaluar la calidad técnica del intercambio de datos, se midió la duración del intercambio de datos (Tex), definida como la diferencia temporal entre el momento en que el dato es emitido por un componente del sistema y el momento en que es recibido por el componente siguiente [Ecuación (1)].</w:t>
      </w:r>
    </w:p>
    <w:p>
      <w:pPr/>
      <w:r>
        <w:t>Tex = Trec − Tem    (1)</w:t>
      </w:r>
    </w:p>
    <w:p>
      <w:pPr/>
      <w:r>
        <w:t>Donde Trec es el timestamp de recepción en un componente del sistema y Tem es el timestamp de emisión por el componente anterior. Se midieron dos intervalos: entre el PHG y el ESB (Tex(PHG-Mirth)) y entre el ESB y la base de datos (Tex(Mirth-BD)).</w:t>
      </w:r>
    </w:p>
    <w:p>
      <w:pPr/>
      <w:r>
        <w:rPr>
          <w:i/>
        </w:rPr>
        <w:t>Tabla 3. Estadísticas del tiempo de intercambio entre el PHG y el ESB.</w:t>
      </w:r>
    </w:p>
    <w:tbl>
      <w:tblPr>
        <w:tblStyle w:val="Tablaconcuadrcula"/>
        <w:tblW w:type="auto" w:w="0"/>
        <w:tblLook w:firstColumn="1" w:firstRow="1" w:lastColumn="0" w:lastRow="0" w:noHBand="0" w:noVBand="1" w:val="04A0"/>
      </w:tblPr>
      <w:tblGrid>
        <w:gridCol w:w="2209"/>
        <w:gridCol w:w="2209"/>
        <w:gridCol w:w="2209"/>
        <w:gridCol w:w="2209"/>
      </w:tblGrid>
      <w:tr>
        <w:tc>
          <w:tcPr>
            <w:tcW w:type="dxa" w:w="2209"/>
          </w:tcPr>
          <w:p>
            <w:r>
              <w:t>Métrica</w:t>
            </w:r>
          </w:p>
        </w:tc>
        <w:tc>
          <w:tcPr>
            <w:tcW w:type="dxa" w:w="2209"/>
          </w:tcPr>
          <w:p>
            <w:r>
              <w:t>Mínimo</w:t>
            </w:r>
          </w:p>
        </w:tc>
        <w:tc>
          <w:tcPr>
            <w:tcW w:type="dxa" w:w="2209"/>
          </w:tcPr>
          <w:p>
            <w:r>
              <w:t>Máximo</w:t>
            </w:r>
          </w:p>
        </w:tc>
        <w:tc>
          <w:tcPr>
            <w:tcW w:type="dxa" w:w="2209"/>
          </w:tcPr>
          <w:p>
            <w:r>
              <w:t>Mediana</w:t>
            </w:r>
          </w:p>
        </w:tc>
      </w:tr>
      <w:tr>
        <w:tc>
          <w:tcPr>
            <w:tcW w:type="dxa" w:w="2209"/>
          </w:tcPr>
          <w:p>
            <w:r>
              <w:t>Tex(PHG-Mirth)</w:t>
            </w:r>
          </w:p>
        </w:tc>
        <w:tc>
          <w:tcPr>
            <w:tcW w:type="dxa" w:w="2209"/>
          </w:tcPr>
          <w:p>
            <w:r>
              <w:t>&lt; 1 s</w:t>
            </w:r>
          </w:p>
        </w:tc>
        <w:tc>
          <w:tcPr>
            <w:tcW w:type="dxa" w:w="2209"/>
          </w:tcPr>
          <w:p>
            <w:r>
              <w:t>&gt; 24 h</w:t>
            </w:r>
          </w:p>
        </w:tc>
        <w:tc>
          <w:tcPr>
            <w:tcW w:type="dxa" w:w="2209"/>
          </w:tcPr>
          <w:p>
            <w:r>
              <w:t>&lt; 1 min</w:t>
            </w:r>
          </w:p>
        </w:tc>
      </w:tr>
      <w:tr>
        <w:tc>
          <w:tcPr>
            <w:tcW w:type="dxa" w:w="2209"/>
          </w:tcPr>
          <w:p>
            <w:r>
              <w:t>Registros &lt; 1 min</w:t>
            </w:r>
          </w:p>
        </w:tc>
        <w:tc>
          <w:tcPr>
            <w:tcW w:type="dxa" w:w="2209"/>
          </w:tcPr>
          <w:p>
            <w:r>
              <w:t>~78% de los registros</w:t>
            </w:r>
          </w:p>
        </w:tc>
        <w:tc>
          <w:tcPr>
            <w:tcW w:type="dxa" w:w="2209"/>
          </w:tcPr>
          <w:p>
            <w:r/>
          </w:p>
        </w:tc>
        <w:tc>
          <w:tcPr>
            <w:tcW w:type="dxa" w:w="2209"/>
          </w:tcPr>
          <w:p>
            <w:r/>
          </w:p>
        </w:tc>
      </w:tr>
      <w:tr>
        <w:tc>
          <w:tcPr>
            <w:tcW w:type="dxa" w:w="2209"/>
          </w:tcPr>
          <w:p>
            <w:r>
              <w:t>Registros &gt; 24 h</w:t>
            </w:r>
          </w:p>
        </w:tc>
        <w:tc>
          <w:tcPr>
            <w:tcW w:type="dxa" w:w="2209"/>
          </w:tcPr>
          <w:p>
            <w:r>
              <w:t>~6% de los registros</w:t>
            </w:r>
          </w:p>
        </w:tc>
        <w:tc>
          <w:tcPr>
            <w:tcW w:type="dxa" w:w="2209"/>
          </w:tcPr>
          <w:p>
            <w:r/>
          </w:p>
        </w:tc>
        <w:tc>
          <w:tcPr>
            <w:tcW w:type="dxa" w:w="2209"/>
          </w:tcPr>
          <w:p>
            <w:r/>
          </w:p>
        </w:tc>
      </w:tr>
      <w:tr>
        <w:tc>
          <w:tcPr>
            <w:tcW w:type="dxa" w:w="2209"/>
          </w:tcPr>
          <w:p>
            <w:r>
              <w:t>Causa principal de Tex &gt; 24 h</w:t>
            </w:r>
          </w:p>
        </w:tc>
        <w:tc>
          <w:tcPr>
            <w:tcW w:type="dxa" w:w="2209"/>
          </w:tcPr>
          <w:p>
            <w:r>
              <w:t>Almacenamiento en buffer del glucómetro</w:t>
            </w:r>
          </w:p>
        </w:tc>
        <w:tc>
          <w:tcPr>
            <w:tcW w:type="dxa" w:w="2209"/>
          </w:tcPr>
          <w:p>
            <w:r/>
          </w:p>
        </w:tc>
        <w:tc>
          <w:tcPr>
            <w:tcW w:type="dxa" w:w="2209"/>
          </w:tcPr>
          <w:p>
            <w:r/>
          </w:p>
        </w:tc>
      </w:tr>
    </w:tbl>
    <w:p/>
    <w:p>
      <w:pPr/>
      <w:r>
        <w:t>Se observó una distribución bimodal en los tiempos de intercambio: la mayoría de los registros (~78%) presentaron un Tex inferior a 1 minuto, lo que garantiza la disponibilidad casi en tiempo real de los datos clínicos para el equipo médico. Un subconjunto de registros (~6%) presentó tiempos superiores a 24 horas, correspondiendo principalmente a mediciones del glucómetro (Tabla 3). Este comportamiento se explica por la memoria interna del glucómetro Accu-Chek®, que puede almacenar hasta 720 mediciones sin conexión Bluetooth activa, transfiriéndolas masivamente cuando el dispositivo se empareja con el PHG. Este fenómeno, aunque previsible, debe ser considerado en el diseño de alertas clínicas para evitar notificaciones tardías [7].</w:t>
      </w:r>
    </w:p>
    <w:p>
      <w:pPr/>
      <w:r>
        <w:rPr>
          <w:b/>
        </w:rPr>
        <w:t>Validación funcional de la plataforma web</w:t>
      </w:r>
    </w:p>
    <w:p>
      <w:pPr/>
      <w:r>
        <w:t>La validación funcional de la plataforma web HADA fue realizada por la empresa Qualitas Test Team SAS entre octubre de 2022 y enero de 2023, aplicando una metodología de tres ciclos de pruebas sobre 32 módulos funcionales de la aplicación, correspondientes a tres perfiles de usuario: médico, enfermera y paciente [19].</w:t>
      </w:r>
    </w:p>
    <w:p>
      <w:pPr/>
      <w:r>
        <w:t>En el ciclo 1 se diseñaron y ejecutaron un total de 768 casos de prueba: 325 para el perfil médico, 93 nuevos y 323 reutilizados para el perfil enfermera (total: 416), y 55 para el perfil paciente. Se identificaron 92 bugs: 56 en el perfil médico, 19 en enfermería y 16 en el perfil paciente. Tras la corrección por el equipo de desarrollo, el proceso de retest permitió resolver la totalidad de las incidencias reportadas (49 de 56 en médico y 7 remanentes en segunda revisión; 17 de 19 en enfermería y 2 en segunda revisión; 16 de 16 en paciente).</w:t>
      </w:r>
    </w:p>
    <w:p>
      <w:pPr/>
      <w:r>
        <w:rPr>
          <w:i/>
        </w:rPr>
        <w:t>Tabla 4. Resumen de la ejecución de pruebas funcionales por perfil de usuario.</w:t>
      </w:r>
    </w:p>
    <w:tbl>
      <w:tblPr>
        <w:tblStyle w:val="Tablaconcuadrcula"/>
        <w:tblW w:type="auto" w:w="0"/>
        <w:tblLook w:firstColumn="1" w:firstRow="1" w:lastColumn="0" w:lastRow="0" w:noHBand="0" w:noVBand="1" w:val="04A0"/>
      </w:tblPr>
      <w:tblGrid>
        <w:gridCol w:w="1768"/>
        <w:gridCol w:w="1768"/>
        <w:gridCol w:w="1768"/>
        <w:gridCol w:w="1768"/>
        <w:gridCol w:w="1768"/>
      </w:tblGrid>
      <w:tr>
        <w:tc>
          <w:tcPr>
            <w:tcW w:type="dxa" w:w="1768"/>
          </w:tcPr>
          <w:p>
            <w:r>
              <w:t>Perfil</w:t>
            </w:r>
          </w:p>
        </w:tc>
        <w:tc>
          <w:tcPr>
            <w:tcW w:type="dxa" w:w="1768"/>
          </w:tcPr>
          <w:p>
            <w:r>
              <w:t>Casos diseñados</w:t>
            </w:r>
          </w:p>
        </w:tc>
        <w:tc>
          <w:tcPr>
            <w:tcW w:type="dxa" w:w="1768"/>
          </w:tcPr>
          <w:p>
            <w:r>
              <w:t>Casos ejecutados</w:t>
            </w:r>
          </w:p>
        </w:tc>
        <w:tc>
          <w:tcPr>
            <w:tcW w:type="dxa" w:w="1768"/>
          </w:tcPr>
          <w:p>
            <w:r>
              <w:t>Casos aprobados</w:t>
            </w:r>
          </w:p>
        </w:tc>
        <w:tc>
          <w:tcPr>
            <w:tcW w:type="dxa" w:w="1768"/>
          </w:tcPr>
          <w:p>
            <w:r>
              <w:t>Bugs reportados</w:t>
            </w:r>
          </w:p>
        </w:tc>
      </w:tr>
      <w:tr>
        <w:tc>
          <w:tcPr>
            <w:tcW w:type="dxa" w:w="1768"/>
          </w:tcPr>
          <w:p>
            <w:r>
              <w:t>Médico</w:t>
            </w:r>
          </w:p>
        </w:tc>
        <w:tc>
          <w:tcPr>
            <w:tcW w:type="dxa" w:w="1768"/>
          </w:tcPr>
          <w:p>
            <w:r>
              <w:t>325</w:t>
            </w:r>
          </w:p>
        </w:tc>
        <w:tc>
          <w:tcPr>
            <w:tcW w:type="dxa" w:w="1768"/>
          </w:tcPr>
          <w:p>
            <w:r>
              <w:t>311</w:t>
            </w:r>
          </w:p>
        </w:tc>
        <w:tc>
          <w:tcPr>
            <w:tcW w:type="dxa" w:w="1768"/>
          </w:tcPr>
          <w:p>
            <w:r>
              <w:t>255 (82,0%)</w:t>
            </w:r>
          </w:p>
        </w:tc>
        <w:tc>
          <w:tcPr>
            <w:tcW w:type="dxa" w:w="1768"/>
          </w:tcPr>
          <w:p>
            <w:r>
              <w:t>56</w:t>
            </w:r>
          </w:p>
        </w:tc>
      </w:tr>
      <w:tr>
        <w:tc>
          <w:tcPr>
            <w:tcW w:type="dxa" w:w="1768"/>
          </w:tcPr>
          <w:p>
            <w:r>
              <w:t>Enfermera</w:t>
            </w:r>
          </w:p>
        </w:tc>
        <w:tc>
          <w:tcPr>
            <w:tcW w:type="dxa" w:w="1768"/>
          </w:tcPr>
          <w:p>
            <w:r>
              <w:t>416</w:t>
            </w:r>
          </w:p>
        </w:tc>
        <w:tc>
          <w:tcPr>
            <w:tcW w:type="dxa" w:w="1768"/>
          </w:tcPr>
          <w:p>
            <w:r>
              <w:t>402</w:t>
            </w:r>
          </w:p>
        </w:tc>
        <w:tc>
          <w:tcPr>
            <w:tcW w:type="dxa" w:w="1768"/>
          </w:tcPr>
          <w:p>
            <w:r>
              <w:t>383 (95,3%)</w:t>
            </w:r>
          </w:p>
        </w:tc>
        <w:tc>
          <w:tcPr>
            <w:tcW w:type="dxa" w:w="1768"/>
          </w:tcPr>
          <w:p>
            <w:r>
              <w:t>19</w:t>
            </w:r>
          </w:p>
        </w:tc>
      </w:tr>
      <w:tr>
        <w:tc>
          <w:tcPr>
            <w:tcW w:type="dxa" w:w="1768"/>
          </w:tcPr>
          <w:p>
            <w:r>
              <w:t>Paciente</w:t>
            </w:r>
          </w:p>
        </w:tc>
        <w:tc>
          <w:tcPr>
            <w:tcW w:type="dxa" w:w="1768"/>
          </w:tcPr>
          <w:p>
            <w:r>
              <w:t>55</w:t>
            </w:r>
          </w:p>
        </w:tc>
        <w:tc>
          <w:tcPr>
            <w:tcW w:type="dxa" w:w="1768"/>
          </w:tcPr>
          <w:p>
            <w:r>
              <w:t>55</w:t>
            </w:r>
          </w:p>
        </w:tc>
        <w:tc>
          <w:tcPr>
            <w:tcW w:type="dxa" w:w="1768"/>
          </w:tcPr>
          <w:p>
            <w:r>
              <w:t>41 (74,5%)</w:t>
            </w:r>
          </w:p>
        </w:tc>
        <w:tc>
          <w:tcPr>
            <w:tcW w:type="dxa" w:w="1768"/>
          </w:tcPr>
          <w:p>
            <w:r>
              <w:t>16 (incluyendo 2 bloqueantes)</w:t>
            </w:r>
          </w:p>
        </w:tc>
      </w:tr>
      <w:tr>
        <w:tc>
          <w:tcPr>
            <w:tcW w:type="dxa" w:w="1768"/>
          </w:tcPr>
          <w:p>
            <w:r>
              <w:t>Total</w:t>
            </w:r>
          </w:p>
        </w:tc>
        <w:tc>
          <w:tcPr>
            <w:tcW w:type="dxa" w:w="1768"/>
          </w:tcPr>
          <w:p>
            <w:r>
              <w:t>796</w:t>
            </w:r>
          </w:p>
        </w:tc>
        <w:tc>
          <w:tcPr>
            <w:tcW w:type="dxa" w:w="1768"/>
          </w:tcPr>
          <w:p>
            <w:r>
              <w:t>768</w:t>
            </w:r>
          </w:p>
        </w:tc>
        <w:tc>
          <w:tcPr>
            <w:tcW w:type="dxa" w:w="1768"/>
          </w:tcPr>
          <w:p>
            <w:r>
              <w:t>679 (88,4%)</w:t>
            </w:r>
          </w:p>
        </w:tc>
        <w:tc>
          <w:tcPr>
            <w:tcW w:type="dxa" w:w="1768"/>
          </w:tcPr>
          <w:p>
            <w:r>
              <w:t>91</w:t>
            </w:r>
          </w:p>
        </w:tc>
      </w:tr>
    </w:tbl>
    <w:p/>
    <w:p>
      <w:pPr/>
      <w:r>
        <w:t>En el ciclo 3 (regresión), se ejecutaron 450 casos de prueba exploratorios sobre los 32 módulos funcionales, identificando 12 hallazgos adicionales, todos de severidad media o baja. En total, se ejecutaron 1.322 casos de prueba a lo largo de los tres ciclos, con 104 hallazgos identificados y resueltos en su totalidad. El informe de calidad destacó que la mayoría de los bugs reportados fueron de severidad media y baja, y que la aplicación ofrece una experiencia de usuario satisfactoria con módulos fácilmente comprensibles y operables [19].</w:t>
      </w:r>
    </w:p>
    <w:p>
      <w:pPr/>
      <w:r>
        <w:t>Las funcionalidades de dispositivos, historial de mediciones y dashboard presentaron el mayor número de incidencias, relacionadas principalmente con configuración de filtros, listado de registros y visualización de variables. Como solución de desarrollo, algunas funcionalidades de bajo impacto que generaban errores fueron retiradas de la versión evaluada. La Figura 9 muestra la distribución de bugs por módulo funcional.</w:t>
      </w:r>
    </w:p>
    <w:p>
      <w:pPr/>
      <w:r>
        <w:rPr>
          <w:i/>
        </w:rPr>
        <w:t>Figura 9. Distribución de hallazgos (bugs) por módulo funcional en los ciclos de prueba.</w:t>
      </w:r>
    </w:p>
    <w:p>
      <w:pPr/>
      <w:r>
        <w:rPr>
          <w:b/>
        </w:rPr>
        <w:t>Discusión</w:t>
      </w:r>
    </w:p>
    <w:p>
      <w:pPr/>
      <w:r>
        <w:t>Los resultados de este trabajo demuestran la viabilidad técnica y clínica de un sistema de telemonitoreo domiciliario interoperable para gestantes de alto riesgo en el contexto latinoamericano. La arquitectura propuesta aborda de manera integral los desafíos de interoperabilidad identificados en la literatura, mediante la adopción de estándares abiertos ampliamente reconocidos (IEEE 11073, HL7 FHIR, OAuth 2.0) y el uso de un ESB como componente central de integración [9], [10], [22].</w:t>
      </w:r>
    </w:p>
    <w:p>
      <w:pPr/>
      <w:r>
        <w:t>La tasa de confirmación del 93,9% de los registros clínicos supera los valores reportados en estudios comparables de telemonitoreo obstétrico con dispositivos Bluetooth domiciliarios, que oscilan entre el 75% y el 90% [6], [8]. Este resultado evidencia la efectividad del pipeline de validación implementado en el ESB para filtrar registros inválidos o duplicados, garantizando la calidad e integridad de los datos clínicos. La alta variabilidad en el número de mediciones por paciente (1–524) refleja las diferencias en adherencia al monitoreo, un reto bien documentado en intervenciones de telesalud [5], [14].</w:t>
      </w:r>
    </w:p>
    <w:p>
      <w:pPr/>
      <w:r>
        <w:t>El comportamiento del tiempo de intercambio de datos es congruente con la literatura sobre sistemas de telemonitoreo con dispositivos de almacenamiento local. El fenómeno de transmisión masiva diferida, observado principalmente en el glucómetro, es una característica inherente a los dispositivos con memoria interna y ha sido reportado en sistemas similares [7]. La solución implementada —almacenamiento local con sincronización automática al recuperar la conectividad— es efectiva para contextos domiciliarios con intermitencias de red, aunque requiere el desarrollo de lógicas de alerta clínica que consideren el posible retraso en la disponibilidad de los datos.</w:t>
      </w:r>
    </w:p>
    <w:p>
      <w:pPr/>
      <w:r>
        <w:t>La validación funcional con tres ciclos de prueba y la resolución del 100% de los hallazgos reportados evidencia la madurez técnica de la plataforma HADA para su despliegue en entornos clínicos reales. La comparación con sistemas de telemedicina obstétrica similares en la región latinoamericana —principalmente basados en aplicaciones móviles con integración limitada de dispositivos biomédicos— posiciona a HADA como una solución innovadora por su nivel de estandarización y trazabilidad de datos [15], [16].</w:t>
      </w:r>
    </w:p>
    <w:p>
      <w:pPr/>
      <w:r>
        <w:t>Entre las limitaciones del presente estudio se destacan: (i) la dependencia de conectividad a internet doméstica, que puede ser un factor limitante en zonas rurales apartadas; (ii) la alta variabilidad en la adherencia al monitoreo, que requiere estrategias adicionales de motivación y acompañamiento; y (iii) el uso de dispositivos biomédicos Bluetooth cuya disponibilidad en el mercado puede cambiar, lo que exige mecanismos de actualización de la arquitectura. Adicionalmente, la prueba piloto se realizó en un único centro hospitalario, por lo que la generalización de los resultados a otros contextos clínicos requiere estudios multicéntricos.</w:t>
      </w:r>
    </w:p>
    <w:p/>
    <w:p>
      <w:pPr/>
      <w:r>
        <w:rPr>
          <w:b/>
        </w:rPr>
        <w:t>CONCLUSIONES</w:t>
      </w:r>
    </w:p>
    <w:p>
      <w:pPr/>
      <w:r>
        <w:t>Se presentó el diseño, implementación y evaluación de HADA, un sistema de telemonitoreo domiciliario interoperable para embarazos de alto riesgo, basado en estándares abiertos de comunicación biomédica. La arquitectura en capas con ESB central permitió integrar dispositivos biomédicos heterogéneos (tensiómetro, báscula y glucómetro) con un sistema de información clínica, garantizando interoperabilidad técnica, sintáctica y semántica conforme a las guías Continua de PCHA.</w:t>
      </w:r>
    </w:p>
    <w:p>
      <w:pPr/>
      <w:r>
        <w:t>La prueba piloto con 63 pacientes durante 13 meses generó 7.066 registros clínicos con una tasa de confirmación del 93,9%, evidenciando la calidad del sistema de validación de datos. Los valores clínicos registrados son consistentes con el perfil de riesgo de la población estudiada y permiten el seguimiento oportuno de eventos clínicos relevantes como hipertensión severa y episodios hiperglucémicos.</w:t>
      </w:r>
    </w:p>
    <w:p>
      <w:pPr/>
      <w:r>
        <w:t>La validación funcional con 1.322 casos de prueba demostró la madurez técnica de la plataforma HADA, con resolución del 100% de los hallazgos identificados. La solución propuesta es escalable, modular y adaptable a otros contextos clínicos, representando un aporte significativo al desarrollo de infraestructuras de telesalud basadas en estándares abiertos para poblaciones vulnerables en países de ingresos medios.</w:t>
      </w:r>
    </w:p>
    <w:p>
      <w:pPr/>
      <w:r>
        <w:t>Como trabajo futuro, se propone: (i) la integración de módulos de inteligencia artificial para la detección temprana del riesgo obstétrico basada en series temporales de mediciones; (ii) la extensión del sistema a otros tipos de sensores biomédicos (saturómetro, cardiotocógrafo domiciliario); (iii) la realización de un estudio clínico controlado para evaluar el impacto del telemonitoreo en los desenlaces materno-perinatales; y (iv) la evaluación de la experiencia de usuario y aceptabilidad del sistema por parte del personal clínico y las pacientes.</w:t>
      </w:r>
    </w:p>
    <w:p/>
    <w:p>
      <w:pPr/>
      <w:r>
        <w:rPr>
          <w:b/>
        </w:rPr>
        <w:t>Declaración ética</w:t>
      </w:r>
    </w:p>
    <w:p>
      <w:pPr/>
      <w:r>
        <w:t>El estudio fue aprobado por el Comité de Ética en Investigación de la Clínica Universitaria Bolivariana (Medellín, Colombia). Todas las participantes firmaron un consentimiento informado previo a su inclusión en la prueba piloto. El manejo de los datos clínicos se realizó conforme a la Ley 1581 de 2012 de protección de datos personales de Colombia, la Resolución 8430 de 1993 del Ministerio de Salud y la Declaración de Helsinki.</w:t>
      </w:r>
    </w:p>
    <w:p/>
    <w:p>
      <w:pPr/>
      <w:r>
        <w:rPr>
          <w:b/>
        </w:rPr>
        <w:t>Agradecimientos</w:t>
      </w:r>
    </w:p>
    <w:p>
      <w:pPr/>
      <w:r>
        <w:t>Los autores agradecen al Ministerio de Ciencia, Tecnología e Innovación (MINCIENCIAS) de Colombia por financiar este estudio mediante la convocatoria 814 de 2018, subvención n.º 121084467634. Los fundadores no participaron en el diseño del estudio, en la recolección, análisis e interpretación de los datos, ni en la redacción del manuscrito. Los autores agradecen también a la Clínica Universitaria Bolivariana por facilitar el acceso a la información clínica y el reclutamiento de pacientes, y a Qualitas Test Team SAS por la ejecución del proceso de aseguramiento de calidad de la plataforma.</w:t>
      </w:r>
    </w:p>
    <w:p/>
    <w:p>
      <w:pPr/>
      <w:r>
        <w:rPr>
          <w:b/>
        </w:rPr>
        <w:t>Declaración de conflicto de intereses</w:t>
      </w:r>
    </w:p>
    <w:p>
      <w:pPr/>
      <w:r>
        <w:t>Los autores declaran que no tienen conflictos de intereses que declarar en relación con el contenido de este artículo.</w:t>
      </w:r>
    </w:p>
    <w:p/>
    <w:p>
      <w:pPr/>
      <w:r>
        <w:rPr>
          <w:b/>
        </w:rPr>
        <w:t>REFERENCIAS</w:t>
      </w:r>
    </w:p>
    <w:p>
      <w:pPr/>
      <w:r>
        <w:t>[1] C. Combi, G. Pozzani, and G. Pozzi, "Telemedicine for developing countries: A survey and some design issues," Applied Clinical Informatics, vol. 7, no. 4, pp. 1025–1050, 2016, doi: 10.4338/ACI-2016-06-R-0089.</w:t>
      </w:r>
    </w:p>
    <w:p>
      <w:pPr/>
      <w:r>
        <w:t>[2] M. Umesawa and G. Kobashi, "Epidemiology of hypertensive disorders in pregnancy: Prevalence, risk factors, predictors and prognosis," Hypertension Research, vol. 40, no. 3, pp. 213–220, 2017, doi: 10.1038/hr.2016.126.</w:t>
      </w:r>
    </w:p>
    <w:p>
      <w:pPr/>
      <w:r>
        <w:t>[3] L. R. Mack and P. G. Tomich, "Gestational diabetes: Diagnosis, classification, and clinical care," Obstetrics and Gynecology Clinics of North America, vol. 44, no. 2, pp. 207–217, 2017, doi: 10.1016/j.ogc.2017.02.002.</w:t>
      </w:r>
    </w:p>
    <w:p>
      <w:pPr/>
      <w:r>
        <w:t>[4] World Health Organization, WHO global strategy on integrated people-centred health services 2016–2026: Executive summary. Geneva: WHO, 2015.</w:t>
      </w:r>
    </w:p>
    <w:p>
      <w:pPr/>
      <w:r>
        <w:t>[5] M. Aquino, S. Munce, J. Griffith, M. Pakosh, M. Munnery, and E. Seto, "Exploring the use of telemonitoring for patients at high risk for hypertensive disorders of pregnancy in the antepartum and postpartum periods: Scoping review," JMIR mHealth and uHealth, vol. 7, no. 1, e11495, 2019, doi: 10.2196/11495.</w:t>
      </w:r>
    </w:p>
    <w:p>
      <w:pPr/>
      <w:r>
        <w:t>[6] J. F. M. Van Den Heuvel et al., "eHealth as the next-generation perinatal care: An overview of the literature," Journal of Medical Internet Research, vol. 20, no. 6, e9262, 2018, doi: 10.2196/jmir.9262.</w:t>
      </w:r>
    </w:p>
    <w:p>
      <w:pPr/>
      <w:r>
        <w:t>[7] E. Kalafat, C. Benlioglu, B. Thilaganathan, and A. Khalil, "Home blood pressure monitoring in the antenatal and postpartum period: A systematic review meta-analysis," Pregnancy Hypertension, vol. 19, pp. 44–51, 2020, doi: 10.1016/j.preghy.2019.11.006.</w:t>
      </w:r>
    </w:p>
    <w:p>
      <w:pPr/>
      <w:r>
        <w:t>[8] S. S. Tikmani et al., "Trends and determinants of maternal mortality in rural Pakistan," Annals of Global Health, vol. 85, no. 1, pp. 1–10, 2019, doi: 10.5334/aogh.2449.</w:t>
      </w:r>
    </w:p>
    <w:p>
      <w:pPr/>
      <w:r>
        <w:t>[9] H. F. Mandirola Brieux et al., "Challenges and hurdles of eHealth interoperability," in Studies in Health Technology and Informatics, Amsterdam: IOS Press, 2015, pp. 434–438, doi: 10.3233/978-1-61499-564-7-434.</w:t>
      </w:r>
    </w:p>
    <w:p>
      <w:pPr/>
      <w:r>
        <w:t>[10] T. Tsegaye and S. Flowerday, "A system architecture for ensuring interoperability in a South African national electronic health record system," South African Computer Journal, vol. 33, no. 1, pp. 79–110, 2021, doi: 10.17159/2520-3037/2021/v33i1a8.</w:t>
      </w:r>
    </w:p>
    <w:p>
      <w:pPr/>
      <w:r>
        <w:t>[11] H. Van Der Veer and A. Wiles, Achieving Technical Interoperability: The ETSI Approach, ETSI White Paper no. 3. Sophia-Antipolis: ETSI, 2008.</w:t>
      </w:r>
    </w:p>
    <w:p>
      <w:pPr/>
      <w:r>
        <w:t>[12] Personal Connected Health Alliance (PCHA), Continua Design Guidelines. Washington, D.C.: PCHA, 2019. [Online]. Available: https://www.pchalliance.org/continua-design-guidelines</w:t>
      </w:r>
    </w:p>
    <w:p>
      <w:pPr/>
      <w:r>
        <w:t>[13] ISO/IEEE, ISO/IEEE 11073-00103:2015(en) Health informatics — Personal health device communication — Part 00103: Overview. Geneva: ISO, 2015.</w:t>
      </w:r>
    </w:p>
    <w:p>
      <w:pPr/>
      <w:r>
        <w:t>[14] P. Raman, E. Shepherd, T. Dowswell, P. Middleton, and C. A. Crowther, "Different methods and settings for glucose monitoring for gestational diabetes during pregnancy," Cochrane Database of Systematic Reviews, 2017, doi: 10.1002/14651858.CD011069.pub2.</w:t>
      </w:r>
    </w:p>
    <w:p>
      <w:pPr/>
      <w:r>
        <w:t>[15] L. I. Felipe et al., "Desarrollo de un CDSS para un modelo de prestación de servicios en telemedicina mediante detección del riesgo obstétrico," in Proc. Iberoamerican Congress on Patient Safety, 2021.</w:t>
      </w:r>
    </w:p>
    <w:p>
      <w:pPr/>
      <w:r>
        <w:t>[16] H. Andrade-Caicedo et al., "HADA: Health assistant for data analysis in high-risk obstetric telemedicine," in Proc. IEEE EMBC, 2022, doi: 10.1109/EMBC48229.2022.</w:t>
      </w:r>
    </w:p>
    <w:p>
      <w:pPr/>
      <w:r>
        <w:t>[17] HL7 International, Health Level Seven International (HL7). Ann Arbor: HL7, 2020. [Online]. Available: https://www.hl7.org/</w:t>
      </w:r>
    </w:p>
    <w:p>
      <w:pPr/>
      <w:r>
        <w:t>[18] J. Zhang and K. A. Butler, "UFuRT: A work-centered framework and process for design and evaluation of information systems," in Proc. HCI International 2007, pp. 2–6.</w:t>
      </w:r>
    </w:p>
    <w:p>
      <w:pPr/>
      <w:r>
        <w:t>[19] Qualitas Test Team SAS, Informe de Ejecución de Pruebas — Proyecto HADA. Medellín: Universidad Pontificia Bolivariana, Jan. 2023, versión 1.1.</w:t>
      </w:r>
    </w:p>
    <w:p>
      <w:pPr/>
      <w:r>
        <w:t>[20] IHE International, IHE Technical Frameworks. Oakbrook Terrace: IHE, 2022. [Online]. Available: https://www.ihe.net/resources/technical_frameworks/</w:t>
      </w:r>
    </w:p>
    <w:p>
      <w:pPr/>
      <w:r>
        <w:t>[21] O. Bodenreider, R. Cornet, and D. J. Vreeman, "Recent developments in clinical terminologies: SNOMED CT, LOINC, and RxNorm," Yearbook of Medical Informatics, vol. 27, no. 1, pp. 129–139, 2018, doi: 10.1055/s-0038-1667075.</w:t>
      </w:r>
    </w:p>
    <w:p>
      <w:pPr/>
      <w:r>
        <w:t>[22] F. Menge, "Enterprise service bus," in Proc. Free and Open Source Software Conference 2007, pp. 1–6.</w:t>
      </w:r>
    </w:p>
    <w:p>
      <w:pPr/>
      <w:r>
        <w:t>[23] NextGen, Healthcare Integration Engine — NextGen® Connect. Horsham: NextGen Healthcare, 2022. [Online]. Available: https://www.nextgen.com/products-and-services/integration-engine</w:t>
      </w:r>
    </w:p>
    <w:p>
      <w:pPr/>
      <w:r>
        <w:t>[24] Personal Connected Health Alliance, H.812.5 FHIR Observation Upload TRIAL IMPLEMENTATION. Washington, D.C.: PCHA, 2019.</w:t>
      </w:r>
    </w:p>
    <w:p>
      <w:pPr/>
      <w:r>
        <w:t>[25] ITU-T, Interoperability Design Guidelines for Personal Health Systems — Recommendation ITU-T H.810. Geneva: ITU, 2021.</w:t>
      </w:r>
    </w:p>
    <w:p>
      <w:pPr/>
      <w:r>
        <w:t>[26] R. González Gómez et al., "Personal health devices transcoding," in Proc. IEEE EMBC, 2014, doi: 10.1109/EMBC.2014.6944853.</w:t>
      </w:r>
    </w:p>
    <w:p>
      <w:pPr/>
      <w:r>
        <w:t>[27] Instituto Nacional de Salud, Protocolo de Vigilancia en Salud Pública: Morbilidad Materna Extrema. Bogotá: INS, 2015.</w:t>
      </w:r>
    </w:p>
    <w:sectPr w:rsidR="009A6C88">
      <w:type w:val="continuous"/>
      <w:pgSz w:w="12240" w:h="15840" w:orient="portrait"/>
      <w:pgMar w:top="1418" w:right="1701" w:bottom="1418" w:left="1701" w:header="709" w:footer="709" w:gutter="0"/>
      <w:cols w:equalWidth="0" w:space="720">
        <w:col w:w="88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722B" w:rsidRDefault="0091722B" w14:paraId="37DE67A4" w14:textId="77777777">
      <w:pPr>
        <w:spacing w:after="0" w:line="240" w:lineRule="auto"/>
      </w:pPr>
      <w:r>
        <w:separator/>
      </w:r>
    </w:p>
  </w:endnote>
  <w:endnote w:type="continuationSeparator" w:id="0">
    <w:p w:rsidR="0091722B" w:rsidRDefault="0091722B" w14:paraId="6AAABF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D36BA492-DE40-D94B-9F0B-66757E74CD3D}" r:id="rId1"/>
    <w:embedBold w:fontKey="{58F90091-CF8D-9346-90A7-0F5E94DCDCEC}" r:id="rId2"/>
    <w:embedItalic w:fontKey="{D90120AE-8567-C74F-892B-36E234C9E2E2}" r:id="rId3"/>
  </w:font>
  <w:font w:name="Georgia">
    <w:panose1 w:val="02040502050405020303"/>
    <w:charset w:val="00"/>
    <w:family w:val="roman"/>
    <w:pitch w:val="variable"/>
    <w:sig w:usb0="00000287" w:usb1="00000000" w:usb2="00000000" w:usb3="00000000" w:csb0="0000009F" w:csb1="00000000"/>
    <w:embedRegular w:fontKey="{E9E69486-EEBE-7249-B492-DA093CA3604B}" r:id="rId4"/>
    <w:embedItalic w:fontKey="{A36F2805-F16A-8542-B276-9BCC9463C443}" r:id="rId5"/>
  </w:font>
  <w:font w:name="Cambria Math">
    <w:panose1 w:val="02040503050406030204"/>
    <w:charset w:val="00"/>
    <w:family w:val="roman"/>
    <w:pitch w:val="variable"/>
    <w:sig w:usb0="E00002FF" w:usb1="420024FF" w:usb2="00000000" w:usb3="00000000" w:csb0="0000019F" w:csb1="00000000"/>
    <w:embedRegular w:fontKey="{C93A633D-17A6-F443-A867-A7143F975665}" r:id="rId6"/>
    <w:embedItalic w:fontKey="{E9870701-15C7-7141-ADBB-AA3BFE7D34DC}" r:id="rId7"/>
  </w:font>
  <w:font w:name="Calibri Light">
    <w:panose1 w:val="020F0302020204030204"/>
    <w:charset w:val="00"/>
    <w:family w:val="swiss"/>
    <w:pitch w:val="variable"/>
    <w:sig w:usb0="E0002AFF" w:usb1="C000247B" w:usb2="00000009" w:usb3="00000000" w:csb0="000001FF" w:csb1="00000000"/>
    <w:embedRegular w:fontKey="{77D3BEC4-A412-E04E-8A12-557234211873}" r:id="rId8"/>
  </w:font>
  <w:font w:name="Calibri">
    <w:panose1 w:val="020F0502020204030204"/>
    <w:charset w:val="00"/>
    <w:family w:val="swiss"/>
    <w:pitch w:val="variable"/>
    <w:sig w:usb0="E4002EFF" w:usb1="C200247B" w:usb2="00000009" w:usb3="00000000" w:csb0="000001FF" w:csb1="00000000"/>
    <w:embedRegular w:fontKey="{941E7E45-C5B7-0640-82AF-89255FC25F6A}" r:id="rId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722B" w:rsidRDefault="0091722B" w14:paraId="32547C19" w14:textId="77777777">
      <w:pPr>
        <w:spacing w:after="0" w:line="240" w:lineRule="auto"/>
      </w:pPr>
      <w:r>
        <w:separator/>
      </w:r>
    </w:p>
  </w:footnote>
  <w:footnote w:type="continuationSeparator" w:id="0">
    <w:p w:rsidR="0091722B" w:rsidRDefault="0091722B" w14:paraId="4DF68B6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6C88" w:rsidRDefault="00000000" w14:paraId="422DECA6" w14:textId="77777777">
    <w:pPr>
      <w:pBdr>
        <w:top w:val="nil"/>
        <w:left w:val="nil"/>
        <w:bottom w:val="nil"/>
        <w:right w:val="nil"/>
        <w:between w:val="nil"/>
      </w:pBdr>
      <w:tabs>
        <w:tab w:val="center" w:pos="4419"/>
        <w:tab w:val="right" w:pos="8838"/>
      </w:tabs>
      <w:spacing w:after="0" w:line="240" w:lineRule="auto"/>
      <w:jc w:val="right"/>
      <w:rPr>
        <w:color w:val="000000"/>
      </w:rPr>
    </w:pPr>
    <w:r>
      <w:rPr>
        <w:color w:val="000000"/>
      </w:rPr>
      <w:t>Revista Mexicana de Ingeniería Biomédica</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C88"/>
    <w:rsid w:val="00885868"/>
    <w:rsid w:val="008A3A2C"/>
    <w:rsid w:val="0091722B"/>
    <w:rsid w:val="009A6C88"/>
    <w:rsid w:val="684E68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BF7D382"/>
  <w15:docId w15:val="{1E1BD85D-FAFC-F546-B5B9-CEF0CCD025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18"/>
        <w:szCs w:val="18"/>
        <w:lang w:val="es-MX" w:eastAsia="es-MX" w:bidi="ar-SA"/>
      </w:rPr>
    </w:rPrDefault>
    <w:pPrDefault>
      <w:pPr>
        <w:spacing w:after="200" w:line="276"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27A41"/>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eNormal0" w:customStyle="1">
    <w:name w:val="Table Normal0"/>
    <w:tblPr>
      <w:tblCellMar>
        <w:top w:w="0" w:type="dxa"/>
        <w:left w:w="0" w:type="dxa"/>
        <w:bottom w:w="0" w:type="dxa"/>
        <w:right w:w="0" w:type="dxa"/>
      </w:tblCellMar>
    </w:tblPr>
  </w:style>
  <w:style w:type="paragraph" w:styleId="Prrafodelista">
    <w:name w:val="List Paragraph"/>
    <w:basedOn w:val="Normal"/>
    <w:uiPriority w:val="34"/>
    <w:qFormat/>
    <w:rsid w:val="002B7BE8"/>
    <w:pPr>
      <w:ind w:left="720" w:firstLine="0"/>
      <w:contextualSpacing/>
    </w:pPr>
  </w:style>
  <w:style w:type="character" w:styleId="Nmerodelnea">
    <w:name w:val="line number"/>
    <w:basedOn w:val="Fuentedeprrafopredeter"/>
    <w:uiPriority w:val="99"/>
    <w:semiHidden/>
    <w:unhideWhenUsed/>
    <w:rsid w:val="0066084A"/>
  </w:style>
  <w:style w:type="paragraph" w:styleId="Encabezado">
    <w:name w:val="header"/>
    <w:basedOn w:val="Normal"/>
    <w:link w:val="EncabezadoCar"/>
    <w:uiPriority w:val="99"/>
    <w:unhideWhenUsed/>
    <w:rsid w:val="002C10B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C10BA"/>
    <w:rPr>
      <w:rFonts w:ascii="Times New Roman" w:hAnsi="Times New Roman"/>
      <w:sz w:val="18"/>
    </w:rPr>
  </w:style>
  <w:style w:type="paragraph" w:styleId="Piedepgina">
    <w:name w:val="footer"/>
    <w:basedOn w:val="Normal"/>
    <w:link w:val="PiedepginaCar"/>
    <w:uiPriority w:val="99"/>
    <w:unhideWhenUsed/>
    <w:rsid w:val="002C10B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C10BA"/>
    <w:rPr>
      <w:rFonts w:ascii="Times New Roman" w:hAnsi="Times New Roman"/>
      <w:sz w:val="18"/>
    </w:rPr>
  </w:style>
  <w:style w:type="table" w:styleId="Tablaconcuadrcula">
    <w:name w:val="Table Grid"/>
    <w:basedOn w:val="Tablanormal"/>
    <w:uiPriority w:val="39"/>
    <w:rsid w:val="00864EE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extoennegrita">
    <w:name w:val="Strong"/>
    <w:basedOn w:val="Fuentedeprrafopredeter"/>
    <w:uiPriority w:val="22"/>
    <w:qFormat/>
    <w:rsid w:val="002B6A21"/>
    <w:rPr>
      <w:b/>
      <w:bCs/>
    </w:rPr>
  </w:style>
  <w:style w:type="character" w:styleId="apple-converted-space" w:customStyle="1">
    <w:name w:val="apple-converted-space"/>
    <w:basedOn w:val="Fuentedeprrafopredeter"/>
    <w:rsid w:val="002B6A21"/>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1" w:customStyle="1">
    <w:name w:val="1"/>
    <w:basedOn w:val="TableNormal0"/>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1B292A"/>
    <w:rPr>
      <w:color w:val="0563C1" w:themeColor="hyperlink"/>
      <w:u w:val="single"/>
    </w:rPr>
  </w:style>
  <w:style w:type="character" w:styleId="Mencinsinresolver">
    <w:name w:val="Unresolved Mention"/>
    <w:basedOn w:val="Fuentedeprrafopredeter"/>
    <w:uiPriority w:val="99"/>
    <w:semiHidden/>
    <w:unhideWhenUsed/>
    <w:rsid w:val="001B292A"/>
    <w:rPr>
      <w:color w:val="605E5C"/>
      <w:shd w:val="clear" w:color="auto" w:fill="E1DFDD"/>
    </w:rPr>
  </w:style>
  <w:style w:type="paragraph" w:styleId="NormalWeb">
    <w:name w:val="Normal (Web)"/>
    <w:basedOn w:val="Normal"/>
    <w:uiPriority w:val="99"/>
    <w:semiHidden/>
    <w:unhideWhenUsed/>
    <w:rsid w:val="005506EE"/>
    <w:pPr>
      <w:spacing w:before="100" w:beforeAutospacing="1" w:after="100" w:afterAutospacing="1" w:line="240" w:lineRule="auto"/>
      <w:ind w:firstLine="0"/>
    </w:pPr>
    <w:rPr>
      <w:sz w:val="24"/>
      <w:szCs w:val="24"/>
    </w:rPr>
  </w:style>
  <w:style w:type="character" w:styleId="Textodelmarcadordeposicin">
    <w:name w:val="Placeholder Text"/>
    <w:basedOn w:val="Fuentedeprrafopredeter"/>
    <w:uiPriority w:val="99"/>
    <w:semiHidden/>
    <w:rsid w:val="003308E0"/>
    <w:rPr>
      <w:color w:val="808080"/>
    </w:rPr>
  </w:style>
  <w:style w:type="table" w:styleId="a" w:customStyle="1">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press-pubs.uchicago.edu/founder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repositorio.udec.cl/jspui/handle/11594/355"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186/s11556-015-0152-9"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journals.ieeeauthorcenter.ieee.org/wp-content/uploads/sites/7/IEEE_Reference_Guide.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QMGrJdJUiIvHyJpk/Dg/sSzCg==">CgMxLjAyCGguZ2pkZ3hzOAByITE5bW9qRC1fQnFwUlp5aFVDc2RBRlhHUml1djZYWkxtSA==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cigr</dc:creator>
  <lastModifiedBy>Usuario invitado</lastModifiedBy>
  <revision>3</revision>
  <dcterms:created xsi:type="dcterms:W3CDTF">2023-02-10T06:35:00.0000000Z</dcterms:created>
  <dcterms:modified xsi:type="dcterms:W3CDTF">2025-12-04T16:29:39.3472125Z</dcterms:modified>
</coreProperties>
</file>