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Matriz de revisión y decisión de reenvío</w:t>
      </w:r>
    </w:p>
    <w:p>
      <w:pPr>
        <w:spacing w:after="280"/>
        <w:jc w:val="center"/>
      </w:pPr>
      <w:r>
        <w:rPr>
          <w:rFonts w:ascii="Times New Roman" w:hAnsi="Times New Roman"/>
          <w:i/>
          <w:sz w:val="21"/>
        </w:rPr>
        <w:t>Porotoyacu Fault — actualización con nube definitiva, 23 September 2026</w:t>
      </w:r>
    </w:p>
    <w:p>
      <w:pPr>
        <w:spacing w:before="240" w:after="80"/>
      </w:pPr>
      <w:r>
        <w:rPr>
          <w:rFonts w:ascii="Times New Roman" w:hAnsi="Times New Roman"/>
          <w:b/>
          <w:sz w:val="26"/>
        </w:rPr>
        <w:t>Decisión editorial y postura de reenvío</w:t>
      </w:r>
    </w:p>
    <w:p>
      <w:r>
        <w:t>La decisión editorial de Journal of South American Earth Sciences fue rechazo con invitación implícita a enviar un manuscrito sustancialmente reescrito como nueva contribución. La versión v5 no presenta el sitio como una confirmación de falla activa ni como una base para parámetros de amenaza sísmica. La postura recomendada es una contribución metodológica y de observación local: control explícito de soporte Ground en SfM y descripción cautelosa de un único campo de velocidades someras.</w:t>
      </w:r>
    </w:p>
    <w:p>
      <w:pPr>
        <w:spacing w:after="200"/>
      </w:pPr>
      <w:r>
        <w:rPr>
          <w:b/>
        </w:rPr>
        <w:t xml:space="preserve">Veredicto técnico: </w:t>
      </w:r>
      <w:r>
        <w:t>la revisión puede enviarse para revisión interna de autores, pero no debe reenviarse a una revista hasta que los autores acepten este alcance más estrecho y verifiquen cada cita, figura regional y fuente de datos primaria.</w:t>
      </w:r>
    </w:p>
    <w:p>
      <w:pPr>
        <w:spacing w:before="240" w:after="80"/>
      </w:pPr>
      <w:r>
        <w:rPr>
          <w:rFonts w:ascii="Times New Roman" w:hAnsi="Times New Roman"/>
          <w:b/>
          <w:sz w:val="26"/>
        </w:rPr>
        <w:t>Cambios implementados en el manuscrito</w:t>
      </w:r>
    </w:p>
    <w:tbl>
      <w:tblPr>
        <w:tblStyle w:val="TableGrid"/>
        <w:tblW w:type="auto" w:w="0"/>
        <w:tblLayout w:type="fixed"/>
        <w:tblLook w:firstColumn="1" w:firstRow="1" w:lastColumn="0" w:lastRow="0" w:noHBand="0" w:noVBand="1" w:val="04A0"/>
      </w:tblPr>
      <w:tblGrid>
        <w:gridCol w:w="2408"/>
        <w:gridCol w:w="2408"/>
        <w:gridCol w:w="2408"/>
        <w:gridCol w:w="2408"/>
      </w:tblGrid>
      <w:tr>
        <w:tc>
          <w:tcPr>
            <w:tcW w:type="dxa" w:w="1771"/>
            <w:shd w:fill="1F4E78"/>
            <w:vAlign w:val="top"/>
          </w:tcPr>
          <w:p>
            <w:pPr>
              <w:spacing w:after="0" w:before="0"/>
              <w:jc w:val="left"/>
            </w:pPr>
            <w:r>
              <w:rPr>
                <w:rFonts w:ascii="Times New Roman" w:hAnsi="Times New Roman"/>
                <w:b/>
                <w:color w:val="FFFFFF"/>
                <w:sz w:val="17"/>
              </w:rPr>
              <w:t>Tema</w:t>
            </w:r>
          </w:p>
        </w:tc>
        <w:tc>
          <w:tcPr>
            <w:tcW w:type="dxa" w:w="2952"/>
            <w:shd w:fill="1F4E78"/>
            <w:vAlign w:val="top"/>
          </w:tcPr>
          <w:p>
            <w:pPr>
              <w:spacing w:after="0" w:before="0"/>
              <w:jc w:val="left"/>
            </w:pPr>
            <w:r>
              <w:rPr>
                <w:rFonts w:ascii="Times New Roman" w:hAnsi="Times New Roman"/>
                <w:b/>
                <w:color w:val="FFFFFF"/>
                <w:sz w:val="17"/>
              </w:rPr>
              <w:t>Cambio v5</w:t>
            </w:r>
          </w:p>
        </w:tc>
        <w:tc>
          <w:tcPr>
            <w:tcW w:type="dxa" w:w="3571"/>
            <w:shd w:fill="1F4E78"/>
            <w:vAlign w:val="top"/>
          </w:tcPr>
          <w:p>
            <w:pPr>
              <w:spacing w:after="0" w:before="0"/>
              <w:jc w:val="left"/>
            </w:pPr>
            <w:r>
              <w:rPr>
                <w:rFonts w:ascii="Times New Roman" w:hAnsi="Times New Roman"/>
                <w:b/>
                <w:color w:val="FFFFFF"/>
                <w:sz w:val="17"/>
              </w:rPr>
              <w:t>Evidencia / límite</w:t>
            </w:r>
          </w:p>
        </w:tc>
        <w:tc>
          <w:tcPr>
            <w:tcW w:type="dxa" w:w="1296"/>
            <w:shd w:fill="1F4E78"/>
            <w:vAlign w:val="top"/>
          </w:tcPr>
          <w:p>
            <w:pPr>
              <w:spacing w:after="0" w:before="0"/>
              <w:jc w:val="left"/>
            </w:pPr>
            <w:r>
              <w:rPr>
                <w:rFonts w:ascii="Times New Roman" w:hAnsi="Times New Roman"/>
                <w:b/>
                <w:color w:val="FFFFFF"/>
                <w:sz w:val="17"/>
              </w:rPr>
              <w:t>Estado</w:t>
            </w:r>
          </w:p>
        </w:tc>
      </w:tr>
      <w:tr>
        <w:tc>
          <w:tcPr>
            <w:tcW w:type="dxa" w:w="1771"/>
            <w:vAlign w:val="top"/>
          </w:tcPr>
          <w:p>
            <w:pPr>
              <w:spacing w:after="0" w:before="0"/>
              <w:jc w:val="left"/>
            </w:pPr>
            <w:r>
              <w:rPr>
                <w:rFonts w:ascii="Times New Roman" w:hAnsi="Times New Roman"/>
                <w:b w:val="0"/>
                <w:color w:val="000000"/>
                <w:sz w:val="16"/>
              </w:rPr>
              <w:t>Clasificación Ground y densidad</w:t>
            </w:r>
          </w:p>
        </w:tc>
        <w:tc>
          <w:tcPr>
            <w:tcW w:type="dxa" w:w="2952"/>
            <w:vAlign w:val="top"/>
          </w:tcPr>
          <w:p>
            <w:pPr>
              <w:spacing w:after="0" w:before="0"/>
              <w:jc w:val="left"/>
            </w:pPr>
            <w:r>
              <w:rPr>
                <w:rFonts w:ascii="Times New Roman" w:hAnsi="Times New Roman"/>
                <w:b w:val="0"/>
                <w:color w:val="000000"/>
                <w:sz w:val="16"/>
              </w:rPr>
              <w:t>Conteos verificados en el LAZ definitivo: 13,619,241 puntos; 2,810,862 Ground (20.64%).</w:t>
            </w:r>
          </w:p>
        </w:tc>
        <w:tc>
          <w:tcPr>
            <w:tcW w:type="dxa" w:w="3571"/>
            <w:vAlign w:val="top"/>
          </w:tcPr>
          <w:p>
            <w:pPr>
              <w:spacing w:after="0" w:before="0"/>
              <w:jc w:val="left"/>
            </w:pPr>
            <w:r>
              <w:rPr>
                <w:rFonts w:ascii="Times New Roman" w:hAnsi="Times New Roman"/>
                <w:b w:val="0"/>
                <w:color w:val="000000"/>
                <w:sz w:val="16"/>
              </w:rPr>
              <w:t>Figura 5: densidad, retención y soporte directo en celdas de 2 × 2 m; 47.13% de celdas ocupadas tienen Ground.</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Canopia, techos e interpolación</w:t>
            </w:r>
          </w:p>
        </w:tc>
        <w:tc>
          <w:tcPr>
            <w:tcW w:type="dxa" w:w="2952"/>
            <w:vAlign w:val="top"/>
          </w:tcPr>
          <w:p>
            <w:pPr>
              <w:spacing w:after="0" w:before="0"/>
              <w:jc w:val="left"/>
            </w:pPr>
            <w:r>
              <w:rPr>
                <w:rFonts w:ascii="Times New Roman" w:hAnsi="Times New Roman"/>
                <w:b w:val="0"/>
                <w:color w:val="000000"/>
                <w:sz w:val="16"/>
              </w:rPr>
              <w:t>Se elimina cualquier equivalencia entre resolución de celda y precisión/terreno observado. Los vacíos Ground se reportan, no se ocultan.</w:t>
            </w:r>
          </w:p>
        </w:tc>
        <w:tc>
          <w:tcPr>
            <w:tcW w:type="dxa" w:w="3571"/>
            <w:vAlign w:val="top"/>
          </w:tcPr>
          <w:p>
            <w:pPr>
              <w:spacing w:after="0" w:before="0"/>
              <w:jc w:val="left"/>
            </w:pPr>
            <w:r>
              <w:rPr>
                <w:rFonts w:ascii="Times New Roman" w:hAnsi="Times New Roman"/>
                <w:b w:val="0"/>
                <w:color w:val="000000"/>
                <w:sz w:val="16"/>
              </w:rPr>
              <w:t>52.87% de celdas ocupadas carecen de Ground directo; no hay GCP/checkpoints independientes.</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Perfiles topográficos</w:t>
            </w:r>
          </w:p>
        </w:tc>
        <w:tc>
          <w:tcPr>
            <w:tcW w:type="dxa" w:w="2952"/>
            <w:vAlign w:val="top"/>
          </w:tcPr>
          <w:p>
            <w:pPr>
              <w:spacing w:after="0" w:before="0"/>
              <w:jc w:val="left"/>
            </w:pPr>
            <w:r>
              <w:rPr>
                <w:rFonts w:ascii="Times New Roman" w:hAnsi="Times New Roman"/>
                <w:b w:val="0"/>
                <w:color w:val="000000"/>
                <w:sz w:val="16"/>
              </w:rPr>
              <w:t>Se reemplaza el uso de perfiles DTM continuos por fajas Ground de ±5 m, bins de 1 m, mínimo 3 puntos y sin rellenar vacíos.</w:t>
            </w:r>
          </w:p>
        </w:tc>
        <w:tc>
          <w:tcPr>
            <w:tcW w:type="dxa" w:w="3571"/>
            <w:vAlign w:val="top"/>
          </w:tcPr>
          <w:p>
            <w:pPr>
              <w:spacing w:after="0" w:before="0"/>
              <w:jc w:val="left"/>
            </w:pPr>
            <w:r>
              <w:rPr>
                <w:rFonts w:ascii="Times New Roman" w:hAnsi="Times New Roman"/>
                <w:b w:val="0"/>
                <w:color w:val="000000"/>
                <w:sz w:val="16"/>
              </w:rPr>
              <w:t>12/32 perfiles A/B: P1, P2, P3, P5, P6, P7, P9, P10, P11, P18, P23 y P24. Figura 2 y control_soporte_32_perfiles.csv.</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Altura de escarpe y continuidad</w:t>
            </w:r>
          </w:p>
        </w:tc>
        <w:tc>
          <w:tcPr>
            <w:tcW w:type="dxa" w:w="2952"/>
            <w:vAlign w:val="top"/>
          </w:tcPr>
          <w:p>
            <w:pPr>
              <w:spacing w:after="0" w:before="0"/>
              <w:jc w:val="left"/>
            </w:pPr>
            <w:r>
              <w:rPr>
                <w:rFonts w:ascii="Times New Roman" w:hAnsi="Times New Roman"/>
                <w:b w:val="0"/>
                <w:color w:val="000000"/>
                <w:sz w:val="16"/>
              </w:rPr>
              <w:t>Se eliminan media de altura, separación vertical, partición por sectores, extensión de 700 m y ajuste de 115 m.</w:t>
            </w:r>
          </w:p>
        </w:tc>
        <w:tc>
          <w:tcPr>
            <w:tcW w:type="dxa" w:w="3571"/>
            <w:vAlign w:val="top"/>
          </w:tcPr>
          <w:p>
            <w:pPr>
              <w:spacing w:after="0" w:before="0"/>
              <w:jc w:val="left"/>
            </w:pPr>
            <w:r>
              <w:rPr>
                <w:rFonts w:ascii="Times New Roman" w:hAnsi="Times New Roman"/>
                <w:b w:val="0"/>
                <w:color w:val="000000"/>
                <w:sz w:val="16"/>
              </w:rPr>
              <w:t>Los A/B sirven solo para descripción local; no hay referencia far-field ni modelo de incertidumbre.</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Ubicación y perpendicularidad</w:t>
            </w:r>
          </w:p>
        </w:tc>
        <w:tc>
          <w:tcPr>
            <w:tcW w:type="dxa" w:w="2952"/>
            <w:vAlign w:val="top"/>
          </w:tcPr>
          <w:p>
            <w:pPr>
              <w:spacing w:after="0" w:before="0"/>
              <w:jc w:val="left"/>
            </w:pPr>
            <w:r>
              <w:rPr>
                <w:rFonts w:ascii="Times New Roman" w:hAnsi="Times New Roman"/>
                <w:b w:val="0"/>
                <w:color w:val="000000"/>
                <w:sz w:val="16"/>
              </w:rPr>
              <w:t>Se documenta el cálculo de normal local a partir de una ventana tangente de 10 m y se explicita la restricción espacial del SRT.</w:t>
            </w:r>
          </w:p>
        </w:tc>
        <w:tc>
          <w:tcPr>
            <w:tcW w:type="dxa" w:w="3571"/>
            <w:vAlign w:val="top"/>
          </w:tcPr>
          <w:p>
            <w:pPr>
              <w:spacing w:after="0" w:before="0"/>
              <w:jc w:val="left"/>
            </w:pPr>
            <w:r>
              <w:rPr>
                <w:rFonts w:ascii="Times New Roman" w:hAnsi="Times New Roman"/>
                <w:b w:val="0"/>
                <w:color w:val="000000"/>
                <w:sz w:val="16"/>
              </w:rPr>
              <w:t>Azimuts 66.11°–94.52°; la geometría se conserva como procedimiento, no como prueba de continuidad.</w:t>
            </w:r>
          </w:p>
        </w:tc>
        <w:tc>
          <w:tcPr>
            <w:tcW w:type="dxa" w:w="1296"/>
            <w:vAlign w:val="top"/>
            <w:shd w:fill="FFF2CC"/>
          </w:tcPr>
          <w:p>
            <w:pPr>
              <w:spacing w:after="0" w:before="0"/>
              <w:jc w:val="center"/>
            </w:pPr>
            <w:r>
              <w:rPr>
                <w:rFonts w:ascii="Times New Roman" w:hAnsi="Times New Roman"/>
                <w:b w:val="0"/>
                <w:color w:val="000000"/>
                <w:sz w:val="16"/>
              </w:rPr>
              <w:t>Parcial</w:t>
            </w:r>
          </w:p>
        </w:tc>
      </w:tr>
      <w:tr>
        <w:tc>
          <w:tcPr>
            <w:tcW w:type="dxa" w:w="1771"/>
            <w:vAlign w:val="top"/>
          </w:tcPr>
          <w:p>
            <w:pPr>
              <w:spacing w:after="0" w:before="0"/>
              <w:jc w:val="left"/>
            </w:pPr>
            <w:r>
              <w:rPr>
                <w:rFonts w:ascii="Times New Roman" w:hAnsi="Times New Roman"/>
                <w:b w:val="0"/>
                <w:color w:val="000000"/>
                <w:sz w:val="16"/>
              </w:rPr>
              <w:t>Adquisición SRT y picks</w:t>
            </w:r>
          </w:p>
        </w:tc>
        <w:tc>
          <w:tcPr>
            <w:tcW w:type="dxa" w:w="2952"/>
            <w:vAlign w:val="top"/>
          </w:tcPr>
          <w:p>
            <w:pPr>
              <w:spacing w:after="0" w:before="0"/>
              <w:jc w:val="left"/>
            </w:pPr>
            <w:r>
              <w:rPr>
                <w:rFonts w:ascii="Times New Roman" w:hAnsi="Times New Roman"/>
                <w:b w:val="0"/>
                <w:color w:val="000000"/>
                <w:sz w:val="16"/>
              </w:rPr>
              <w:t>Se conserva la configuración real: 24 receptores, 25 tiros, 600 picks, un impacto por tiro, sin stacking, sin pares recíprocos verdaderos.</w:t>
            </w:r>
          </w:p>
        </w:tc>
        <w:tc>
          <w:tcPr>
            <w:tcW w:type="dxa" w:w="3571"/>
            <w:vAlign w:val="top"/>
          </w:tcPr>
          <w:p>
            <w:pPr>
              <w:spacing w:after="0" w:before="0"/>
              <w:jc w:val="left"/>
            </w:pPr>
            <w:r>
              <w:rPr>
                <w:rFonts w:ascii="Times New Roman" w:hAnsi="Times New Roman"/>
                <w:b w:val="0"/>
                <w:color w:val="000000"/>
                <w:sz w:val="16"/>
              </w:rPr>
              <w:t>Figuras 3, 4 y S1 se describen como trazabilidad de picks y ajuste, no como control de amplitud/ganancia.</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Smoothing, residual y modelo</w:t>
            </w:r>
          </w:p>
        </w:tc>
        <w:tc>
          <w:tcPr>
            <w:tcW w:type="dxa" w:w="2952"/>
            <w:vAlign w:val="top"/>
          </w:tcPr>
          <w:p>
            <w:pPr>
              <w:spacing w:after="0" w:before="0"/>
              <w:jc w:val="left"/>
            </w:pPr>
            <w:r>
              <w:rPr>
                <w:rFonts w:ascii="Times New Roman" w:hAnsi="Times New Roman"/>
                <w:b w:val="0"/>
                <w:color w:val="000000"/>
                <w:sz w:val="16"/>
              </w:rPr>
              <w:t>Se mantiene wH=0.9 como elección pragmática entre pruebas, no como una esquina L única. Se mantienen RMS/MAE reproducidos.</w:t>
            </w:r>
          </w:p>
        </w:tc>
        <w:tc>
          <w:tcPr>
            <w:tcW w:type="dxa" w:w="3571"/>
            <w:vAlign w:val="top"/>
          </w:tcPr>
          <w:p>
            <w:pPr>
              <w:spacing w:after="0" w:before="0"/>
              <w:jc w:val="left"/>
            </w:pPr>
            <w:r>
              <w:rPr>
                <w:rFonts w:ascii="Times New Roman" w:hAnsi="Times New Roman"/>
                <w:b w:val="0"/>
                <w:color w:val="000000"/>
                <w:sz w:val="16"/>
              </w:rPr>
              <w:t>RMS 3.335572 ms, MAE 2.573010 ms, P95 |r| 6.758092 ms para 552 pares positivos.</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Rayos, hit counts y resolución</w:t>
            </w:r>
          </w:p>
        </w:tc>
        <w:tc>
          <w:tcPr>
            <w:tcW w:type="dxa" w:w="2952"/>
            <w:vAlign w:val="top"/>
          </w:tcPr>
          <w:p>
            <w:pPr>
              <w:spacing w:after="0" w:before="0"/>
              <w:jc w:val="left"/>
            </w:pPr>
            <w:r>
              <w:rPr>
                <w:rFonts w:ascii="Times New Roman" w:hAnsi="Times New Roman"/>
                <w:b w:val="0"/>
                <w:color w:val="000000"/>
                <w:sz w:val="16"/>
              </w:rPr>
              <w:t>Se elimina la figura y la máscara de cobertura de rayos que no pueden verificarse. Se declara la ausencia de salidas numéricas nativas.</w:t>
            </w:r>
          </w:p>
        </w:tc>
        <w:tc>
          <w:tcPr>
            <w:tcW w:type="dxa" w:w="3571"/>
            <w:vAlign w:val="top"/>
          </w:tcPr>
          <w:p>
            <w:pPr>
              <w:spacing w:after="0" w:before="0"/>
              <w:jc w:val="left"/>
            </w:pPr>
            <w:r>
              <w:rPr>
                <w:rFonts w:ascii="Times New Roman" w:hAnsi="Times New Roman"/>
                <w:b w:val="0"/>
                <w:color w:val="000000"/>
                <w:sz w:val="16"/>
              </w:rPr>
              <w:t>No hay coordenadas de rayos, hit-count por celda ni matriz formal de resolución retenida.</w:t>
            </w:r>
          </w:p>
        </w:tc>
        <w:tc>
          <w:tcPr>
            <w:tcW w:type="dxa" w:w="1296"/>
            <w:vAlign w:val="top"/>
            <w:shd w:fill="FCE4D6"/>
          </w:tcPr>
          <w:p>
            <w:pPr>
              <w:spacing w:after="0" w:before="0"/>
              <w:jc w:val="center"/>
            </w:pPr>
            <w:r>
              <w:rPr>
                <w:rFonts w:ascii="Times New Roman" w:hAnsi="Times New Roman"/>
                <w:b w:val="0"/>
                <w:color w:val="000000"/>
                <w:sz w:val="16"/>
              </w:rPr>
              <w:t>Limitación</w:t>
            </w:r>
          </w:p>
        </w:tc>
      </w:tr>
      <w:tr>
        <w:tc>
          <w:tcPr>
            <w:tcW w:type="dxa" w:w="1771"/>
            <w:vAlign w:val="top"/>
          </w:tcPr>
          <w:p>
            <w:pPr>
              <w:spacing w:after="0" w:before="0"/>
              <w:jc w:val="left"/>
            </w:pPr>
            <w:r>
              <w:rPr>
                <w:rFonts w:ascii="Times New Roman" w:hAnsi="Times New Roman"/>
                <w:b w:val="0"/>
                <w:color w:val="000000"/>
                <w:sz w:val="16"/>
              </w:rPr>
              <w:t>Geometría/estratigrafía de falla</w:t>
            </w:r>
          </w:p>
        </w:tc>
        <w:tc>
          <w:tcPr>
            <w:tcW w:type="dxa" w:w="2952"/>
            <w:vAlign w:val="top"/>
          </w:tcPr>
          <w:p>
            <w:pPr>
              <w:spacing w:after="0" w:before="0"/>
              <w:jc w:val="left"/>
            </w:pPr>
            <w:r>
              <w:rPr>
                <w:rFonts w:ascii="Times New Roman" w:hAnsi="Times New Roman"/>
                <w:b w:val="0"/>
                <w:color w:val="000000"/>
                <w:sz w:val="16"/>
              </w:rPr>
              <w:t>Se eliminan plano de falla, dips, retrocabalgamiento, estructura antitética y unidades sismoestratigráficas como resultados.</w:t>
            </w:r>
          </w:p>
        </w:tc>
        <w:tc>
          <w:tcPr>
            <w:tcW w:type="dxa" w:w="3571"/>
            <w:vAlign w:val="top"/>
          </w:tcPr>
          <w:p>
            <w:pPr>
              <w:spacing w:after="0" w:before="0"/>
              <w:jc w:val="left"/>
            </w:pPr>
            <w:r>
              <w:rPr>
                <w:rFonts w:ascii="Times New Roman" w:hAnsi="Times New Roman"/>
                <w:b w:val="0"/>
                <w:color w:val="000000"/>
                <w:sz w:val="16"/>
              </w:rPr>
              <w:t>Figura 7 queda como campo nodal de velocidad con isovelocidades descriptivas, sin trayectorias de rayo.</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Actividad, longitud y amenaza</w:t>
            </w:r>
          </w:p>
        </w:tc>
        <w:tc>
          <w:tcPr>
            <w:tcW w:type="dxa" w:w="2952"/>
            <w:vAlign w:val="top"/>
          </w:tcPr>
          <w:p>
            <w:pPr>
              <w:spacing w:after="0" w:before="0"/>
              <w:jc w:val="left"/>
            </w:pPr>
            <w:r>
              <w:rPr>
                <w:rFonts w:ascii="Times New Roman" w:hAnsi="Times New Roman"/>
                <w:b w:val="0"/>
                <w:color w:val="000000"/>
                <w:sz w:val="16"/>
              </w:rPr>
              <w:t>Se eliminan confirmación de actividad, magnitud por SRL, segmentación y parámetros de amenaza. Se propone trabajo futuro.</w:t>
            </w:r>
          </w:p>
        </w:tc>
        <w:tc>
          <w:tcPr>
            <w:tcW w:type="dxa" w:w="3571"/>
            <w:vAlign w:val="top"/>
          </w:tcPr>
          <w:p>
            <w:pPr>
              <w:spacing w:after="0" w:before="0"/>
              <w:jc w:val="left"/>
            </w:pPr>
            <w:r>
              <w:rPr>
                <w:rFonts w:ascii="Times New Roman" w:hAnsi="Times New Roman"/>
                <w:b w:val="0"/>
                <w:color w:val="000000"/>
                <w:sz w:val="16"/>
              </w:rPr>
              <w:t>Conclusiones limitadas a una hipótesis local comprobable.</w:t>
            </w:r>
          </w:p>
        </w:tc>
        <w:tc>
          <w:tcPr>
            <w:tcW w:type="dxa" w:w="1296"/>
            <w:vAlign w:val="top"/>
            <w:shd w:fill="E2F0D9"/>
          </w:tcPr>
          <w:p>
            <w:pPr>
              <w:spacing w:after="0" w:before="0"/>
              <w:jc w:val="center"/>
            </w:pPr>
            <w:r>
              <w:rPr>
                <w:rFonts w:ascii="Times New Roman" w:hAnsi="Times New Roman"/>
                <w:b w:val="0"/>
                <w:color w:val="000000"/>
                <w:sz w:val="16"/>
              </w:rPr>
              <w:t>Resuelto</w:t>
            </w:r>
          </w:p>
        </w:tc>
      </w:tr>
      <w:tr>
        <w:tc>
          <w:tcPr>
            <w:tcW w:type="dxa" w:w="1771"/>
            <w:vAlign w:val="top"/>
          </w:tcPr>
          <w:p>
            <w:pPr>
              <w:spacing w:after="0" w:before="0"/>
              <w:jc w:val="left"/>
            </w:pPr>
            <w:r>
              <w:rPr>
                <w:rFonts w:ascii="Times New Roman" w:hAnsi="Times New Roman"/>
                <w:b w:val="0"/>
                <w:color w:val="000000"/>
                <w:sz w:val="16"/>
              </w:rPr>
              <w:t>Contexto regional</w:t>
            </w:r>
          </w:p>
        </w:tc>
        <w:tc>
          <w:tcPr>
            <w:tcW w:type="dxa" w:w="2952"/>
            <w:vAlign w:val="top"/>
          </w:tcPr>
          <w:p>
            <w:pPr>
              <w:spacing w:after="0" w:before="0"/>
              <w:jc w:val="left"/>
            </w:pPr>
            <w:r>
              <w:rPr>
                <w:rFonts w:ascii="Times New Roman" w:hAnsi="Times New Roman"/>
                <w:b w:val="0"/>
                <w:color w:val="000000"/>
                <w:sz w:val="16"/>
              </w:rPr>
              <w:t>Se conserva la figura regional solo como contexto; no como prueba local de desplazamiento, vergencia o litología en el SRT.</w:t>
            </w:r>
          </w:p>
        </w:tc>
        <w:tc>
          <w:tcPr>
            <w:tcW w:type="dxa" w:w="3571"/>
            <w:vAlign w:val="top"/>
          </w:tcPr>
          <w:p>
            <w:pPr>
              <w:spacing w:after="0" w:before="0"/>
              <w:jc w:val="left"/>
            </w:pPr>
            <w:r>
              <w:rPr>
                <w:rFonts w:ascii="Times New Roman" w:hAnsi="Times New Roman"/>
                <w:b w:val="0"/>
                <w:color w:val="000000"/>
                <w:sz w:val="16"/>
              </w:rPr>
              <w:t>Se requiere verificación final de las fuentes regionales por los autores.</w:t>
            </w:r>
          </w:p>
        </w:tc>
        <w:tc>
          <w:tcPr>
            <w:tcW w:type="dxa" w:w="1296"/>
            <w:vAlign w:val="top"/>
            <w:shd w:fill="FFF2CC"/>
          </w:tcPr>
          <w:p>
            <w:pPr>
              <w:spacing w:after="0" w:before="0"/>
              <w:jc w:val="center"/>
            </w:pPr>
            <w:r>
              <w:rPr>
                <w:rFonts w:ascii="Times New Roman" w:hAnsi="Times New Roman"/>
                <w:b w:val="0"/>
                <w:color w:val="000000"/>
                <w:sz w:val="16"/>
              </w:rPr>
              <w:t>Parcial</w:t>
            </w:r>
          </w:p>
        </w:tc>
      </w:tr>
    </w:tbl>
    <w:p>
      <w:pPr>
        <w:spacing w:before="240" w:after="80"/>
      </w:pPr>
      <w:r>
        <w:rPr>
          <w:rFonts w:ascii="Times New Roman" w:hAnsi="Times New Roman"/>
          <w:b/>
          <w:sz w:val="26"/>
        </w:rPr>
        <w:t>Comentarios de coautores incorporados</w:t>
      </w:r>
    </w:p>
    <w:p>
      <w:pPr>
        <w:ind w:left="259" w:hanging="259"/>
      </w:pPr>
      <w:r>
        <w:t xml:space="preserve">• </w:t>
      </w:r>
      <w:r>
        <w:t>Se adoptó lenguaje probabilístico para cualquier relación con la falla Porotoyacu: “candidate”, “possible”, “testable”, y no “confirmed” o “active” para el sitio local.</w:t>
      </w:r>
    </w:p>
    <w:p>
      <w:pPr>
        <w:ind w:left="259" w:hanging="259"/>
      </w:pPr>
      <w:r>
        <w:t xml:space="preserve">• </w:t>
      </w:r>
      <w:r>
        <w:t>Se retiraron las alturas de escarpe y toda inferencia de desplazamiento: los perfiles no tienen una referencia fiable de bloque colgante/bloque yacente ni incertidumbre independiente.</w:t>
      </w:r>
    </w:p>
    <w:p>
      <w:pPr>
        <w:ind w:left="259" w:hanging="259"/>
      </w:pPr>
      <w:r>
        <w:t xml:space="preserve">• </w:t>
      </w:r>
      <w:r>
        <w:t>Se explicitó que el SRT no permite asignar litología, geometría de falla, vergencia, listricidad, ni un dominio de resolución sin los productos nativos faltantes.</w:t>
      </w:r>
    </w:p>
    <w:p>
      <w:pPr>
        <w:ind w:left="259" w:hanging="259"/>
      </w:pPr>
      <w:r>
        <w:t xml:space="preserve">• </w:t>
      </w:r>
      <w:r>
        <w:t>La figura de perfiles ahora revela soporte Ground y vacíos, en vez de mostrar un DTM interpolado como evidencia uniforme.</w:t>
      </w:r>
    </w:p>
    <w:p>
      <w:pPr>
        <w:ind w:left="259" w:hanging="259"/>
      </w:pPr>
      <w:r>
        <w:t xml:space="preserve">• </w:t>
      </w:r>
      <w:r>
        <w:t>La ausencia de GCP/checkpoints se formula como límite de exactitud absoluta, sin compensarla con una afirmación no verificable de alta precisión relativa.</w:t>
      </w:r>
    </w:p>
    <w:p>
      <w:pPr>
        <w:spacing w:before="240" w:after="80"/>
      </w:pPr>
      <w:r>
        <w:rPr>
          <w:rFonts w:ascii="Times New Roman" w:hAnsi="Times New Roman"/>
          <w:b/>
          <w:sz w:val="26"/>
        </w:rPr>
        <w:t>Datos o verificaciones aún necesarios antes de afirmar más</w:t>
      </w:r>
    </w:p>
    <w:p>
      <w:r>
        <w:rPr>
          <w:b/>
        </w:rPr>
        <w:t xml:space="preserve">Topografía: </w:t>
      </w:r>
      <w:r>
        <w:t>Checkpoints/GCPs independientes si se desea informar exactitud vertical absoluta o desplazamiento topográfico.</w:t>
      </w:r>
    </w:p>
    <w:p>
      <w:r>
        <w:rPr>
          <w:b/>
        </w:rPr>
        <w:t xml:space="preserve">Campo: </w:t>
      </w:r>
      <w:r>
        <w:t>Cartografía geológica/geomorfológica del lineamento, materiales y cualquier marcador desplazado.</w:t>
      </w:r>
    </w:p>
    <w:p>
      <w:r>
        <w:rPr>
          <w:b/>
        </w:rPr>
        <w:t xml:space="preserve">SRT: </w:t>
      </w:r>
      <w:r>
        <w:t>Exportación nativa de coordenadas de rayos, hit counts y diagnóstico formal de resolución; líneas adicionales paralelas y ortogonales; evaluación de repetibilidad.</w:t>
      </w:r>
    </w:p>
    <w:p>
      <w:r>
        <w:rPr>
          <w:b/>
        </w:rPr>
        <w:t xml:space="preserve">Actividad: </w:t>
      </w:r>
      <w:r>
        <w:t>Trincheras paleosismológicas, fechas sobre marcadores adecuados y/o evidencia independiente de ruptura superficial.</w:t>
      </w:r>
    </w:p>
    <w:p>
      <w:r>
        <w:rPr>
          <w:b/>
        </w:rPr>
        <w:t xml:space="preserve">Amenaza: </w:t>
      </w:r>
      <w:r>
        <w:t>Modelo de fuente con geometría, actividad y segmentación verificadas antes de cualquier PSHA/PFHDA o escala de magnitud.</w:t>
      </w:r>
    </w:p>
    <w:p>
      <w:r>
        <w:rPr>
          <w:b/>
        </w:rPr>
        <w:t xml:space="preserve">Editorial: </w:t>
      </w:r>
      <w:r>
        <w:t>Comprobación manual de cada referencia, derechos/licencias de todas las figuras y adaptación final a la guía de la nueva revista objetivo.</w:t>
      </w:r>
    </w:p>
    <w:p>
      <w:pPr>
        <w:spacing w:before="240" w:after="80"/>
      </w:pPr>
      <w:r>
        <w:rPr>
          <w:rFonts w:ascii="Times New Roman" w:hAnsi="Times New Roman"/>
          <w:b/>
          <w:sz w:val="26"/>
        </w:rPr>
        <w:t>Archivos de evidencia usados</w:t>
      </w:r>
    </w:p>
    <w:p>
      <w:r>
        <w:t>Nube definitiva: NUBE_COMPLETA_FINAL_TERRENO_MICRORELIEVE_DEPURADO_UTM18S.laz (SHA-256 69106c3d56a8819a4603118a7042b082b6331894de0489e7cda7f2e31d5439b2). Nuevos controles: densidad_2m; datos/control_soporte_32_perfiles.csv; Figura_2a, Figura_2b y Figura_S1 del paquete porotoyacu_nube_definitiva_20260923. Los comentarios originales de revisores/coautores se conservan en los PDF de origen.</w:t>
      </w:r>
    </w:p>
    <w:sectPr w:rsidR="00FC693F" w:rsidRPr="0006063C" w:rsidSect="00034616">
      <w:pgSz w:w="11909" w:h="16834"/>
      <w:pgMar w:top="1138"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