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xin cảm ơnset_flextable_defaults TS TRần Công Thắng</w:t>
      </w:r>
    </w:p>
    <w:p>
      <w:pPr>
        <w:pStyle w:val="BodyText"/>
      </w:pPr>
      <w:r>
        <w:t xml:space="preserve">TP Hồ Chí Minh: 02:49 chiều, THỨ 4, NGÀY 21 THÁNG 5 NĂM 2025</w:t>
      </w:r>
    </w:p>
    <w:bookmarkStart w:id="23" w:name="mã-lệnh"/>
    <w:p>
      <w:pPr>
        <w:pStyle w:val="Heading1"/>
      </w:pPr>
      <w:r>
        <w:t xml:space="preserve">MÃ LỆNH</w:t>
      </w:r>
    </w:p>
    <w:p>
      <w:pPr>
        <w:pStyle w:val="FirstParagraph"/>
      </w:pPr>
      <w:r>
        <w:t xml:space="preserve">2105 mac khoa cao cấp làm việc branch liem_feature</w:t>
      </w:r>
      <w:r>
        <w:t xml:space="preserve"> </w:t>
      </w:r>
      <w:r>
        <w:t xml:space="preserve">-sửa lần 2 tại sao không pull request (đã xử lý)</w:t>
      </w:r>
      <w:r>
        <w:t xml:space="preserve"> </w:t>
      </w:r>
      <w:r>
        <w:t xml:space="preserve">- own room liem feature</w:t>
      </w:r>
    </w:p>
    <w:p>
      <w:pPr>
        <w:pStyle w:val="BodyText"/>
      </w:pPr>
      <w:r>
        <w:t xml:space="preserve">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 (≤45 và &gt;45)</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fast =</w:t>
      </w:r>
      <w:r>
        <w:rPr>
          <w:rStyle w:val="NormalTok"/>
        </w:rPr>
        <w:t xml:space="preserve"> </w:t>
      </w:r>
      <w:r>
        <w:rPr>
          <w:rStyle w:val="FunctionTok"/>
        </w:rPr>
        <w:t xml:space="preserve">as.integer</w:t>
      </w:r>
      <w:r>
        <w:rPr>
          <w:rStyle w:val="NormalTok"/>
        </w:rPr>
        <w:t xml:space="preserve">(FAST),</w:t>
      </w:r>
      <w:r>
        <w:br/>
      </w:r>
      <w:r>
        <w:br/>
      </w:r>
      <w:r>
        <w:rPr>
          <w:rStyle w:val="NormalTok"/>
        </w:rPr>
        <w:t xml:space="preserve">    </w:t>
      </w:r>
      <w:r>
        <w:rPr>
          <w:rStyle w:val="CommentTok"/>
        </w:rPr>
        <w:t xml:space="preserve"># 🧠 PHÂN NHÓM 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rPr>
          <w:rStyle w:val="NormalTok"/>
        </w:rPr>
        <w:t xml:space="preserve">)),</w:t>
      </w:r>
      <w:r>
        <w:br/>
      </w:r>
      <w:r>
        <w:br/>
      </w:r>
      <w:r>
        <w:rPr>
          <w:rStyle w:val="NormalTok"/>
        </w:rPr>
        <w:t xml:space="preserve">    </w:t>
      </w:r>
      <w:r>
        <w:rPr>
          <w:rStyle w:val="CommentTok"/>
        </w:rPr>
        <w:t xml:space="preserve"># 🧠 GIAI ĐOẠN FAST</w:t>
      </w:r>
      <w:r>
        <w:br/>
      </w:r>
      <w:r>
        <w:rPr>
          <w:rStyle w:val="NormalTok"/>
        </w:rPr>
        <w:t xml:space="preserve">    </w:t>
      </w:r>
      <w:r>
        <w:rPr>
          <w:rStyle w:val="AttributeTok"/>
        </w:rPr>
        <w:t xml:space="preserve">fast_stage =</w:t>
      </w:r>
      <w:r>
        <w:rPr>
          <w:rStyle w:val="NormalTok"/>
        </w:rPr>
        <w:t xml:space="preserve"> </w:t>
      </w:r>
      <w:r>
        <w:rPr>
          <w:rStyle w:val="FunctionTok"/>
        </w:rPr>
        <w:t xml:space="preserve">case_when</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w:t>
      </w:r>
      <w:r>
        <w:br/>
      </w:r>
      <w:r>
        <w:rPr>
          <w:rStyle w:val="NormalTok"/>
        </w:rPr>
        <w:t xml:space="preserve">      fast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"Suy giảm nhận thức nhẹ"</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fast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fast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w:t>
      </w:r>
      <w:r>
        <w:br/>
      </w:r>
      <w:r>
        <w:rPr>
          <w:rStyle w:val="NormalTok"/>
        </w:rPr>
        <w:t xml:space="preserve">                        </w:t>
      </w:r>
      <w:r>
        <w:rPr>
          <w:rStyle w:val="StringTok"/>
        </w:rPr>
        <w:t xml:space="preserve">"Suy giảm nhận thức nhẹ"</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br/>
      </w:r>
      <w:r>
        <w:rPr>
          <w:rStyle w:val="NormalTok"/>
        </w:rPr>
        <w:t xml:space="preserve">    </w:t>
      </w:r>
      <w:r>
        <w:rPr>
          <w:rStyle w:val="CommentTok"/>
        </w:rPr>
        <w:t xml:space="preserve"># 🧑‍⚕️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51</w:t>
      </w:r>
      <w:r>
        <w:rPr>
          <w:rStyle w:val="NormalTok"/>
        </w:rPr>
        <w:t xml:space="preserve"> </w:t>
      </w:r>
      <w:r>
        <w:rPr>
          <w:rStyle w:val="SpecialCharTok"/>
        </w:rPr>
        <w:t xml:space="preserve">&amp;</w:t>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THU NHẬP</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`fast = as.integer(FAST)`.</w:t>
      </w:r>
      <w:r>
        <w:br/>
      </w:r>
      <w:r>
        <w:rPr>
          <w:rStyle w:val="VerbatimChar"/>
        </w:rPr>
        <w:t xml:space="preserve">Caused by warning:</w:t>
      </w:r>
      <w:r>
        <w:br/>
      </w:r>
      <w:r>
        <w:rPr>
          <w:rStyle w:val="VerbatimChar"/>
        </w:rPr>
        <w:t xml:space="preserve">! NAs introduced by coercion</w:t>
      </w:r>
    </w:p>
    <w:bookmarkStart w:id="20"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"**Bàn luận:** 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rPr>
          <w:b/>
          <w:bCs/>
        </w:rPr>
        <w:t xml:space="preserve">Bàn luận:</w:t>
      </w:r>
      <w:r>
        <w:t xml:space="preserve"> </w:t>
      </w: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0"/>
    <w:bookmarkStart w:id="22" w:name="đặc-điểm-mmse"/>
    <w:p>
      <w:pPr>
        <w:pStyle w:val="Heading2"/>
      </w:pPr>
      <w:r>
        <w:t xml:space="preserve">Đặc điểm MMSE</w:t>
      </w:r>
    </w:p>
    <w:bookmarkStart w:id="21" w:name="đặc-điểm-phân-chia-fast"/>
    <w:p>
      <w:pPr>
        <w:pStyle w:val="Heading3"/>
      </w:pPr>
      <w:r>
        <w:t xml:space="preserve">Đặc điểm phân chia FAST</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1"/>
    <w:bookmarkEnd w:id="22"/>
    <w:bookmarkEnd w:id="23"/>
    <w:bookmarkStart w:id="24"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24"/>
    <w:bookmarkStart w:id="34" w:name="kết-quả-nghiên-cứu"/>
    <w:p>
      <w:pPr>
        <w:pStyle w:val="Heading1"/>
      </w:pPr>
      <w:r>
        <w:t xml:space="preserve">KẾT QUẢ NGHIÊN CỨU</w:t>
      </w:r>
    </w:p>
    <w:bookmarkStart w:id="26"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25"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25"/>
    <w:bookmarkEnd w:id="26"/>
    <w:bookmarkStart w:id="32"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0"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SourceCode"/>
      </w:pPr>
      <w:r>
        <w:rPr>
          <w:rStyle w:val="VerbatimChar"/>
        </w:rPr>
        <w:t xml:space="preserve">Warning in grid.Call(C_stringMetric, as.graphicsAnnot(x$label)): font family</w:t>
      </w:r>
      <w:r>
        <w:br/>
      </w:r>
      <w:r>
        <w:rPr>
          <w:rStyle w:val="VerbatimChar"/>
        </w:rPr>
        <w:t xml:space="preserve">not found in Windows font database</w:t>
      </w:r>
      <w:r>
        <w:br/>
      </w:r>
      <w:r>
        <w:rPr>
          <w:rStyle w:val="VerbatimChar"/>
        </w:rPr>
        <w:t xml:space="preserve">Warning in grid.Call(C_stringMetric, as.graphicsAnnot(x$label)): font family</w:t>
      </w:r>
      <w:r>
        <w:br/>
      </w:r>
      <w:r>
        <w:rPr>
          <w:rStyle w:val="VerbatimChar"/>
        </w:rPr>
        <w:t xml:space="preserve">not found in Windows font database</w:t>
      </w:r>
    </w:p>
    <w:p>
      <w:pPr>
        <w:pStyle w:val="SourceCode"/>
      </w:pP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r>
        <w:br/>
      </w:r>
      <w:r>
        <w:rPr>
          <w:rStyle w:val="VerbatimChar"/>
        </w:rPr>
        <w:t xml:space="preserve">Warning in grid.Call.graphics(C_text, as.graphicsAnnot(x$label), x$x, x$y, :</w:t>
      </w:r>
      <w:r>
        <w:br/>
      </w:r>
      <w:r>
        <w:rPr>
          <w:rStyle w:val="VerbatimChar"/>
        </w:rPr>
        <w:t xml:space="preserve">font family not found in Windows font database</w:t>
      </w:r>
    </w:p>
    <w:p>
      <w:pPr>
        <w:pStyle w:val="FirstParagraph"/>
      </w:pPr>
      <w:r>
        <w:drawing>
          <wp:inline>
            <wp:extent cx="4587290" cy="2834945"/>
            <wp:effectExtent b="0" l="0" r="0" t="0"/>
            <wp:docPr descr="" title="" id="28" name="Picture"/>
            <a:graphic>
              <a:graphicData uri="http://schemas.openxmlformats.org/drawingml/2006/picture">
                <pic:pic>
                  <pic:nvPicPr>
                    <pic:cNvPr descr="bs_loan_quarto_output_files/figure-docx/unnamed-chunk-9-1.png" id="29" name="Picture"/>
                    <pic:cNvPicPr>
                      <a:picLocks noChangeArrowheads="1" noChangeAspect="1"/>
                    </pic:cNvPicPr>
                  </pic:nvPicPr>
                  <pic:blipFill>
                    <a:blip r:embed="rId27"/>
                    <a:stretch>
                      <a:fillRect/>
                    </a:stretch>
                  </pic:blipFill>
                  <pic:spPr bwMode="auto">
                    <a:xfrm>
                      <a:off x="0" y="0"/>
                      <a:ext cx="4587290" cy="2834945"/>
                    </a:xfrm>
                    <a:prstGeom prst="rect">
                      <a:avLst/>
                    </a:prstGeom>
                    <a:noFill/>
                    <a:ln w="9525">
                      <a:noFill/>
                      <a:headEnd/>
                      <a:tailEnd/>
                    </a:ln>
                  </pic:spPr>
                </pic:pic>
              </a:graphicData>
            </a:graphic>
          </wp:inline>
        </w:drawing>
      </w:r>
    </w:p>
    <w:bookmarkEnd w:id="30"/>
    <w:bookmarkStart w:id="31"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1"/>
    <w:bookmarkEnd w:id="32"/>
    <w:bookmarkStart w:id="33" w:name="đặc-điểm-fast"/>
    <w:p>
      <w:pPr>
        <w:pStyle w:val="Heading2"/>
      </w:pPr>
      <w:r>
        <w:t xml:space="preserve">Đặc điểm FAST</w:t>
      </w:r>
    </w:p>
    <w:bookmarkEnd w:id="33"/>
    <w:bookmarkEnd w:id="34"/>
    <w:bookmarkStart w:id="85" w:name="bàn-luận"/>
    <w:p>
      <w:pPr>
        <w:pStyle w:val="Heading1"/>
      </w:pPr>
      <w:r>
        <w:t xml:space="preserve">BÀN LUẬN</w:t>
      </w:r>
    </w:p>
    <w:bookmarkStart w:id="35" w:name="Xbc98334d05232a6fd61f787bb3f620a55d13222"/>
    <w:p>
      <w:pPr>
        <w:pStyle w:val="Heading5"/>
      </w:pPr>
      <w:r>
        <w:rPr>
          <w:b/>
          <w:bCs/>
        </w:rPr>
        <w:t xml:space="preserve">Bàn luận:</w:t>
      </w:r>
      <w:r>
        <w:t xml:space="preserve"> </w:t>
      </w: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35"/>
    <w:bookmarkStart w:id="40" w:name="X6404e360204dd199cfa07251ec1fbc837261d49"/>
    <w:p>
      <w:pPr>
        <w:pStyle w:val="Heading2"/>
      </w:pPr>
      <w:r>
        <w:t xml:space="preserve">Bàn luận đặc điểm nhân khẩu học người bệnh</w:t>
      </w:r>
    </w:p>
    <w:p>
      <w:pPr>
        <w:pStyle w:val="FirstParagraph"/>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bookmarkStart w:id="36" w:name="tuổi-cao-yếu-tố-nguy-cơ-hàng-đầu"/>
    <w:p>
      <w:pPr>
        <w:pStyle w:val="Heading3"/>
      </w:pPr>
      <w:r>
        <w:t xml:space="preserve">1. Tuổi cao – yếu tố nguy cơ hàng đầu</w:t>
      </w:r>
    </w:p>
    <w:p>
      <w:pPr>
        <w:pStyle w:val="FirstParagraph"/>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bookmarkEnd w:id="36"/>
    <w:bookmarkStart w:id="37" w:name="phân-bố-giới-tính-ưu-thế-của-nữ-giới"/>
    <w:p>
      <w:pPr>
        <w:pStyle w:val="Heading3"/>
      </w:pPr>
      <w:r>
        <w:t xml:space="preserve">2. Phân bố giới tính – ưu thế của nữ giới</w:t>
      </w:r>
    </w:p>
    <w:p>
      <w:pPr>
        <w:pStyle w:val="FirstParagraph"/>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bookmarkEnd w:id="37"/>
    <w:bookmarkStart w:id="38" w:name="hàm-ý-lâm-sàng-và-quản-lý"/>
    <w:p>
      <w:pPr>
        <w:pStyle w:val="Heading3"/>
      </w:pPr>
      <w:r>
        <w:t xml:space="preserve">3. Hàm ý lâm sàng và quản lý</w:t>
      </w:r>
    </w:p>
    <w:p>
      <w:pPr>
        <w:pStyle w:val="FirstParagraph"/>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End w:id="38"/>
    <w:bookmarkStart w:id="39" w:name="bàn-luận-mmse"/>
    <w:p>
      <w:pPr>
        <w:pStyle w:val="Heading3"/>
      </w:pPr>
      <w:r>
        <w:t xml:space="preserve">Bàn luận mmse</w:t>
      </w:r>
    </w:p>
    <w:p>
      <w:pPr>
        <w:pStyle w:val="FirstParagraph"/>
      </w:pPr>
      <w:r>
        <w:rPr>
          <w:b/>
          <w:bCs/>
        </w:rPr>
        <w:t xml:space="preserve">Bàn luận:</w:t>
      </w:r>
      <w:r>
        <w:t xml:space="preserve"> </w:t>
      </w: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bookmarkEnd w:id="39"/>
    <w:bookmarkEnd w:id="40"/>
    <w:bookmarkStart w:id="46" w:name="bàn-luận-đặc-điểm-điểm-mmse"/>
    <w:p>
      <w:pPr>
        <w:pStyle w:val="Heading2"/>
      </w:pPr>
      <w:r>
        <w:rPr>
          <w:b/>
          <w:bCs/>
        </w:rPr>
        <w:t xml:space="preserve">Bàn luận đặc điểm điểm MMSE</w:t>
      </w:r>
    </w:p>
    <w:p>
      <w:pPr>
        <w:pStyle w:val="FirstParagraph"/>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 [</w:t>
      </w:r>
      <w:r>
        <w:t xml:space="preserve">[12]</w:t>
      </w:r>
      <w:r>
        <w:t xml:space="preserve">;</w:t>
      </w:r>
      <w:r>
        <w:t xml:space="preserve"> </w:t>
      </w:r>
      <w:r>
        <w:t xml:space="preserve">[13]</w:t>
      </w:r>
      <w:r>
        <w:t xml:space="preserve">].</w:t>
      </w:r>
    </w:p>
    <w:bookmarkStart w:id="41" w:name="ý-nghĩa-mô-tả-thống-kê-mmse-theo-nhóm"/>
    <w:p>
      <w:pPr>
        <w:pStyle w:val="Heading3"/>
      </w:pPr>
      <w:r>
        <w:rPr>
          <w:b/>
          <w:bCs/>
        </w:rPr>
        <w:t xml:space="preserve">Ý nghĩa mô tả thống kê MMSE theo nhóm</w:t>
      </w:r>
    </w:p>
    <w:p>
      <w:pPr>
        <w:pStyle w:val="FirstParagraph"/>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 [</w:t>
      </w:r>
      <w:r>
        <w:t xml:space="preserve">[14]</w:t>
      </w:r>
      <w:r>
        <w:t xml:space="preserve">;</w:t>
      </w:r>
      <w:r>
        <w:t xml:space="preserve"> </w:t>
      </w:r>
      <w:r>
        <w:t xml:space="preserve">[15]</w:t>
      </w:r>
      <w:r>
        <w:t xml:space="preserve">].</w:t>
      </w:r>
    </w:p>
    <w:bookmarkEnd w:id="41"/>
    <w:bookmarkStart w:id="42" w:name="giá-trị-chẩn-đoán-và-theo-dõi-của-mmse"/>
    <w:p>
      <w:pPr>
        <w:pStyle w:val="Heading3"/>
      </w:pPr>
      <w:r>
        <w:rPr>
          <w:b/>
          <w:bCs/>
        </w:rPr>
        <w:t xml:space="preserve">Giá trị chẩn đoán và theo dõi của MMSE</w:t>
      </w:r>
    </w:p>
    <w:p>
      <w:pPr>
        <w:pStyle w:val="FirstParagraph"/>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 [</w:t>
      </w:r>
      <w:r>
        <w:t xml:space="preserve">[17]</w:t>
      </w:r>
      <w:r>
        <w:t xml:space="preserve">;</w:t>
      </w:r>
      <w:r>
        <w:t xml:space="preserve"> </w:t>
      </w:r>
      <w:r>
        <w:t xml:space="preserve">[18]</w:t>
      </w:r>
      <w:r>
        <w:t xml:space="preserve">].</w:t>
      </w:r>
    </w:p>
    <w:bookmarkEnd w:id="42"/>
    <w:bookmarkStart w:id="43" w:name="so-sánh-với-các-tài-liệu-đã-công-bố"/>
    <w:p>
      <w:pPr>
        <w:pStyle w:val="Heading3"/>
      </w:pPr>
      <w:r>
        <w:rPr>
          <w:b/>
          <w:bCs/>
        </w:rPr>
        <w:t xml:space="preserve">So sánh với các tài liệu đã công bố</w:t>
      </w:r>
    </w:p>
    <w:p>
      <w:pPr>
        <w:pStyle w:val="FirstParagraph"/>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bookmarkEnd w:id="43"/>
    <w:bookmarkStart w:id="44" w:name="tổng-kết-và-khuyến-nghị"/>
    <w:p>
      <w:pPr>
        <w:pStyle w:val="Heading3"/>
      </w:pPr>
      <w:r>
        <w:rPr>
          <w:b/>
          <w:bCs/>
        </w:rPr>
        <w:t xml:space="preserve">Tổng kết và khuyến nghị</w:t>
      </w:r>
    </w:p>
    <w:p>
      <w:pPr>
        <w:pStyle w:val="FirstParagraph"/>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44"/>
    <w:bookmarkStart w:id="45" w:name="bàn-luận-fast"/>
    <w:p>
      <w:pPr>
        <w:pStyle w:val="Heading3"/>
      </w:pPr>
      <w:r>
        <w:t xml:space="preserve">Bàn luận fast</w:t>
      </w:r>
    </w:p>
    <w:bookmarkEnd w:id="45"/>
    <w:bookmarkEnd w:id="46"/>
    <w:bookmarkStart w:id="84" w:name="tài-liệu-tham-khảo"/>
    <w:p>
      <w:pPr>
        <w:pStyle w:val="Heading2"/>
      </w:pPr>
      <w:r>
        <w:t xml:space="preserve">Tài liệu tham khảo</w:t>
      </w:r>
    </w:p>
    <w:p>
      <w:pPr>
        <w:pStyle w:val="FirstParagraph"/>
      </w:pPr>
      <w:r>
        <w:t xml:space="preserve">Kết quả nghiên cứu cho thấy cả hai nhóm can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 phổ biến rộng rãi kiến thức về bệnh lý MNKTT trong cộng đồng để phòng ngừa và điều trị sớm.</w:t>
      </w:r>
      <w:r>
        <w:t xml:space="preserve"> </w:t>
      </w:r>
      <w:r>
        <w:t xml:space="preserve">2. Có thể áp dụng rộng rãi hơn phương pháp điều trị nhĩ châm kết hợp xoa bóp bấm huyệt trong điều trị bệnh lý MNKTT.</w:t>
      </w:r>
      <w:r>
        <w:t xml:space="preserve"> </w:t>
      </w:r>
      <w:r>
        <w:t xml:space="preserve">3. Cần mở rộng nghiên cứu trên số lượng bệnh nhân lớn hơn, thời gian nghiên cứu dài hơn để có thể đánh giá một cách hoàn chỉnh về phương pháp điều trị nhĩ châm kết hợp xoa bóp bấm huyệt trong điều trị bệnh lý MNKTT, các yếu tố liên quan cũng như theo dõi các tác dụng không muốn của phương pháp điều trị trên các chỉ số lâm sàng và cận lâm sàng.</w:t>
      </w:r>
    </w:p>
    <w:bookmarkStart w:id="83" w:name="section"/>
    <w:p>
      <w:pPr>
        <w:pStyle w:val="Heading3"/>
      </w:pPr>
    </w:p>
    <w:p>
      <w:pPr>
        <w:pStyle w:val="CANGIUADAM14ONE"/>
      </w:pPr>
      <w:r>
        <w:t xml:space="preserve">TÀI LIỆU THAM KHẢO</w:t>
      </w:r>
    </w:p>
    <w:bookmarkStart w:id="82" w:name="refs"/>
    <w:bookmarkStart w:id="48"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47">
        <w:r>
          <w:rPr>
            <w:rStyle w:val="Hyperlink"/>
          </w:rPr>
          <w:t xml:space="preserve">https://www.who.int/publications/i/item/9789240033245</w:t>
        </w:r>
      </w:hyperlink>
    </w:p>
    <w:bookmarkEnd w:id="48"/>
    <w:bookmarkStart w:id="50"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49">
        <w:r>
          <w:rPr>
            <w:rStyle w:val="Hyperlink"/>
          </w:rPr>
          <w:t xml:space="preserve">10.1016/S2468-2667(21)00249-8</w:t>
        </w:r>
      </w:hyperlink>
    </w:p>
    <w:bookmarkEnd w:id="50"/>
    <w:bookmarkStart w:id="51"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51"/>
    <w:bookmarkStart w:id="53"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52">
        <w:r>
          <w:rPr>
            <w:rStyle w:val="Hyperlink"/>
          </w:rPr>
          <w:t xml:space="preserve">10.1016/S0140-6736(20)30367-6</w:t>
        </w:r>
      </w:hyperlink>
    </w:p>
    <w:bookmarkEnd w:id="53"/>
    <w:bookmarkStart w:id="55"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54">
        <w:r>
          <w:rPr>
            <w:rStyle w:val="Hyperlink"/>
          </w:rPr>
          <w:t xml:space="preserve">10.1016/j.archger.2020.104252</w:t>
        </w:r>
      </w:hyperlink>
    </w:p>
    <w:bookmarkEnd w:id="55"/>
    <w:bookmarkStart w:id="57"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56">
        <w:r>
          <w:rPr>
            <w:rStyle w:val="Hyperlink"/>
          </w:rPr>
          <w:t xml:space="preserve">10.1016/j.jalz.2012.11.007</w:t>
        </w:r>
      </w:hyperlink>
    </w:p>
    <w:bookmarkEnd w:id="57"/>
    <w:bookmarkStart w:id="59"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58">
        <w:r>
          <w:rPr>
            <w:rStyle w:val="Hyperlink"/>
          </w:rPr>
          <w:t xml:space="preserve">10.1038/s41582-018-0032-9</w:t>
        </w:r>
      </w:hyperlink>
    </w:p>
    <w:bookmarkEnd w:id="59"/>
    <w:bookmarkStart w:id="61"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60">
        <w:r>
          <w:rPr>
            <w:rStyle w:val="Hyperlink"/>
          </w:rPr>
          <w:t xml:space="preserve">10.1097/00001756-199905140-00012</w:t>
        </w:r>
      </w:hyperlink>
    </w:p>
    <w:bookmarkEnd w:id="61"/>
    <w:bookmarkStart w:id="62"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62"/>
    <w:bookmarkStart w:id="63"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63"/>
    <w:bookmarkStart w:id="65"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64">
        <w:r>
          <w:rPr>
            <w:rStyle w:val="Hyperlink"/>
          </w:rPr>
          <w:t xml:space="preserve">10.1016/0022-3956(75)90026-6</w:t>
        </w:r>
      </w:hyperlink>
    </w:p>
    <w:bookmarkEnd w:id="65"/>
    <w:bookmarkStart w:id="67"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66">
        <w:r>
          <w:rPr>
            <w:rStyle w:val="Hyperlink"/>
          </w:rPr>
          <w:t xml:space="preserve">10.1192/bjp.140.6.566</w:t>
        </w:r>
      </w:hyperlink>
    </w:p>
    <w:bookmarkEnd w:id="67"/>
    <w:bookmarkStart w:id="69"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68">
        <w:r>
          <w:rPr>
            <w:rStyle w:val="Hyperlink"/>
          </w:rPr>
          <w:t xml:space="preserve">10.1176/ajp.141.11.1356</w:t>
        </w:r>
      </w:hyperlink>
    </w:p>
    <w:bookmarkEnd w:id="69"/>
    <w:bookmarkStart w:id="71"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70">
        <w:r>
          <w:rPr>
            <w:rStyle w:val="Hyperlink"/>
          </w:rPr>
          <w:t xml:space="preserve">10.1111/j.1532-5415.2005.53221.x</w:t>
        </w:r>
      </w:hyperlink>
    </w:p>
    <w:bookmarkEnd w:id="71"/>
    <w:bookmarkStart w:id="73"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72">
        <w:r>
          <w:rPr>
            <w:rStyle w:val="Hyperlink"/>
          </w:rPr>
          <w:t xml:space="preserve">10.1111/j.1365-2796.2004.01388.x</w:t>
        </w:r>
      </w:hyperlink>
    </w:p>
    <w:bookmarkEnd w:id="73"/>
    <w:bookmarkStart w:id="75"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74">
        <w:r>
          <w:rPr>
            <w:rStyle w:val="Hyperlink"/>
          </w:rPr>
          <w:t xml:space="preserve">10.1016/S1474-4422(09)70299-6</w:t>
        </w:r>
      </w:hyperlink>
    </w:p>
    <w:bookmarkEnd w:id="75"/>
    <w:bookmarkStart w:id="77"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76">
        <w:r>
          <w:rPr>
            <w:rStyle w:val="Hyperlink"/>
          </w:rPr>
          <w:t xml:space="preserve">10.1111/j.1365-2796.2004.01380.x</w:t>
        </w:r>
      </w:hyperlink>
    </w:p>
    <w:bookmarkEnd w:id="77"/>
    <w:bookmarkStart w:id="78"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78"/>
    <w:bookmarkStart w:id="80"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79">
        <w:r>
          <w:rPr>
            <w:rStyle w:val="Hyperlink"/>
          </w:rPr>
          <w:t xml:space="preserve">10.1016/S0140-6736(06)68542-5</w:t>
        </w:r>
      </w:hyperlink>
    </w:p>
    <w:bookmarkEnd w:id="80"/>
    <w:bookmarkStart w:id="81"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81"/>
    <w:bookmarkEnd w:id="82"/>
    <w:bookmarkEnd w:id="83"/>
    <w:bookmarkEnd w:id="84"/>
    <w:bookmarkEnd w:id="85"/>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7" Target="media/rId27.png" /><Relationship Type="http://schemas.openxmlformats.org/officeDocument/2006/relationships/hyperlink" Id="rId64" Target="https://doi.org/10.1016/0022-3956(75)90026-6" TargetMode="External" /><Relationship Type="http://schemas.openxmlformats.org/officeDocument/2006/relationships/hyperlink" Id="rId79" Target="https://doi.org/10.1016/S0140-6736(06)68542-5" TargetMode="External" /><Relationship Type="http://schemas.openxmlformats.org/officeDocument/2006/relationships/hyperlink" Id="rId52" Target="https://doi.org/10.1016/S0140-6736(20)30367-6" TargetMode="External" /><Relationship Type="http://schemas.openxmlformats.org/officeDocument/2006/relationships/hyperlink" Id="rId74" Target="https://doi.org/10.1016/S1474-4422(09)70299-6" TargetMode="External" /><Relationship Type="http://schemas.openxmlformats.org/officeDocument/2006/relationships/hyperlink" Id="rId49" Target="https://doi.org/10.1016/S2468-2667(21)00249-8" TargetMode="External" /><Relationship Type="http://schemas.openxmlformats.org/officeDocument/2006/relationships/hyperlink" Id="rId54" Target="https://doi.org/10.1016/j.archger.2020.104252" TargetMode="External" /><Relationship Type="http://schemas.openxmlformats.org/officeDocument/2006/relationships/hyperlink" Id="rId56" Target="https://doi.org/10.1016/j.jalz.2012.11.007" TargetMode="External" /><Relationship Type="http://schemas.openxmlformats.org/officeDocument/2006/relationships/hyperlink" Id="rId58" Target="https://doi.org/10.1038/s41582-018-0032-9" TargetMode="External" /><Relationship Type="http://schemas.openxmlformats.org/officeDocument/2006/relationships/hyperlink" Id="rId60" Target="https://doi.org/10.1097/00001756-199905140-00012" TargetMode="External" /><Relationship Type="http://schemas.openxmlformats.org/officeDocument/2006/relationships/hyperlink" Id="rId76" Target="https://doi.org/10.1111/j.1365-2796.2004.01380.x" TargetMode="External" /><Relationship Type="http://schemas.openxmlformats.org/officeDocument/2006/relationships/hyperlink" Id="rId72" Target="https://doi.org/10.1111/j.1365-2796.2004.01388.x" TargetMode="External" /><Relationship Type="http://schemas.openxmlformats.org/officeDocument/2006/relationships/hyperlink" Id="rId70" Target="https://doi.org/10.1111/j.1532-5415.2005.53221.x" TargetMode="External" /><Relationship Type="http://schemas.openxmlformats.org/officeDocument/2006/relationships/hyperlink" Id="rId68" Target="https://doi.org/10.1176/ajp.141.11.1356" TargetMode="External" /><Relationship Type="http://schemas.openxmlformats.org/officeDocument/2006/relationships/hyperlink" Id="rId66" Target="https://doi.org/10.1192/bjp.140.6.566" TargetMode="External" /><Relationship Type="http://schemas.openxmlformats.org/officeDocument/2006/relationships/hyperlink" Id="rId47" Target="https://www.who.int/publications/i/item/9789240033245"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0022-3956(75)90026-6" TargetMode="External" /><Relationship Type="http://schemas.openxmlformats.org/officeDocument/2006/relationships/hyperlink" Id="rId79" Target="https://doi.org/10.1016/S0140-6736(06)68542-5" TargetMode="External" /><Relationship Type="http://schemas.openxmlformats.org/officeDocument/2006/relationships/hyperlink" Id="rId52" Target="https://doi.org/10.1016/S0140-6736(20)30367-6" TargetMode="External" /><Relationship Type="http://schemas.openxmlformats.org/officeDocument/2006/relationships/hyperlink" Id="rId74" Target="https://doi.org/10.1016/S1474-4422(09)70299-6" TargetMode="External" /><Relationship Type="http://schemas.openxmlformats.org/officeDocument/2006/relationships/hyperlink" Id="rId49" Target="https://doi.org/10.1016/S2468-2667(21)00249-8" TargetMode="External" /><Relationship Type="http://schemas.openxmlformats.org/officeDocument/2006/relationships/hyperlink" Id="rId54" Target="https://doi.org/10.1016/j.archger.2020.104252" TargetMode="External" /><Relationship Type="http://schemas.openxmlformats.org/officeDocument/2006/relationships/hyperlink" Id="rId56" Target="https://doi.org/10.1016/j.jalz.2012.11.007" TargetMode="External" /><Relationship Type="http://schemas.openxmlformats.org/officeDocument/2006/relationships/hyperlink" Id="rId58" Target="https://doi.org/10.1038/s41582-018-0032-9" TargetMode="External" /><Relationship Type="http://schemas.openxmlformats.org/officeDocument/2006/relationships/hyperlink" Id="rId60" Target="https://doi.org/10.1097/00001756-199905140-00012" TargetMode="External" /><Relationship Type="http://schemas.openxmlformats.org/officeDocument/2006/relationships/hyperlink" Id="rId76" Target="https://doi.org/10.1111/j.1365-2796.2004.01380.x" TargetMode="External" /><Relationship Type="http://schemas.openxmlformats.org/officeDocument/2006/relationships/hyperlink" Id="rId72" Target="https://doi.org/10.1111/j.1365-2796.2004.01388.x" TargetMode="External" /><Relationship Type="http://schemas.openxmlformats.org/officeDocument/2006/relationships/hyperlink" Id="rId70" Target="https://doi.org/10.1111/j.1532-5415.2005.53221.x" TargetMode="External" /><Relationship Type="http://schemas.openxmlformats.org/officeDocument/2006/relationships/hyperlink" Id="rId68" Target="https://doi.org/10.1176/ajp.141.11.1356" TargetMode="External" /><Relationship Type="http://schemas.openxmlformats.org/officeDocument/2006/relationships/hyperlink" Id="rId66" Target="https://doi.org/10.1192/bjp.140.6.566" TargetMode="External" /><Relationship Type="http://schemas.openxmlformats.org/officeDocument/2006/relationships/hyperlink" Id="rId47" Target="https://www.who.int/publications/i/item/97892400332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2025-05-21T07:49:48Z</dcterms:created>
  <dcterms:modified xsi:type="dcterms:W3CDTF">2025-05-21T07:49:48Z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