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0.png" ContentType="image/png"/>
  <Override PartName="/word/media/rId110.png" ContentType="image/png"/>
  <Override PartName="/word/media/rId76.png" ContentType="image/png"/>
  <Override PartName="/word/media/rId85.png" ContentType="image/png"/>
  <Override PartName="/word/media/rId94.png" ContentType="image/png"/>
  <Override PartName="/word/media/rId47.png" ContentType="image/png"/>
  <Override PartName="/word/media/rId54.png" ContentType="image/png"/>
  <Override PartName="/word/media/rId62.png" ContentType="image/png"/>
  <Override PartName="/word/media/rId6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00FF00"/>
        </w:rPr>
        <w:t xml:space="preserve">Tôi xin chân thành cảm ơn Bạn bè vì đã hết lòng giúp đỡ, động viên.</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Life is what happens when you’re busy making other plans. – John Lennon, Do not dwell in the past, do not dream of the future, concentrate the mind on the present moment. – Buddha</w:t>
      </w:r>
    </w:p>
    <w:p>
      <w:r>
        <w:br/>
      </w:r>
    </w:p>
    <w:p>
      <w:pPr>
        <w:pStyle w:val="BodyText"/>
      </w:pPr>
      <w:r>
        <w:t xml:space="preserve">TP Hồ Chí Minh: 07:32 chiều, THỨ 2, NGÀY 12 THÁNG 5 NĂM 2025</w:t>
      </w:r>
    </w:p>
    <w:p>
      <w:pPr>
        <w:pStyle w:val="CANGIUADAM14ONE"/>
      </w:pPr>
      <w:r>
        <w:t xml:space="preserve">ĐẶT VẤN ĐỀ</w:t>
      </w:r>
    </w:p>
    <w:p>
      <w:pPr>
        <w:pStyle w:val="BodyText"/>
      </w:pPr>
      <w:r>
        <w:t xml:space="preserve">Github thật tuyệt</w:t>
      </w:r>
      <w:r>
        <w:t xml:space="preserve"> </w:t>
      </w:r>
      <w:r>
        <w:t xml:space="preserve">Sa sút trí tuệ (SSTT) là một trong những vấn đề y tế – xã hội nghiêm trọng nhất hiện nay,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Start w:id="37" w:name="tổng-quang-tài-liệu"/>
    <w:p>
      <w:pPr>
        <w:pStyle w:val="Heading1"/>
      </w:pPr>
      <w:r>
        <w:t xml:space="preserve">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 Ngược lại, sa sút trí tuệ là hội chứng tiến triển mạn tính, trong đó sự suy giảm nhận thức đủ mức độ để ảnh hưởng nghiêm trọng đến khả năng tự chăm sóc, nghề nghiệp và chức năng xã hội của người bệnh</w:t>
      </w:r>
      <w:r>
        <w:t xml:space="preserve"> </w:t>
      </w:r>
      <w:r>
        <w:t xml:space="preserve">[4]</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[5]</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[6]</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[7]</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[8]</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[4]</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[9]</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[10]</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[11]</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[12]</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[13]</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[14]</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5"/>
    <w:bookmarkEnd w:id="36"/>
    <w:bookmarkEnd w:id="37"/>
    <w:bookmarkStart w:id="46" w:name="đối-tượng-và-phương-pháp-nghiên-cứu"/>
    <w:p>
      <w:pPr>
        <w:pStyle w:val="Heading1"/>
      </w:pPr>
      <w:r>
        <w:t xml:space="preserve">ĐỐI TƯỢNG VÀ PHƯƠNG PHÁP NGHIÊN CỨU</w:t>
      </w:r>
    </w:p>
    <w:bookmarkStart w:id="38"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8"/>
    <w:bookmarkStart w:id="41"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9"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9"/>
    <w:bookmarkStart w:id="40"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0"/>
    <w:bookmarkEnd w:id="41"/>
    <w:bookmarkStart w:id="43"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2"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2"/>
    <w:bookmarkEnd w:id="43"/>
    <w:bookmarkStart w:id="45"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4" w:name="đạo-đức-trong-nghiên-cứu"/>
    <w:p>
      <w:pPr>
        <w:pStyle w:val="Heading3"/>
      </w:pPr>
      <w:r>
        <w:t xml:space="preserve">Đạo đức trong nghiên cứu</w:t>
      </w:r>
    </w:p>
    <w:bookmarkEnd w:id="44"/>
    <w:bookmarkEnd w:id="45"/>
    <w:bookmarkEnd w:id="46"/>
    <w:bookmarkStart w:id="117"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91" w:name="dac-diem-kq"/>
    <w:p>
      <w:pPr>
        <w:pStyle w:val="Heading2"/>
      </w:pPr>
      <w:r>
        <w:t xml:space="preserve">Đặc điểm mẫu của nghiên cứu</w:t>
      </w:r>
    </w:p>
    <w:bookmarkStart w:id="60" w:name="đặc-điểm-theo-tuổi-nhà-nhóm-tuôi"/>
    <w:p>
      <w:pPr>
        <w:pStyle w:val="Heading3"/>
      </w:pPr>
      <w:r>
        <w:t xml:space="preserve">Đặc điểm theo tuổi nhà nhóm tuôi</w:t>
      </w:r>
    </w:p>
    <w:bookmarkStart w:id="52"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0"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8" name="Picture"/>
            <a:graphic>
              <a:graphicData uri="http://schemas.openxmlformats.org/drawingml/2006/picture">
                <pic:pic>
                  <pic:nvPicPr>
                    <pic:cNvPr descr="sstt25_dtcs_quato_words_output_files/figure-docx/unnamed-chunk-5-1.png" id="49" name="Picture"/>
                    <pic:cNvPicPr>
                      <a:picLocks noChangeArrowheads="1" noChangeAspect="1"/>
                    </pic:cNvPicPr>
                  </pic:nvPicPr>
                  <pic:blipFill>
                    <a:blip r:embed="rId47"/>
                    <a:stretch>
                      <a:fillRect/>
                    </a:stretch>
                  </pic:blipFill>
                  <pic:spPr bwMode="auto">
                    <a:xfrm>
                      <a:off x="0" y="0"/>
                      <a:ext cx="5575300" cy="3445535"/>
                    </a:xfrm>
                    <a:prstGeom prst="rect">
                      <a:avLst/>
                    </a:prstGeom>
                    <a:noFill/>
                    <a:ln w="9525">
                      <a:noFill/>
                      <a:headEnd/>
                      <a:tailEnd/>
                    </a:ln>
                  </pic:spPr>
                </pic:pic>
              </a:graphicData>
            </a:graphic>
          </wp:inline>
        </w:drawing>
      </w:r>
    </w:p>
    <w:bookmarkEnd w:id="50"/>
    <w:bookmarkStart w:id="51" w:name="Xc903ae7496177939d879defa5b6b7a72b1e682a"/>
    <w:p>
      <w:pPr>
        <w:pStyle w:val="Heading5"/>
      </w:pPr>
      <w:r>
        <w:t xml:space="preserve">Biểu đồ hộp cho thấy sự khác biệt trong phân bố tuổi giữa hai nhóm nhận thức.</w:t>
      </w:r>
    </w:p>
    <w:bookmarkEnd w:id="51"/>
    <w:bookmarkEnd w:id="52"/>
    <w:bookmarkStart w:id="59"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3"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3"/>
        </w:tc>
      </w:tr>
    </w:tbl>
    <w:bookmarkStart w:id="57"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5" name="Picture"/>
            <a:graphic>
              <a:graphicData uri="http://schemas.openxmlformats.org/drawingml/2006/picture">
                <pic:pic>
                  <pic:nvPicPr>
                    <pic:cNvPr descr="sstt25_dtcs_quato_words_output_files/figure-docx/unnamed-chunk-6-1.png" id="56" name="Picture"/>
                    <pic:cNvPicPr>
                      <a:picLocks noChangeArrowheads="1" noChangeAspect="1"/>
                    </pic:cNvPicPr>
                  </pic:nvPicPr>
                  <pic:blipFill>
                    <a:blip r:embed="rId54"/>
                    <a:stretch>
                      <a:fillRect/>
                    </a:stretch>
                  </pic:blipFill>
                  <pic:spPr bwMode="auto">
                    <a:xfrm>
                      <a:off x="0" y="0"/>
                      <a:ext cx="5575300" cy="3445535"/>
                    </a:xfrm>
                    <a:prstGeom prst="rect">
                      <a:avLst/>
                    </a:prstGeom>
                    <a:noFill/>
                    <a:ln w="9525">
                      <a:noFill/>
                      <a:headEnd/>
                      <a:tailEnd/>
                    </a:ln>
                  </pic:spPr>
                </pic:pic>
              </a:graphicData>
            </a:graphic>
          </wp:inline>
        </w:drawing>
      </w:r>
    </w:p>
    <w:bookmarkEnd w:id="57"/>
    <w:bookmarkStart w:id="58" w:name="X7f11b8591bf06044bdd5a84452bb03c2530f38f"/>
    <w:p>
      <w:pPr>
        <w:pStyle w:val="Heading5"/>
      </w:pPr>
      <w:r>
        <w:t xml:space="preserve">Biểu đồ boxplot cho thấy xu hướng tăng tuổi đồng thời với mức độ nhận thức giảm.</w:t>
      </w:r>
    </w:p>
    <w:bookmarkEnd w:id="58"/>
    <w:bookmarkEnd w:id="59"/>
    <w:bookmarkEnd w:id="60"/>
    <w:bookmarkStart w:id="67"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1"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1"/>
        </w:tc>
      </w:tr>
    </w:tbl>
    <w:bookmarkStart w:id="65"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3" name="Picture"/>
            <a:graphic>
              <a:graphicData uri="http://schemas.openxmlformats.org/drawingml/2006/picture">
                <pic:pic>
                  <pic:nvPicPr>
                    <pic:cNvPr descr="sstt25_dtcs_quato_words_output_files/figure-docx/unnamed-chunk-7-1.png" id="64" name="Picture"/>
                    <pic:cNvPicPr>
                      <a:picLocks noChangeArrowheads="1" noChangeAspect="1"/>
                    </pic:cNvPicPr>
                  </pic:nvPicPr>
                  <pic:blipFill>
                    <a:blip r:embed="rId62"/>
                    <a:stretch>
                      <a:fillRect/>
                    </a:stretch>
                  </pic:blipFill>
                  <pic:spPr bwMode="auto">
                    <a:xfrm>
                      <a:off x="0" y="0"/>
                      <a:ext cx="5575300" cy="3445535"/>
                    </a:xfrm>
                    <a:prstGeom prst="rect">
                      <a:avLst/>
                    </a:prstGeom>
                    <a:noFill/>
                    <a:ln w="9525">
                      <a:noFill/>
                      <a:headEnd/>
                      <a:tailEnd/>
                    </a:ln>
                  </pic:spPr>
                </pic:pic>
              </a:graphicData>
            </a:graphic>
          </wp:inline>
        </w:drawing>
      </w:r>
    </w:p>
    <w:bookmarkEnd w:id="65"/>
    <w:bookmarkStart w:id="66"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6"/>
    <w:bookmarkEnd w:id="67"/>
    <w:bookmarkStart w:id="73"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1"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9" name="Picture"/>
            <a:graphic>
              <a:graphicData uri="http://schemas.openxmlformats.org/drawingml/2006/picture">
                <pic:pic>
                  <pic:nvPicPr>
                    <pic:cNvPr descr="sstt25_dtcs_quato_words_output_files/figure-docx/unnamed-chunk-9-1.png" id="70" name="Picture"/>
                    <pic:cNvPicPr>
                      <a:picLocks noChangeArrowheads="1" noChangeAspect="1"/>
                    </pic:cNvPicPr>
                  </pic:nvPicPr>
                  <pic:blipFill>
                    <a:blip r:embed="rId68"/>
                    <a:stretch>
                      <a:fillRect/>
                    </a:stretch>
                  </pic:blipFill>
                  <pic:spPr bwMode="auto">
                    <a:xfrm>
                      <a:off x="0" y="0"/>
                      <a:ext cx="5575300" cy="3445535"/>
                    </a:xfrm>
                    <a:prstGeom prst="rect">
                      <a:avLst/>
                    </a:prstGeom>
                    <a:noFill/>
                    <a:ln w="9525">
                      <a:noFill/>
                      <a:headEnd/>
                      <a:tailEnd/>
                    </a:ln>
                  </pic:spPr>
                </pic:pic>
              </a:graphicData>
            </a:graphic>
          </wp:inline>
        </w:drawing>
      </w:r>
    </w:p>
    <w:bookmarkEnd w:id="71"/>
    <w:bookmarkStart w:id="72" w:name="X10cb092a6a20b9e0ededf36398c85482c1ad8ed"/>
    <w:p>
      <w:pPr>
        <w:pStyle w:val="Heading5"/>
      </w:pPr>
      <w:r>
        <w:t xml:space="preserve">Biểu đồ cho thấy nhóm Suy giảm nhận thức nhẹ có xu hướng đạt trình độ học vấn cao hơn.</w:t>
      </w:r>
    </w:p>
    <w:bookmarkEnd w:id="72"/>
    <w:bookmarkEnd w:id="73"/>
    <w:bookmarkStart w:id="82" w:name="đặc-điểm-mmse"/>
    <w:p>
      <w:pPr>
        <w:pStyle w:val="Heading3"/>
      </w:pPr>
      <w:r>
        <w:t xml:space="preserve">Đặc điểm MMSE</w:t>
      </w:r>
    </w:p>
    <w:bookmarkStart w:id="75"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4"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4"/>
    <w:bookmarkEnd w:id="75"/>
    <w:bookmarkStart w:id="80" w:name="biểu-đồ-phân-loại-mmse"/>
    <w:p>
      <w:pPr>
        <w:pStyle w:val="Heading4"/>
      </w:pPr>
      <w:r>
        <w:t xml:space="preserve">Biểu đồ phân loại mmse</w:t>
      </w:r>
    </w:p>
    <w:p>
      <w:pPr>
        <w:pStyle w:val="FirstParagraph"/>
      </w:pPr>
      <w:r>
        <w:drawing>
          <wp:inline>
            <wp:extent cx="5575300" cy="3445535"/>
            <wp:effectExtent b="0" l="0" r="0" t="0"/>
            <wp:docPr descr="" title="" id="77" name="Picture"/>
            <a:graphic>
              <a:graphicData uri="http://schemas.openxmlformats.org/drawingml/2006/picture">
                <pic:pic>
                  <pic:nvPicPr>
                    <pic:cNvPr descr="sstt25_dtcs_quato_words_output_files/figure-docx/unnamed-chunk-11-1.png" id="78" name="Picture"/>
                    <pic:cNvPicPr>
                      <a:picLocks noChangeArrowheads="1" noChangeAspect="1"/>
                    </pic:cNvPicPr>
                  </pic:nvPicPr>
                  <pic:blipFill>
                    <a:blip r:embed="rId76"/>
                    <a:stretch>
                      <a:fillRect/>
                    </a:stretch>
                  </pic:blipFill>
                  <pic:spPr bwMode="auto">
                    <a:xfrm>
                      <a:off x="0" y="0"/>
                      <a:ext cx="5575300" cy="3445535"/>
                    </a:xfrm>
                    <a:prstGeom prst="rect">
                      <a:avLst/>
                    </a:prstGeom>
                    <a:noFill/>
                    <a:ln w="9525">
                      <a:noFill/>
                      <a:headEnd/>
                      <a:tailEnd/>
                    </a:ln>
                  </pic:spPr>
                </pic:pic>
              </a:graphicData>
            </a:graphic>
          </wp:inline>
        </w:drawing>
      </w:r>
    </w:p>
    <w:bookmarkStart w:id="79"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9"/>
    <w:bookmarkEnd w:id="80"/>
    <w:bookmarkStart w:id="81" w:name="X3551341adfe139382efbd4b64ae37200c4ea843"/>
    <w:p>
      <w:pPr>
        <w:pStyle w:val="Heading4"/>
      </w:pPr>
      <w:r>
        <w:t xml:space="preserve">Biểu đồ phân loại suy giảm nhận thức và sa sút trí tuệ theo MMSE</w:t>
      </w:r>
    </w:p>
    <w:p>
      <w:pPr>
        <w:pStyle w:val="FirstParagraph"/>
      </w:pPr>
    </w:p>
    <w:bookmarkEnd w:id="81"/>
    <w:bookmarkEnd w:id="82"/>
    <w:bookmarkStart w:id="90" w:name="đặc-điểm-các-test-thần-kinh-nhận-thức"/>
    <w:p>
      <w:pPr>
        <w:pStyle w:val="Heading3"/>
      </w:pPr>
      <w:r>
        <w:t xml:space="preserve">Đặc điểm các test thần kinh nhận thức</w:t>
      </w:r>
    </w:p>
    <w:bookmarkStart w:id="84"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3"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3"/>
    <w:bookmarkEnd w:id="84"/>
    <w:bookmarkStart w:id="89"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6" name="Picture"/>
            <a:graphic>
              <a:graphicData uri="http://schemas.openxmlformats.org/drawingml/2006/picture">
                <pic:pic>
                  <pic:nvPicPr>
                    <pic:cNvPr descr="sstt25_dtcs_quato_words_output_files/figure-docx/unnamed-chunk-13-1.png" id="87" name="Picture"/>
                    <pic:cNvPicPr>
                      <a:picLocks noChangeArrowheads="1" noChangeAspect="1"/>
                    </pic:cNvPicPr>
                  </pic:nvPicPr>
                  <pic:blipFill>
                    <a:blip r:embed="rId85"/>
                    <a:stretch>
                      <a:fillRect/>
                    </a:stretch>
                  </pic:blipFill>
                  <pic:spPr bwMode="auto">
                    <a:xfrm>
                      <a:off x="0" y="0"/>
                      <a:ext cx="5575300" cy="3445535"/>
                    </a:xfrm>
                    <a:prstGeom prst="rect">
                      <a:avLst/>
                    </a:prstGeom>
                    <a:noFill/>
                    <a:ln w="9525">
                      <a:noFill/>
                      <a:headEnd/>
                      <a:tailEnd/>
                    </a:ln>
                  </pic:spPr>
                </pic:pic>
              </a:graphicData>
            </a:graphic>
          </wp:inline>
        </w:drawing>
      </w:r>
    </w:p>
    <w:bookmarkStart w:id="88"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8"/>
    <w:bookmarkEnd w:id="89"/>
    <w:bookmarkEnd w:id="90"/>
    <w:bookmarkEnd w:id="91"/>
    <w:bookmarkStart w:id="99" w:name="tuong-quan-kq"/>
    <w:p>
      <w:pPr>
        <w:pStyle w:val="Heading2"/>
      </w:pPr>
      <w:r>
        <w:t xml:space="preserve">Mối tương quan MMSE với các test thần kinh nhận thức khác</w:t>
      </w:r>
    </w:p>
    <w:bookmarkStart w:id="93"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2"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2"/>
    <w:bookmarkEnd w:id="93"/>
    <w:bookmarkStart w:id="98"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5" name="Picture"/>
            <a:graphic>
              <a:graphicData uri="http://schemas.openxmlformats.org/drawingml/2006/picture">
                <pic:pic>
                  <pic:nvPicPr>
                    <pic:cNvPr descr="sstt25_dtcs_quato_words_output_files/figure-docx/unnamed-chunk-15-1.png" id="96" name="Picture"/>
                    <pic:cNvPicPr>
                      <a:picLocks noChangeArrowheads="1" noChangeAspect="1"/>
                    </pic:cNvPicPr>
                  </pic:nvPicPr>
                  <pic:blipFill>
                    <a:blip r:embed="rId94"/>
                    <a:stretch>
                      <a:fillRect/>
                    </a:stretch>
                  </pic:blipFill>
                  <pic:spPr bwMode="auto">
                    <a:xfrm>
                      <a:off x="0" y="0"/>
                      <a:ext cx="5575300" cy="3445535"/>
                    </a:xfrm>
                    <a:prstGeom prst="rect">
                      <a:avLst/>
                    </a:prstGeom>
                    <a:noFill/>
                    <a:ln w="9525">
                      <a:noFill/>
                      <a:headEnd/>
                      <a:tailEnd/>
                    </a:ln>
                  </pic:spPr>
                </pic:pic>
              </a:graphicData>
            </a:graphic>
          </wp:inline>
        </w:drawing>
      </w:r>
    </w:p>
    <w:bookmarkStart w:id="97" w:name="Xe6d9dc1aca1623993cdc5d1b96b0d371ce22f45"/>
    <w:p>
      <w:pPr>
        <w:pStyle w:val="Heading5"/>
      </w:pPr>
      <w:r>
        <w:t xml:space="preserve">Một số test như Nhớ lại ngay, Lưu loát ngôn ngữ và Nhớ lại có trì hoãn có tương quan mạnh hơn ở nhóm sa sút trí tuệ.</w:t>
      </w:r>
    </w:p>
    <w:bookmarkEnd w:id="97"/>
    <w:bookmarkEnd w:id="98"/>
    <w:bookmarkEnd w:id="99"/>
    <w:bookmarkStart w:id="116" w:name="ung-dung-kq"/>
    <w:p>
      <w:pPr>
        <w:pStyle w:val="Heading2"/>
      </w:pPr>
      <w:r>
        <w:t xml:space="preserve">Đánh giá hiệu quả ứng dụng trong chẩn đoán và điều trị bộ test thần kinh nhận thức</w:t>
      </w:r>
    </w:p>
    <w:bookmarkStart w:id="107" w:name="X55d896d4fb1d7aac001448b62ed37a4bbfc6ad5"/>
    <w:p>
      <w:pPr>
        <w:pStyle w:val="Heading3"/>
      </w:pPr>
      <w:r>
        <w:t xml:space="preserve">Đánh giá mức độ hoàn thành bộ test thần kinh nhận thức</w:t>
      </w:r>
    </w:p>
    <w:bookmarkStart w:id="105"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3"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1" name="Picture"/>
            <a:graphic>
              <a:graphicData uri="http://schemas.openxmlformats.org/drawingml/2006/picture">
                <pic:pic>
                  <pic:nvPicPr>
                    <pic:cNvPr descr="sstt25_dtcs_quato_words_output_files/figure-docx/BD%20hoàn%20thành%20bộ%20test%20thần%20kinh%20nhận%20thức-1.png" id="102" name="Picture"/>
                    <pic:cNvPicPr>
                      <a:picLocks noChangeArrowheads="1" noChangeAspect="1"/>
                    </pic:cNvPicPr>
                  </pic:nvPicPr>
                  <pic:blipFill>
                    <a:blip r:embed="rId100"/>
                    <a:stretch>
                      <a:fillRect/>
                    </a:stretch>
                  </pic:blipFill>
                  <pic:spPr bwMode="auto">
                    <a:xfrm>
                      <a:off x="0" y="0"/>
                      <a:ext cx="5575300" cy="3445535"/>
                    </a:xfrm>
                    <a:prstGeom prst="rect">
                      <a:avLst/>
                    </a:prstGeom>
                    <a:noFill/>
                    <a:ln w="9525">
                      <a:noFill/>
                      <a:headEnd/>
                      <a:tailEnd/>
                    </a:ln>
                  </pic:spPr>
                </pic:pic>
              </a:graphicData>
            </a:graphic>
          </wp:inline>
        </w:drawing>
      </w:r>
    </w:p>
    <w:bookmarkEnd w:id="103"/>
    <w:bookmarkStart w:id="104"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4"/>
    <w:bookmarkEnd w:id="105"/>
    <w:bookmarkStart w:id="106"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6"/>
    <w:bookmarkEnd w:id="107"/>
    <w:bookmarkStart w:id="115" w:name="Xd1f0ecf82be72ae79d8fbf9738c735629d5ecc7"/>
    <w:p>
      <w:pPr>
        <w:pStyle w:val="Heading3"/>
      </w:pPr>
      <w:r>
        <w:t xml:space="preserve">Đánh giá sự tương đồng giữa phân độ MMSE và phân loại lâm sàng theo tiêu chuẩn lâm sàng</w:t>
      </w:r>
    </w:p>
    <w:bookmarkStart w:id="109" w:name="biểu-đồ-heatmap"/>
    <w:p>
      <w:pPr>
        <w:pStyle w:val="Heading4"/>
      </w:pPr>
      <w:r>
        <w:t xml:space="preserve">Biểu đồ heatmap</w:t>
      </w:r>
    </w:p>
    <w:bookmarkStart w:id="108"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8"/>
    <w:bookmarkEnd w:id="109"/>
    <w:bookmarkStart w:id="114"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1"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2" name="Picture"/>
                    <pic:cNvPicPr>
                      <a:picLocks noChangeArrowheads="1" noChangeAspect="1"/>
                    </pic:cNvPicPr>
                  </pic:nvPicPr>
                  <pic:blipFill>
                    <a:blip r:embed="rId110"/>
                    <a:stretch>
                      <a:fillRect/>
                    </a:stretch>
                  </pic:blipFill>
                  <pic:spPr bwMode="auto">
                    <a:xfrm>
                      <a:off x="0" y="0"/>
                      <a:ext cx="5575300" cy="3445535"/>
                    </a:xfrm>
                    <a:prstGeom prst="rect">
                      <a:avLst/>
                    </a:prstGeom>
                    <a:noFill/>
                    <a:ln w="9525">
                      <a:noFill/>
                      <a:headEnd/>
                      <a:tailEnd/>
                    </a:ln>
                  </pic:spPr>
                </pic:pic>
              </a:graphicData>
            </a:graphic>
          </wp:inline>
        </w:drawing>
      </w:r>
    </w:p>
    <w:bookmarkStart w:id="113"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3"/>
    <w:bookmarkEnd w:id="114"/>
    <w:bookmarkEnd w:id="115"/>
    <w:bookmarkEnd w:id="116"/>
    <w:bookmarkEnd w:id="117"/>
    <w:bookmarkStart w:id="165" w:name="bàn-luận"/>
    <w:p>
      <w:pPr>
        <w:pStyle w:val="Heading1"/>
      </w:pPr>
      <w:r>
        <w:t xml:space="preserve">BÀN LUẬN</w:t>
      </w:r>
    </w:p>
    <w:bookmarkStart w:id="126" w:name="đặc-điểm-mẫu-của-nghiên-cứu"/>
    <w:p>
      <w:pPr>
        <w:pStyle w:val="Heading2"/>
      </w:pPr>
      <w:r>
        <w:t xml:space="preserve">Đặc điểm mẫu của nghiên cứu</w:t>
      </w:r>
    </w:p>
    <w:bookmarkStart w:id="118"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18"/>
    <w:bookmarkStart w:id="119"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[18]</w:t>
      </w:r>
      <w:r>
        <w:t xml:space="preserve">.</w:t>
      </w:r>
    </w:p>
    <w:p>
      <w:pPr>
        <w:pStyle w:val="BodyText"/>
      </w:pPr>
      <w:r>
        <w:t xml:space="preserve">Theo WHO, cứ mỗi 5 năm sau tuổi 65 thì nguy cơ mắc sa sút trí tuệ tăng gần gấp đôi</w:t>
      </w:r>
      <w:r>
        <w:t xml:space="preserve"> </w:t>
      </w:r>
      <w:r>
        <w:t xml:space="preserve">[15]</w:t>
      </w:r>
      <w:r>
        <w:t xml:space="preserve">. Một nghiên cứu tại Việt Nam của Lê Văn Tuấn và cộng sự (2019) cũng xác nhận người ≥75 tuổi có nguy cơ cao hơn đáng kể so với nhóm 60–74 tuổi</w:t>
      </w:r>
      <w:r>
        <w:t xml:space="preserve"> </w:t>
      </w:r>
      <w:r>
        <w:t xml:space="preserve">[19]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[15]</w:t>
      </w:r>
      <w:r>
        <w:t xml:space="preserve">. Báo cáo toàn cầu về sa sút trí tuệ năm 2015 cũng nhấn mạnh rằng phụ nữ chiếm phần lớn dân số mắc bệnh, đặc biệt ở nhóm tuổi ≥75</w:t>
      </w:r>
      <w:r>
        <w:t xml:space="preserve"> </w:t>
      </w:r>
      <w:r>
        <w:t xml:space="preserve">[16]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[20]</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19"/>
    <w:bookmarkStart w:id="120"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[18]</w:t>
      </w:r>
      <w:r>
        <w:t xml:space="preserve">. Tổ chức Y tế Thế giới (WHO) cũng xếp trình độ học vấn thấp vào nhóm các yếu tố nguy cơ có thể phòng ngừa được</w:t>
      </w:r>
      <w:r>
        <w:t xml:space="preserve"> </w:t>
      </w:r>
      <w:r>
        <w:t xml:space="preserve">[15]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[19]</w:t>
      </w:r>
      <w:r>
        <w:t xml:space="preserve">. Tương tự, Trần Văn Hào (2020) tại Vĩnh Long ghi nhận tỷ lệ sa sút trí tuệ ở nhóm học vấn thấp cao hơn nhóm học vấn cao có ý nghĩa thống kê</w:t>
      </w:r>
      <w:r>
        <w:t xml:space="preserve"> </w:t>
      </w:r>
      <w:r>
        <w:t xml:space="preserve">[23]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0"/>
    <w:bookmarkStart w:id="121"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1"/>
    <w:bookmarkStart w:id="122"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2"/>
    <w:bookmarkStart w:id="123" w:name="điểm-hạn-chế"/>
    <w:p>
      <w:pPr>
        <w:pStyle w:val="Heading3"/>
      </w:pPr>
      <w:r>
        <w:t xml:space="preserve">Điểm hạn chế</w:t>
      </w:r>
    </w:p>
    <w:bookmarkEnd w:id="123"/>
    <w:bookmarkStart w:id="124" w:name="tính-mới"/>
    <w:p>
      <w:pPr>
        <w:pStyle w:val="Heading3"/>
      </w:pPr>
      <w:r>
        <w:t xml:space="preserve">Tính mới</w:t>
      </w:r>
    </w:p>
    <w:bookmarkEnd w:id="124"/>
    <w:bookmarkStart w:id="125" w:name="tính-ứng-dụng-của-đề-tài"/>
    <w:p>
      <w:pPr>
        <w:pStyle w:val="Heading3"/>
      </w:pPr>
      <w:r>
        <w:t xml:space="preserve">tính ứng dụng của đề tài</w:t>
      </w:r>
    </w:p>
    <w:p>
      <w:pPr>
        <w:pStyle w:val="CANGIUADAM14ONE"/>
      </w:pPr>
      <w:r>
        <w:t xml:space="preserve">KẾT LUẬN</w:t>
      </w:r>
    </w:p>
    <w:p>
      <w:pPr>
        <w:pStyle w:val="BodyText"/>
      </w:pPr>
      <w:r>
        <w:t xml:space="preserve">Mục tiêu 1 Mục tiêu 2</w:t>
      </w:r>
    </w:p>
    <w:bookmarkEnd w:id="125"/>
    <w:bookmarkEnd w:id="126"/>
    <w:bookmarkStart w:id="164" w:name="tạo-slide-báo-cáo"/>
    <w:p>
      <w:pPr>
        <w:pStyle w:val="Heading2"/>
      </w:pPr>
      <w:r>
        <w:t xml:space="preserve">Tạo slide báo cáo</w:t>
      </w:r>
    </w:p>
    <w:bookmarkStart w:id="163" w:name="tạo-slide-báo-cáo-1"/>
    <w:p>
      <w:pPr>
        <w:pStyle w:val="Heading3"/>
      </w:pPr>
      <w:r>
        <w:t xml:space="preserve">Tạo slide báo cáo</w:t>
      </w:r>
    </w:p>
    <w:p>
      <w:pPr>
        <w:pStyle w:val="CANGIUADAM14ONE"/>
      </w:pPr>
      <w:r>
        <w:t xml:space="preserve">TÀI LIỆU THAM KHẢO</w:t>
      </w:r>
    </w:p>
    <w:bookmarkStart w:id="162" w:name="refs"/>
    <w:bookmarkStart w:id="128"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7">
        <w:r>
          <w:rPr>
            <w:rStyle w:val="Hyperlink"/>
          </w:rPr>
          <w:t xml:space="preserve">10.5588/9789240033245</w:t>
        </w:r>
      </w:hyperlink>
    </w:p>
    <w:bookmarkEnd w:id="128"/>
    <w:bookmarkStart w:id="130"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9">
        <w:r>
          <w:rPr>
            <w:rStyle w:val="Hyperlink"/>
          </w:rPr>
          <w:t xml:space="preserve">https://www.gso.gov.vn/du-lieu-va-so-lieu-thong-ke/2021/08/chuyen-khao-gia-hoa-dan-so-va-nguoi-cao-tuoi-o-viet-nam/</w:t>
        </w:r>
      </w:hyperlink>
    </w:p>
    <w:bookmarkEnd w:id="130"/>
    <w:bookmarkStart w:id="132"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1">
        <w:r>
          <w:rPr>
            <w:rStyle w:val="Hyperlink"/>
          </w:rPr>
          <w:t xml:space="preserve">10.1111/j.1365-2796.2004.01388.x</w:t>
        </w:r>
      </w:hyperlink>
    </w:p>
    <w:bookmarkEnd w:id="132"/>
    <w:bookmarkStart w:id="134" w:name="ref-Petersen2014"/>
    <w:p>
      <w:pPr>
        <w:pStyle w:val="Bibliography"/>
      </w:pPr>
      <w:r>
        <w:t xml:space="preserve">4.</w:t>
      </w:r>
      <w:r>
        <w:t xml:space="preserve"> </w:t>
      </w:r>
      <w:r>
        <w:t xml:space="preserve">	</w:t>
      </w:r>
      <w:r>
        <w:t xml:space="preserve">Petersen RC, Aisen PS, Beckett LA, và c.s. Mild cognitive impairment: a concept in evolution.</w:t>
      </w:r>
      <w:r>
        <w:t xml:space="preserve"> </w:t>
      </w:r>
      <w:r>
        <w:rPr>
          <w:i/>
          <w:iCs/>
        </w:rPr>
        <w:t xml:space="preserve">Journal of Internal Medicine</w:t>
      </w:r>
      <w:r>
        <w:t xml:space="preserve">. 2014;275(3):214–228. doi:</w:t>
      </w:r>
      <w:hyperlink r:id="rId133">
        <w:r>
          <w:rPr>
            <w:rStyle w:val="Hyperlink"/>
          </w:rPr>
          <w:t xml:space="preserve">10.1111/joim.12190</w:t>
        </w:r>
      </w:hyperlink>
    </w:p>
    <w:bookmarkEnd w:id="134"/>
    <w:bookmarkStart w:id="136" w:name="ref-WHO2023"/>
    <w:p>
      <w:pPr>
        <w:pStyle w:val="Bibliography"/>
      </w:pPr>
      <w:r>
        <w:t xml:space="preserve">5.</w:t>
      </w:r>
      <w:r>
        <w:t xml:space="preserve"> </w:t>
      </w:r>
      <w:r>
        <w:t xml:space="preserve">	</w:t>
      </w:r>
      <w:r>
        <w:t xml:space="preserve">Organization WH. Dementia Fact Sheet. 2023.</w:t>
      </w:r>
      <w:r>
        <w:t xml:space="preserve"> </w:t>
      </w:r>
      <w:hyperlink r:id="rId135">
        <w:r>
          <w:rPr>
            <w:rStyle w:val="Hyperlink"/>
          </w:rPr>
          <w:t xml:space="preserve">https://www.who.int/news-room/fact-sheets/detail/dementia</w:t>
        </w:r>
      </w:hyperlink>
    </w:p>
    <w:bookmarkEnd w:id="136"/>
    <w:bookmarkStart w:id="137" w:name="ref-Nguyen2020"/>
    <w:p>
      <w:pPr>
        <w:pStyle w:val="Bibliography"/>
      </w:pPr>
      <w:r>
        <w:t xml:space="preserve">6.</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7"/>
    <w:bookmarkStart w:id="138" w:name="ref-Selkoe2012"/>
    <w:p>
      <w:pPr>
        <w:pStyle w:val="Bibliography"/>
      </w:pPr>
      <w:r>
        <w:t xml:space="preserve">7.</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8"/>
    <w:bookmarkStart w:id="139" w:name="ref-Cummings2019"/>
    <w:p>
      <w:pPr>
        <w:pStyle w:val="Bibliography"/>
      </w:pPr>
      <w:r>
        <w:t xml:space="preserve">8.</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9"/>
    <w:bookmarkStart w:id="140" w:name="ref-DSM5"/>
    <w:p>
      <w:pPr>
        <w:pStyle w:val="Bibliography"/>
      </w:pPr>
      <w:r>
        <w:t xml:space="preserve">9.</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0"/>
    <w:bookmarkStart w:id="141" w:name="ref-nguyen2020mmse"/>
    <w:p>
      <w:pPr>
        <w:pStyle w:val="Bibliography"/>
      </w:pPr>
      <w:r>
        <w:t xml:space="preserve">10.</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1"/>
    <w:bookmarkStart w:id="142" w:name="ref-tran2021tri_nho"/>
    <w:p>
      <w:pPr>
        <w:pStyle w:val="Bibliography"/>
      </w:pPr>
      <w:r>
        <w:t xml:space="preserve">11.</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2"/>
    <w:bookmarkStart w:id="144" w:name="ref-ivnik1990avlt"/>
    <w:p>
      <w:pPr>
        <w:pStyle w:val="Bibliography"/>
      </w:pPr>
      <w:r>
        <w:t xml:space="preserve">12.</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3">
        <w:r>
          <w:rPr>
            <w:rStyle w:val="Hyperlink"/>
          </w:rPr>
          <w:t xml:space="preserve">10.1080/13854049008401594</w:t>
        </w:r>
      </w:hyperlink>
    </w:p>
    <w:bookmarkEnd w:id="144"/>
    <w:bookmarkStart w:id="146" w:name="ref-welsh1994cerad"/>
    <w:p>
      <w:pPr>
        <w:pStyle w:val="Bibliography"/>
      </w:pPr>
      <w:r>
        <w:t xml:space="preserve">13.</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45">
        <w:r>
          <w:rPr>
            <w:rStyle w:val="Hyperlink"/>
          </w:rPr>
          <w:t xml:space="preserve">10.1001/archneur.1994.00540150080013</w:t>
        </w:r>
      </w:hyperlink>
    </w:p>
    <w:bookmarkEnd w:id="146"/>
    <w:bookmarkStart w:id="148" w:name="ref-sarazin2007amnestic"/>
    <w:p>
      <w:pPr>
        <w:pStyle w:val="Bibliography"/>
      </w:pPr>
      <w:r>
        <w:t xml:space="preserve">14.</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7">
        <w:r>
          <w:rPr>
            <w:rStyle w:val="Hyperlink"/>
          </w:rPr>
          <w:t xml:space="preserve">10.1212/01.wnl.0000279336.36610.f7</w:t>
        </w:r>
      </w:hyperlink>
    </w:p>
    <w:bookmarkEnd w:id="148"/>
    <w:bookmarkStart w:id="149" w:name="ref-who2021dementia"/>
    <w:p>
      <w:pPr>
        <w:pStyle w:val="Bibliography"/>
      </w:pPr>
      <w:r>
        <w:t xml:space="preserve">15.</w:t>
      </w:r>
      <w:r>
        <w:t xml:space="preserve"> </w:t>
      </w:r>
      <w:r>
        <w:t xml:space="preserve">	</w:t>
      </w:r>
      <w:r>
        <w:t xml:space="preserve">World Health Organization. Dementia. Published online 2021.</w:t>
      </w:r>
      <w:r>
        <w:t xml:space="preserve"> </w:t>
      </w:r>
      <w:hyperlink r:id="rId135">
        <w:r>
          <w:rPr>
            <w:rStyle w:val="Hyperlink"/>
          </w:rPr>
          <w:t xml:space="preserve">https://www.who.int/news-room/fact-sheets/detail/dementia</w:t>
        </w:r>
      </w:hyperlink>
    </w:p>
    <w:bookmarkEnd w:id="149"/>
    <w:bookmarkStart w:id="150" w:name="ref-prince2015world"/>
    <w:p>
      <w:pPr>
        <w:pStyle w:val="Bibliography"/>
      </w:pPr>
      <w:r>
        <w:t xml:space="preserve">16.</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0"/>
    <w:bookmarkStart w:id="152" w:name="ref-petersen2018mci"/>
    <w:p>
      <w:pPr>
        <w:pStyle w:val="Bibliography"/>
      </w:pPr>
      <w:r>
        <w:t xml:space="preserve">17.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1">
        <w:r>
          <w:rPr>
            <w:rStyle w:val="Hyperlink"/>
          </w:rPr>
          <w:t xml:space="preserve">10.1212/WNL.0000000000004826</w:t>
        </w:r>
      </w:hyperlink>
    </w:p>
    <w:bookmarkEnd w:id="152"/>
    <w:bookmarkStart w:id="154" w:name="ref-livingston2020lancet"/>
    <w:p>
      <w:pPr>
        <w:pStyle w:val="Bibliography"/>
      </w:pPr>
      <w:r>
        <w:t xml:space="preserve">18.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3">
        <w:r>
          <w:rPr>
            <w:rStyle w:val="Hyperlink"/>
          </w:rPr>
          <w:t xml:space="preserve">10.1016/S0140-6736(20)30367-6</w:t>
        </w:r>
      </w:hyperlink>
    </w:p>
    <w:bookmarkEnd w:id="154"/>
    <w:bookmarkStart w:id="155" w:name="ref-le2019travinhsstt"/>
    <w:p>
      <w:pPr>
        <w:pStyle w:val="Bibliography"/>
      </w:pPr>
      <w:r>
        <w:t xml:space="preserve">19.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55"/>
    <w:bookmarkStart w:id="156" w:name="ref-nhung2014"/>
    <w:p>
      <w:pPr>
        <w:pStyle w:val="Bibliography"/>
      </w:pPr>
      <w:r>
        <w:t xml:space="preserve">20.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56"/>
    <w:bookmarkStart w:id="157" w:name="ref-hao2020"/>
    <w:p>
      <w:pPr>
        <w:pStyle w:val="Bibliography"/>
      </w:pPr>
      <w:r>
        <w:t xml:space="preserve">21.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57"/>
    <w:bookmarkStart w:id="159" w:name="ref-stern2012cognitive"/>
    <w:p>
      <w:pPr>
        <w:pStyle w:val="Bibliography"/>
      </w:pPr>
      <w:r>
        <w:t xml:space="preserve">22.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58">
        <w:r>
          <w:rPr>
            <w:rStyle w:val="Hyperlink"/>
          </w:rPr>
          <w:t xml:space="preserve">10.1016/S1474-4422(12)70191-6</w:t>
        </w:r>
      </w:hyperlink>
    </w:p>
    <w:bookmarkEnd w:id="159"/>
    <w:bookmarkStart w:id="160" w:name="ref-tran2020vinhlonghocvan"/>
    <w:p>
      <w:pPr>
        <w:pStyle w:val="Bibliography"/>
      </w:pPr>
      <w:r>
        <w:t xml:space="preserve">23.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0"/>
    <w:bookmarkStart w:id="161" w:name="ref-tran2016mmse"/>
    <w:p>
      <w:pPr>
        <w:pStyle w:val="Bibliography"/>
      </w:pPr>
      <w:r>
        <w:t xml:space="preserve">24.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1"/>
    <w:bookmarkEnd w:id="162"/>
    <w:bookmarkEnd w:id="163"/>
    <w:bookmarkEnd w:id="164"/>
    <w:bookmarkEnd w:id="165"/>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0" Target="media/rId100.png" /><Relationship Type="http://schemas.openxmlformats.org/officeDocument/2006/relationships/image" Id="rId110" Target="media/rId110.png" /><Relationship Type="http://schemas.openxmlformats.org/officeDocument/2006/relationships/image" Id="rId76" Target="media/rId76.png" /><Relationship Type="http://schemas.openxmlformats.org/officeDocument/2006/relationships/image" Id="rId85" Target="media/rId85.png" /><Relationship Type="http://schemas.openxmlformats.org/officeDocument/2006/relationships/image" Id="rId94" Target="media/rId94.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hyperlink" Id="rId145" Target="https://doi.org/10.1001/archneur.1994.00540150080013" TargetMode="External" /><Relationship Type="http://schemas.openxmlformats.org/officeDocument/2006/relationships/hyperlink" Id="rId153" Target="https://doi.org/10.1016/S0140-6736(20)30367-6" TargetMode="External" /><Relationship Type="http://schemas.openxmlformats.org/officeDocument/2006/relationships/hyperlink" Id="rId158" Target="https://doi.org/10.1016/S1474-4422(12)70191-6" TargetMode="External" /><Relationship Type="http://schemas.openxmlformats.org/officeDocument/2006/relationships/hyperlink" Id="rId143"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33" Target="https://doi.org/10.1111/joim.12190" TargetMode="External" /><Relationship Type="http://schemas.openxmlformats.org/officeDocument/2006/relationships/hyperlink" Id="rId147" Target="https://doi.org/10.1212/01.wnl.0000279336.36610.f7" TargetMode="External" /><Relationship Type="http://schemas.openxmlformats.org/officeDocument/2006/relationships/hyperlink" Id="rId151"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5"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5" Target="https://doi.org/10.1001/archneur.1994.00540150080013" TargetMode="External" /><Relationship Type="http://schemas.openxmlformats.org/officeDocument/2006/relationships/hyperlink" Id="rId153" Target="https://doi.org/10.1016/S0140-6736(20)30367-6" TargetMode="External" /><Relationship Type="http://schemas.openxmlformats.org/officeDocument/2006/relationships/hyperlink" Id="rId158" Target="https://doi.org/10.1016/S1474-4422(12)70191-6" TargetMode="External" /><Relationship Type="http://schemas.openxmlformats.org/officeDocument/2006/relationships/hyperlink" Id="rId143" Target="https://doi.org/10.1080/13854049008401594" TargetMode="External" /><Relationship Type="http://schemas.openxmlformats.org/officeDocument/2006/relationships/hyperlink" Id="rId131" Target="https://doi.org/10.1111/j.1365-2796.2004.01388.x" TargetMode="External" /><Relationship Type="http://schemas.openxmlformats.org/officeDocument/2006/relationships/hyperlink" Id="rId133" Target="https://doi.org/10.1111/joim.12190" TargetMode="External" /><Relationship Type="http://schemas.openxmlformats.org/officeDocument/2006/relationships/hyperlink" Id="rId147" Target="https://doi.org/10.1212/01.wnl.0000279336.36610.f7" TargetMode="External" /><Relationship Type="http://schemas.openxmlformats.org/officeDocument/2006/relationships/hyperlink" Id="rId151" Target="https://doi.org/10.1212/WNL.0000000000004826" TargetMode="External" /><Relationship Type="http://schemas.openxmlformats.org/officeDocument/2006/relationships/hyperlink" Id="rId127" Target="https://doi.org/10.5588/9789240033245" TargetMode="External" /><Relationship Type="http://schemas.openxmlformats.org/officeDocument/2006/relationships/hyperlink" Id="rId129" Target="https://www.gso.gov.vn/du-lieu-va-so-lieu-thong-ke/2021/08/chuyen-khao-gia-hoa-dan-so-va-nguoi-cao-tuoi-o-viet-nam/" TargetMode="External" /><Relationship Type="http://schemas.openxmlformats.org/officeDocument/2006/relationships/hyperlink" Id="rId135"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2025-05-12T12:32:12Z</dcterms:created>
  <dcterms:modified xsi:type="dcterms:W3CDTF">2025-05-12T12:32:12Z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