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98.png" ContentType="image/png"/>
  <Override PartName="/word/media/rId108.png" ContentType="image/png"/>
  <Override PartName="/word/media/rId74.png" ContentType="image/png"/>
  <Override PartName="/word/media/rId83.png" ContentType="image/png"/>
  <Override PartName="/word/media/rId92.png" ContentType="image/png"/>
  <Override PartName="/word/media/rId45.png" ContentType="image/png"/>
  <Override PartName="/word/media/rId52.png" ContentType="image/png"/>
  <Override PartName="/word/media/rId60.png" ContentType="image/png"/>
  <Override PartName="/word/media/rId66.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SSTT</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FF0000"/>
        </w:rPr>
        <w:t xml:space="preserve">Tôi xin chân thành cảm ơn Đồng nghiệp vì đã hợp tác và giúp đỡ.</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Success is not final, failure is not fatal: It is the courage to continue that counts. – Winston Churchill, Do not dwell in the past, do not dream of the future, concentrate the mind on the present moment. – Buddha</w:t>
      </w:r>
    </w:p>
    <w:p>
      <w:r>
        <w:br/>
      </w:r>
    </w:p>
    <w:p>
      <w:pPr>
        <w:pStyle w:val="BodyText"/>
      </w:pPr>
      <w:r>
        <w:t xml:space="preserve">TP Hồ Chí Minh: 09:49 sáng, THỨ 7, NGÀY 17 THÁNG 5 NĂM 2025</w:t>
      </w:r>
    </w:p>
    <w:p>
      <w:pPr>
        <w:pStyle w:val="CANGIUADAM14ONE"/>
      </w:pPr>
      <w:r>
        <w:t xml:space="preserve">ĐẶT VẤN ĐỀ</w:t>
      </w:r>
    </w:p>
    <w:p>
      <w:pPr>
        <w:pStyle w:val="BodyText"/>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 Hiện tại cũng còn thiếu đánh giá vai trò các test chuyên biệt trong ứng dụng chẩn đoán và điều trị đó là lý do chúng tôi chọn đề tài</w:t>
      </w:r>
      <w:r>
        <w:t xml:space="preserve"> </w:t>
      </w:r>
      <w:r>
        <w:t xml:space="preserve">“Đánh giá hiệu quả ứng dụng của bộ Test thần kinh nhận thức trong chẩn đoán và điều trị Sa sút trí tuệ tại Bệnh viện 30-4”</w:t>
      </w:r>
      <w:r>
        <w:t xml:space="preserve">.</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r>
        <w:t xml:space="preserve"> </w:t>
      </w:r>
      <w:r>
        <w:t xml:space="preserve"># TỔNG QUANG TÀI LIỆU</w:t>
      </w:r>
      <w:r>
        <w:t xml:space="preserve"> </w:t>
      </w:r>
      <w:r>
        <w:t xml:space="preserve"># 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[10]</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[11]</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[12]</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[13]</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[14]</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[15]</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[16]</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r>
        <w:t xml:space="preserve"> </w:t>
      </w:r>
      <w:r>
        <w:t xml:space="preserve"># ĐỐI TƯỢNG VÀ PHƯƠNG PHÁP NGHIÊN CỨU</w:t>
      </w:r>
    </w:p>
    <w:bookmarkEnd w:id="35"/>
    <w:bookmarkEnd w:id="36"/>
    <w:bookmarkStart w:id="37"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7"/>
    <w:bookmarkStart w:id="40"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8"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8"/>
    <w:bookmarkStart w:id="39"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39"/>
    <w:bookmarkEnd w:id="40"/>
    <w:bookmarkStart w:id="42"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1"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1"/>
    <w:bookmarkEnd w:id="42"/>
    <w:bookmarkStart w:id="44"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3" w:name="đạo-đức-trong-nghiên-cứu"/>
    <w:p>
      <w:pPr>
        <w:pStyle w:val="Heading3"/>
      </w:pPr>
      <w:r>
        <w:t xml:space="preserve">Đạo đức trong nghiên cứu</w:t>
      </w:r>
    </w:p>
    <w:bookmarkEnd w:id="43"/>
    <w:bookmarkEnd w:id="44"/>
    <w:bookmarkStart w:id="115"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89" w:name="dac-diem-kq"/>
    <w:p>
      <w:pPr>
        <w:pStyle w:val="Heading2"/>
      </w:pPr>
      <w:r>
        <w:t xml:space="preserve">Đặc điểm mẫu của nghiên cứu</w:t>
      </w:r>
    </w:p>
    <w:bookmarkStart w:id="58" w:name="đặc-điểm-theo-tuổi-nhà-nhóm-tuôi"/>
    <w:p>
      <w:pPr>
        <w:pStyle w:val="Heading3"/>
      </w:pPr>
      <w:r>
        <w:t xml:space="preserve">Đặc điểm theo tuổi nhà nhóm tuôi</w:t>
      </w:r>
    </w:p>
    <w:bookmarkStart w:id="50"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48"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6" name="Picture"/>
            <a:graphic>
              <a:graphicData uri="http://schemas.openxmlformats.org/drawingml/2006/picture">
                <pic:pic>
                  <pic:nvPicPr>
                    <pic:cNvPr descr="sstt25_dtcs_quato_words_output_files/figure-docx/unnamed-chunk-5-1.png" id="47" name="Picture"/>
                    <pic:cNvPicPr>
                      <a:picLocks noChangeArrowheads="1" noChangeAspect="1"/>
                    </pic:cNvPicPr>
                  </pic:nvPicPr>
                  <pic:blipFill>
                    <a:blip r:embed="rId45"/>
                    <a:stretch>
                      <a:fillRect/>
                    </a:stretch>
                  </pic:blipFill>
                  <pic:spPr bwMode="auto">
                    <a:xfrm>
                      <a:off x="0" y="0"/>
                      <a:ext cx="5575300" cy="3445535"/>
                    </a:xfrm>
                    <a:prstGeom prst="rect">
                      <a:avLst/>
                    </a:prstGeom>
                    <a:noFill/>
                    <a:ln w="9525">
                      <a:noFill/>
                      <a:headEnd/>
                      <a:tailEnd/>
                    </a:ln>
                  </pic:spPr>
                </pic:pic>
              </a:graphicData>
            </a:graphic>
          </wp:inline>
        </w:drawing>
      </w:r>
    </w:p>
    <w:bookmarkEnd w:id="48"/>
    <w:bookmarkStart w:id="49" w:name="Xc903ae7496177939d879defa5b6b7a72b1e682a"/>
    <w:p>
      <w:pPr>
        <w:pStyle w:val="Heading5"/>
      </w:pPr>
      <w:r>
        <w:t xml:space="preserve">Biểu đồ hộp cho thấy sự khác biệt trong phân bố tuổi giữa hai nhóm nhận thức.</w:t>
      </w:r>
    </w:p>
    <w:bookmarkEnd w:id="49"/>
    <w:bookmarkEnd w:id="50"/>
    <w:bookmarkStart w:id="57"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1"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1"/>
        </w:tc>
      </w:tr>
    </w:tbl>
    <w:bookmarkStart w:id="55"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3" name="Picture"/>
            <a:graphic>
              <a:graphicData uri="http://schemas.openxmlformats.org/drawingml/2006/picture">
                <pic:pic>
                  <pic:nvPicPr>
                    <pic:cNvPr descr="sstt25_dtcs_quato_words_output_files/figure-docx/unnamed-chunk-6-1.png" id="54" name="Picture"/>
                    <pic:cNvPicPr>
                      <a:picLocks noChangeArrowheads="1" noChangeAspect="1"/>
                    </pic:cNvPicPr>
                  </pic:nvPicPr>
                  <pic:blipFill>
                    <a:blip r:embed="rId52"/>
                    <a:stretch>
                      <a:fillRect/>
                    </a:stretch>
                  </pic:blipFill>
                  <pic:spPr bwMode="auto">
                    <a:xfrm>
                      <a:off x="0" y="0"/>
                      <a:ext cx="5575300" cy="3445535"/>
                    </a:xfrm>
                    <a:prstGeom prst="rect">
                      <a:avLst/>
                    </a:prstGeom>
                    <a:noFill/>
                    <a:ln w="9525">
                      <a:noFill/>
                      <a:headEnd/>
                      <a:tailEnd/>
                    </a:ln>
                  </pic:spPr>
                </pic:pic>
              </a:graphicData>
            </a:graphic>
          </wp:inline>
        </w:drawing>
      </w:r>
    </w:p>
    <w:bookmarkEnd w:id="55"/>
    <w:bookmarkStart w:id="56" w:name="X7f11b8591bf06044bdd5a84452bb03c2530f38f"/>
    <w:p>
      <w:pPr>
        <w:pStyle w:val="Heading5"/>
      </w:pPr>
      <w:r>
        <w:t xml:space="preserve">Biểu đồ boxplot cho thấy xu hướng tăng tuổi đồng thời với mức độ nhận thức giảm.</w:t>
      </w:r>
    </w:p>
    <w:bookmarkEnd w:id="56"/>
    <w:bookmarkEnd w:id="57"/>
    <w:bookmarkEnd w:id="58"/>
    <w:bookmarkStart w:id="65"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59"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9"/>
        </w:tc>
      </w:tr>
    </w:tbl>
    <w:bookmarkStart w:id="63"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1" name="Picture"/>
            <a:graphic>
              <a:graphicData uri="http://schemas.openxmlformats.org/drawingml/2006/picture">
                <pic:pic>
                  <pic:nvPicPr>
                    <pic:cNvPr descr="sstt25_dtcs_quato_words_output_files/figure-docx/unnamed-chunk-7-1.png" id="62" name="Picture"/>
                    <pic:cNvPicPr>
                      <a:picLocks noChangeArrowheads="1" noChangeAspect="1"/>
                    </pic:cNvPicPr>
                  </pic:nvPicPr>
                  <pic:blipFill>
                    <a:blip r:embed="rId60"/>
                    <a:stretch>
                      <a:fillRect/>
                    </a:stretch>
                  </pic:blipFill>
                  <pic:spPr bwMode="auto">
                    <a:xfrm>
                      <a:off x="0" y="0"/>
                      <a:ext cx="5575300" cy="3445535"/>
                    </a:xfrm>
                    <a:prstGeom prst="rect">
                      <a:avLst/>
                    </a:prstGeom>
                    <a:noFill/>
                    <a:ln w="9525">
                      <a:noFill/>
                      <a:headEnd/>
                      <a:tailEnd/>
                    </a:ln>
                  </pic:spPr>
                </pic:pic>
              </a:graphicData>
            </a:graphic>
          </wp:inline>
        </w:drawing>
      </w:r>
    </w:p>
    <w:bookmarkEnd w:id="63"/>
    <w:bookmarkStart w:id="64"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4"/>
    <w:bookmarkEnd w:id="65"/>
    <w:bookmarkStart w:id="71"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69"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67" name="Picture"/>
            <a:graphic>
              <a:graphicData uri="http://schemas.openxmlformats.org/drawingml/2006/picture">
                <pic:pic>
                  <pic:nvPicPr>
                    <pic:cNvPr descr="sstt25_dtcs_quato_words_output_files/figure-docx/unnamed-chunk-9-1.png" id="68" name="Picture"/>
                    <pic:cNvPicPr>
                      <a:picLocks noChangeArrowheads="1" noChangeAspect="1"/>
                    </pic:cNvPicPr>
                  </pic:nvPicPr>
                  <pic:blipFill>
                    <a:blip r:embed="rId66"/>
                    <a:stretch>
                      <a:fillRect/>
                    </a:stretch>
                  </pic:blipFill>
                  <pic:spPr bwMode="auto">
                    <a:xfrm>
                      <a:off x="0" y="0"/>
                      <a:ext cx="5575300" cy="3445535"/>
                    </a:xfrm>
                    <a:prstGeom prst="rect">
                      <a:avLst/>
                    </a:prstGeom>
                    <a:noFill/>
                    <a:ln w="9525">
                      <a:noFill/>
                      <a:headEnd/>
                      <a:tailEnd/>
                    </a:ln>
                  </pic:spPr>
                </pic:pic>
              </a:graphicData>
            </a:graphic>
          </wp:inline>
        </w:drawing>
      </w:r>
    </w:p>
    <w:bookmarkEnd w:id="69"/>
    <w:bookmarkStart w:id="70" w:name="X10cb092a6a20b9e0ededf36398c85482c1ad8ed"/>
    <w:p>
      <w:pPr>
        <w:pStyle w:val="Heading5"/>
      </w:pPr>
      <w:r>
        <w:t xml:space="preserve">Biểu đồ cho thấy nhóm Suy giảm nhận thức nhẹ có xu hướng đạt trình độ học vấn cao hơn.</w:t>
      </w:r>
    </w:p>
    <w:bookmarkEnd w:id="70"/>
    <w:bookmarkEnd w:id="71"/>
    <w:bookmarkStart w:id="80" w:name="đặc-điểm-mmse"/>
    <w:p>
      <w:pPr>
        <w:pStyle w:val="Heading3"/>
      </w:pPr>
      <w:r>
        <w:t xml:space="preserve">Đặc điểm MMSE</w:t>
      </w:r>
    </w:p>
    <w:bookmarkStart w:id="73"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2"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2"/>
    <w:bookmarkEnd w:id="73"/>
    <w:bookmarkStart w:id="78" w:name="biểu-đồ-phân-loại-mmse"/>
    <w:p>
      <w:pPr>
        <w:pStyle w:val="Heading4"/>
      </w:pPr>
      <w:r>
        <w:t xml:space="preserve">Biểu đồ phân loại mmse</w:t>
      </w:r>
    </w:p>
    <w:p>
      <w:pPr>
        <w:pStyle w:val="FirstParagraph"/>
      </w:pPr>
      <w:r>
        <w:drawing>
          <wp:inline>
            <wp:extent cx="5575300" cy="3445535"/>
            <wp:effectExtent b="0" l="0" r="0" t="0"/>
            <wp:docPr descr="" title="" id="75" name="Picture"/>
            <a:graphic>
              <a:graphicData uri="http://schemas.openxmlformats.org/drawingml/2006/picture">
                <pic:pic>
                  <pic:nvPicPr>
                    <pic:cNvPr descr="sstt25_dtcs_quato_words_output_files/figure-docx/unnamed-chunk-11-1.png" id="76" name="Picture"/>
                    <pic:cNvPicPr>
                      <a:picLocks noChangeArrowheads="1" noChangeAspect="1"/>
                    </pic:cNvPicPr>
                  </pic:nvPicPr>
                  <pic:blipFill>
                    <a:blip r:embed="rId74"/>
                    <a:stretch>
                      <a:fillRect/>
                    </a:stretch>
                  </pic:blipFill>
                  <pic:spPr bwMode="auto">
                    <a:xfrm>
                      <a:off x="0" y="0"/>
                      <a:ext cx="5575300" cy="3445535"/>
                    </a:xfrm>
                    <a:prstGeom prst="rect">
                      <a:avLst/>
                    </a:prstGeom>
                    <a:noFill/>
                    <a:ln w="9525">
                      <a:noFill/>
                      <a:headEnd/>
                      <a:tailEnd/>
                    </a:ln>
                  </pic:spPr>
                </pic:pic>
              </a:graphicData>
            </a:graphic>
          </wp:inline>
        </w:drawing>
      </w:r>
    </w:p>
    <w:bookmarkStart w:id="77"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7"/>
    <w:bookmarkEnd w:id="78"/>
    <w:bookmarkStart w:id="79" w:name="X3551341adfe139382efbd4b64ae37200c4ea843"/>
    <w:p>
      <w:pPr>
        <w:pStyle w:val="Heading4"/>
      </w:pPr>
      <w:r>
        <w:t xml:space="preserve">Biểu đồ phân loại suy giảm nhận thức và sa sút trí tuệ theo MMSE</w:t>
      </w:r>
    </w:p>
    <w:p>
      <w:pPr>
        <w:pStyle w:val="FirstParagraph"/>
      </w:pPr>
    </w:p>
    <w:bookmarkEnd w:id="79"/>
    <w:bookmarkEnd w:id="80"/>
    <w:bookmarkStart w:id="88" w:name="đặc-điểm-các-test-thần-kinh-nhận-thức"/>
    <w:p>
      <w:pPr>
        <w:pStyle w:val="Heading3"/>
      </w:pPr>
      <w:r>
        <w:t xml:space="preserve">Đặc điểm các test thần kinh nhận thức</w:t>
      </w:r>
    </w:p>
    <w:bookmarkStart w:id="82"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1"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1"/>
    <w:bookmarkEnd w:id="82"/>
    <w:bookmarkStart w:id="87"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4" name="Picture"/>
            <a:graphic>
              <a:graphicData uri="http://schemas.openxmlformats.org/drawingml/2006/picture">
                <pic:pic>
                  <pic:nvPicPr>
                    <pic:cNvPr descr="sstt25_dtcs_quato_words_output_files/figure-docx/unnamed-chunk-13-1.png" id="85" name="Picture"/>
                    <pic:cNvPicPr>
                      <a:picLocks noChangeArrowheads="1" noChangeAspect="1"/>
                    </pic:cNvPicPr>
                  </pic:nvPicPr>
                  <pic:blipFill>
                    <a:blip r:embed="rId83"/>
                    <a:stretch>
                      <a:fillRect/>
                    </a:stretch>
                  </pic:blipFill>
                  <pic:spPr bwMode="auto">
                    <a:xfrm>
                      <a:off x="0" y="0"/>
                      <a:ext cx="5575300" cy="3445535"/>
                    </a:xfrm>
                    <a:prstGeom prst="rect">
                      <a:avLst/>
                    </a:prstGeom>
                    <a:noFill/>
                    <a:ln w="9525">
                      <a:noFill/>
                      <a:headEnd/>
                      <a:tailEnd/>
                    </a:ln>
                  </pic:spPr>
                </pic:pic>
              </a:graphicData>
            </a:graphic>
          </wp:inline>
        </w:drawing>
      </w:r>
    </w:p>
    <w:bookmarkStart w:id="86"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6"/>
    <w:bookmarkEnd w:id="87"/>
    <w:bookmarkEnd w:id="88"/>
    <w:bookmarkEnd w:id="89"/>
    <w:bookmarkStart w:id="97" w:name="tuong-quan-kq"/>
    <w:p>
      <w:pPr>
        <w:pStyle w:val="Heading2"/>
      </w:pPr>
      <w:r>
        <w:t xml:space="preserve">Mối tương quan MMSE với các test thần kinh nhận thức khác</w:t>
      </w:r>
    </w:p>
    <w:bookmarkStart w:id="91"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0"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0"/>
    <w:bookmarkEnd w:id="91"/>
    <w:bookmarkStart w:id="96"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3" name="Picture"/>
            <a:graphic>
              <a:graphicData uri="http://schemas.openxmlformats.org/drawingml/2006/picture">
                <pic:pic>
                  <pic:nvPicPr>
                    <pic:cNvPr descr="sstt25_dtcs_quato_words_output_files/figure-docx/unnamed-chunk-15-1.png" id="94" name="Picture"/>
                    <pic:cNvPicPr>
                      <a:picLocks noChangeArrowheads="1" noChangeAspect="1"/>
                    </pic:cNvPicPr>
                  </pic:nvPicPr>
                  <pic:blipFill>
                    <a:blip r:embed="rId92"/>
                    <a:stretch>
                      <a:fillRect/>
                    </a:stretch>
                  </pic:blipFill>
                  <pic:spPr bwMode="auto">
                    <a:xfrm>
                      <a:off x="0" y="0"/>
                      <a:ext cx="5575300" cy="3445535"/>
                    </a:xfrm>
                    <a:prstGeom prst="rect">
                      <a:avLst/>
                    </a:prstGeom>
                    <a:noFill/>
                    <a:ln w="9525">
                      <a:noFill/>
                      <a:headEnd/>
                      <a:tailEnd/>
                    </a:ln>
                  </pic:spPr>
                </pic:pic>
              </a:graphicData>
            </a:graphic>
          </wp:inline>
        </w:drawing>
      </w:r>
    </w:p>
    <w:bookmarkStart w:id="95" w:name="Xe6d9dc1aca1623993cdc5d1b96b0d371ce22f45"/>
    <w:p>
      <w:pPr>
        <w:pStyle w:val="Heading5"/>
      </w:pPr>
      <w:r>
        <w:t xml:space="preserve">Một số test như Nhớ lại ngay, Lưu loát ngôn ngữ và Nhớ lại có trì hoãn có tương quan mạnh hơn ở nhóm sa sút trí tuệ.</w:t>
      </w:r>
    </w:p>
    <w:bookmarkEnd w:id="95"/>
    <w:bookmarkEnd w:id="96"/>
    <w:bookmarkEnd w:id="97"/>
    <w:bookmarkStart w:id="114" w:name="ung-dung-kq"/>
    <w:p>
      <w:pPr>
        <w:pStyle w:val="Heading2"/>
      </w:pPr>
      <w:r>
        <w:t xml:space="preserve">Đánh giá hiệu quả ứng dụng trong chẩn đoán và điều trị bộ test thần kinh nhận thức</w:t>
      </w:r>
    </w:p>
    <w:bookmarkStart w:id="105" w:name="X55d896d4fb1d7aac001448b62ed37a4bbfc6ad5"/>
    <w:p>
      <w:pPr>
        <w:pStyle w:val="Heading3"/>
      </w:pPr>
      <w:r>
        <w:t xml:space="preserve">Đánh giá mức độ hoàn thành bộ test thần kinh nhận thức</w:t>
      </w:r>
    </w:p>
    <w:bookmarkStart w:id="103"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1"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99" name="Picture"/>
            <a:graphic>
              <a:graphicData uri="http://schemas.openxmlformats.org/drawingml/2006/picture">
                <pic:pic>
                  <pic:nvPicPr>
                    <pic:cNvPr descr="sstt25_dtcs_quato_words_output_files/figure-docx/BD%20hoàn%20thành%20bộ%20test%20thần%20kinh%20nhận%20thức-1.png" id="100" name="Picture"/>
                    <pic:cNvPicPr>
                      <a:picLocks noChangeArrowheads="1" noChangeAspect="1"/>
                    </pic:cNvPicPr>
                  </pic:nvPicPr>
                  <pic:blipFill>
                    <a:blip r:embed="rId98"/>
                    <a:stretch>
                      <a:fillRect/>
                    </a:stretch>
                  </pic:blipFill>
                  <pic:spPr bwMode="auto">
                    <a:xfrm>
                      <a:off x="0" y="0"/>
                      <a:ext cx="5575300" cy="3445535"/>
                    </a:xfrm>
                    <a:prstGeom prst="rect">
                      <a:avLst/>
                    </a:prstGeom>
                    <a:noFill/>
                    <a:ln w="9525">
                      <a:noFill/>
                      <a:headEnd/>
                      <a:tailEnd/>
                    </a:ln>
                  </pic:spPr>
                </pic:pic>
              </a:graphicData>
            </a:graphic>
          </wp:inline>
        </w:drawing>
      </w:r>
    </w:p>
    <w:bookmarkEnd w:id="101"/>
    <w:bookmarkStart w:id="102"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2"/>
    <w:bookmarkEnd w:id="103"/>
    <w:bookmarkStart w:id="104"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4"/>
    <w:bookmarkEnd w:id="105"/>
    <w:bookmarkStart w:id="113" w:name="Xd1f0ecf82be72ae79d8fbf9738c735629d5ecc7"/>
    <w:p>
      <w:pPr>
        <w:pStyle w:val="Heading3"/>
      </w:pPr>
      <w:r>
        <w:t xml:space="preserve">Đánh giá sự tương đồng giữa phân độ MMSE và phân loại lâm sàng theo tiêu chuẩn lâm sàng</w:t>
      </w:r>
    </w:p>
    <w:bookmarkStart w:id="107" w:name="biểu-đồ-heatmap"/>
    <w:p>
      <w:pPr>
        <w:pStyle w:val="Heading4"/>
      </w:pPr>
      <w:r>
        <w:t xml:space="preserve">Biểu đồ heatmap</w:t>
      </w:r>
    </w:p>
    <w:bookmarkStart w:id="106"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6"/>
    <w:bookmarkEnd w:id="107"/>
    <w:bookmarkStart w:id="112"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09"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0" name="Picture"/>
                    <pic:cNvPicPr>
                      <a:picLocks noChangeArrowheads="1" noChangeAspect="1"/>
                    </pic:cNvPicPr>
                  </pic:nvPicPr>
                  <pic:blipFill>
                    <a:blip r:embed="rId108"/>
                    <a:stretch>
                      <a:fillRect/>
                    </a:stretch>
                  </pic:blipFill>
                  <pic:spPr bwMode="auto">
                    <a:xfrm>
                      <a:off x="0" y="0"/>
                      <a:ext cx="5575300" cy="3445535"/>
                    </a:xfrm>
                    <a:prstGeom prst="rect">
                      <a:avLst/>
                    </a:prstGeom>
                    <a:noFill/>
                    <a:ln w="9525">
                      <a:noFill/>
                      <a:headEnd/>
                      <a:tailEnd/>
                    </a:ln>
                  </pic:spPr>
                </pic:pic>
              </a:graphicData>
            </a:graphic>
          </wp:inline>
        </w:drawing>
      </w:r>
    </w:p>
    <w:bookmarkStart w:id="111"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1"/>
    <w:bookmarkEnd w:id="112"/>
    <w:bookmarkEnd w:id="113"/>
    <w:bookmarkEnd w:id="114"/>
    <w:bookmarkEnd w:id="115"/>
    <w:bookmarkStart w:id="191" w:name="bàn-luận"/>
    <w:p>
      <w:pPr>
        <w:pStyle w:val="Heading1"/>
      </w:pPr>
      <w:r>
        <w:t xml:space="preserve">BÀN LUẬN</w:t>
      </w:r>
    </w:p>
    <w:p>
      <w:pPr>
        <w:pStyle w:val="Heading1"/>
      </w:pPr>
      <w:r>
        <w:t xml:space="preserve">BÀN LUẬN</w:t>
      </w:r>
    </w:p>
    <w:bookmarkStart w:id="190" w:name="đặc-điểm-mẫu-của-nghiên-cứu"/>
    <w:p>
      <w:pPr>
        <w:pStyle w:val="Heading2"/>
      </w:pPr>
      <w:r>
        <w:t xml:space="preserve">Đặc điểm mẫu của nghiên cứu</w:t>
      </w:r>
    </w:p>
    <w:bookmarkStart w:id="116" w:name="đặc-điểm-chung-nhân-khẩu-học"/>
    <w:p>
      <w:pPr>
        <w:pStyle w:val="Heading3"/>
      </w:pPr>
      <w:r>
        <w:t xml:space="preserve">Đặc điểm chung nhân khẩu học</w:t>
      </w:r>
    </w:p>
    <w:bookmarkEnd w:id="116"/>
    <w:bookmarkStart w:id="117"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w:t>
      </w:r>
    </w:p>
    <w:p>
      <w:pPr>
        <w:pStyle w:val="BodyText"/>
      </w:pPr>
      <w:r>
        <w:t xml:space="preserve">Kết quả nghiên cứu cho thấy tuổi là một yếu tố liên quan rõ rệt đến mức độ suy giảm chức năng nhận thức. Nhóm sa sút trí tuệ có độ tuổi trung bình cao hơn rõ rệt so với nhóm suy giảm nhận thức nhẹ, phản ánh xu hướng bệnh lý tiến triển theo thời gian.</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[17]</w:t>
      </w:r>
      <w:r>
        <w:t xml:space="preserve">. Báo cáo</w:t>
      </w:r>
      <w:r>
        <w:t xml:space="preserve"> </w:t>
      </w:r>
      <w:r>
        <w:rPr>
          <w:i/>
          <w:iCs/>
        </w:rPr>
        <w:t xml:space="preserve">World Alzheimer Report</w:t>
      </w:r>
      <w:r>
        <w:t xml:space="preserve"> </w:t>
      </w:r>
      <w:r>
        <w:t xml:space="preserve">của Prince và cộng sự (2015) cũng khẳng định rằng nguy cơ mắc sa sút trí tuệ gia tăng rõ rệt từ tuổi 60 trở đi</w:t>
      </w:r>
      <w:r>
        <w:t xml:space="preserve"> </w:t>
      </w:r>
      <w:r>
        <w:t xml:space="preserve">[18]</w:t>
      </w:r>
      <w:r>
        <w:t xml:space="preserve">.</w:t>
      </w:r>
    </w:p>
    <w:p>
      <w:pPr>
        <w:pStyle w:val="BodyText"/>
      </w:pPr>
      <w:r>
        <w:t xml:space="preserve">Việc nhóm sa sút trí tuệ có độ tuổi trung bình cao hơn cũng phản ánh tiến trình tự nhiên từ MCI sang SSTT. Đây là cơ sở quan trọng cho việc sàng lọc và can thiệp sớm ở người cao tuổi, từ đó làm chậm tiến triển và giảm gánh nặng bệnh lý.</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Biểu đồ hộp (boxplot) minh họa rõ sự khác biệt phân bố tuổi giữa hai nhóm. Nhóm SSTT không chỉ có độ tuổi trung bình cao hơn mà còn biến thiên thấp hơn, phản ánh tích lũy yếu tố nguy cơ và biến đổi thần kinh theo thời gian.</w:t>
      </w:r>
    </w:p>
    <w:p>
      <w:pPr>
        <w:pStyle w:val="BodyText"/>
      </w:pPr>
      <w:r>
        <w:t xml:space="preserve">Khi phân tích theo nhóm tuổi rời rạc, xu hướng rõ rệt hơn: nhóm ≥80 tuổi có tỷ lệ SSTT cao nhất, trong khi nhóm 60–69 tuổi chiếm tỷ lệ MCI cao hơn. Điều này cho thấy tuổi không chỉ là yếu tố nguy cơ mà còn thúc đẩy sự chuyển tiếp từ giai đoạn nhẹ sang nặng của rối loạn nhận thức.</w:t>
      </w:r>
    </w:p>
    <w:p>
      <w:pPr>
        <w:pStyle w:val="BodyText"/>
      </w:pPr>
      <w:r>
        <w:t xml:space="preserve">Petersen và cộng sự (2018) cho biết mỗi năm có khoảng 10–15% bệnh nhân MCI tiến triển sang sa sút trí tuệ, và tỷ lệ này tăng cao ở người lớn tuổi</w:t>
      </w:r>
      <w:r>
        <w:t xml:space="preserve"> </w:t>
      </w:r>
      <w:r>
        <w:t xml:space="preserve">[19]</w:t>
      </w:r>
      <w:r>
        <w:t xml:space="preserve">. WHO cũng xác nhận tỷ lệ mắc SSTT tăng gấp đôi mỗi 5 năm sau 65 tuổi – hoàn toàn phù hợp với kết quả nghiên cứu này</w:t>
      </w:r>
      <w:r>
        <w:t xml:space="preserve"> </w:t>
      </w:r>
      <w:r>
        <w:t xml:space="preserve">[17]</w:t>
      </w:r>
      <w:r>
        <w:t xml:space="preserve">.</w:t>
      </w:r>
    </w:p>
    <w:p>
      <w:pPr>
        <w:pStyle w:val="BodyText"/>
      </w:pPr>
      <w:r>
        <w:t xml:space="preserve">Điều này cho thấy tầm quan trọng của việc sàng lọc nhận thức từ sớm (từ 50 tuổi trở đi), giúp phát hiện các biểu hiện ban đầu và can thiệp kịp thời. Đồng thời, việc quản lý SSTT ở người ≥70 tuổi là ưu tiên trong bối cảnh dân số già hóa nhanh.</w:t>
      </w:r>
    </w:p>
    <w:p>
      <w:pPr>
        <w:pStyle w:val="BodyText"/>
      </w:pPr>
      <w:r>
        <w:t xml:space="preserve">Kết quả này phù hợp với nhiều nghiên cứu. Petersen và cộng sự khẳng định tuổi là yếu tố nguy cơ hàng đầu, đặc biệt sau 75 tuổi</w:t>
      </w:r>
      <w:r>
        <w:t xml:space="preserve"> </w:t>
      </w:r>
      <w:r>
        <w:t xml:space="preserve">[10]</w:t>
      </w:r>
      <w:r>
        <w:t xml:space="preserve">. Phân tích của Arevalo-Rodriguez và cộng sự cho thấy MMSE có hiệu quả cao hơn ở nhóm lớn tuổi, với độ nhạy 81% và đặc hiệu 89%</w:t>
      </w:r>
      <w:r>
        <w:t xml:space="preserve"> </w:t>
      </w:r>
      <w:r>
        <w:t xml:space="preserve">[20]</w:t>
      </w:r>
      <w:r>
        <w:t xml:space="preserve">.</w:t>
      </w:r>
    </w:p>
    <w:p>
      <w:pPr>
        <w:pStyle w:val="BodyText"/>
      </w:pPr>
      <w:r>
        <w:t xml:space="preserve">Tại Việt Nam, Trần Văn Nam và cộng sự ghi nhận nhóm SSTT cao hơn khoảng 4 tuổi so với nhóm MCI</w:t>
      </w:r>
      <w:r>
        <w:t xml:space="preserve"> </w:t>
      </w:r>
      <w:r>
        <w:t xml:space="preserve">[21]</w:t>
      </w:r>
      <w:r>
        <w:t xml:space="preserve">. Nguyễn Thị Thu Thủy cũng cho thấy SSTT tăng mạnh ở nhóm trên 75 tuổi, trong khi MCI phổ biến hơn ở nhóm trung niên</w:t>
      </w:r>
      <w:r>
        <w:t xml:space="preserve"> </w:t>
      </w:r>
      <w:r>
        <w:t xml:space="preserve">[22]</w:t>
      </w:r>
      <w:r>
        <w:t xml:space="preserve">.</w:t>
      </w:r>
    </w:p>
    <w:p>
      <w:pPr>
        <w:pStyle w:val="BodyText"/>
      </w:pPr>
      <w:r>
        <w:t xml:space="preserve">Từ góc nhìn thần kinh học, tuổi cao đi kèm các thay đổi như teo vỏ não, mất kết nối synapse, giảm chất trắng, tích lũy amyloid-beta. Các bệnh lý nền như tăng huyết áp, đái tháo đường, rối loạn mỡ máu – phổ biến ở người cao tuổi – cũng góp phần vào thoái hóa nhận thức.</w:t>
      </w:r>
    </w:p>
    <w:p>
      <w:pPr>
        <w:pStyle w:val="BodyText"/>
      </w:pPr>
      <w:r>
        <w:t xml:space="preserve">Tuy nhiên, cần lưu ý rằng một số bệnh nhân SSTT có thể ở độ tuổi còn trẻ, như các thể bệnh Alzheimer khởi phát sớm hoặc sa sút trán-thái dương. Vì vậy, tuổi tuy là yếu tố nguy cơ quan trọng nhưng không nên là tiêu chí duy nhất trong đánh giá rối loạn nhận thức.</w:t>
      </w:r>
    </w:p>
    <w:p>
      <w:pPr>
        <w:pStyle w:val="BodyText"/>
      </w:pPr>
      <w:r>
        <w:t xml:space="preserve">Tóm lại, kết quả nghiên cứu hiện tại khẳng định</w:t>
      </w:r>
      <w:r>
        <w:t xml:space="preserve"> </w:t>
      </w:r>
      <w:r>
        <w:rPr>
          <w:b/>
          <w:bCs/>
        </w:rPr>
        <w:t xml:space="preserve">tuổi có mối liên hệ chặt chẽ với mức độ sa sút trí tuệ</w:t>
      </w:r>
      <w:r>
        <w:t xml:space="preserve">, thể hiện qua giá trị trung bình và phân bố nhóm tuổi. Các chiến lược sàng lọc, dự phòng và can thiệp cần tập trung vào nhóm người cao tuổi, nhưng cũng không bỏ sót người trẻ có nguy cơ suy giảm nhận thức sớm.</w:t>
      </w:r>
    </w:p>
    <w:bookmarkEnd w:id="117"/>
    <w:bookmarkStart w:id="118"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w:t>
      </w:r>
    </w:p>
    <w:p>
      <w:pPr>
        <w:pStyle w:val="BodyText"/>
      </w:pPr>
      <w:r>
        <w:t xml:space="preserve">Xu hướng này phù hợp với nhiều nghiên cứu trong và ngoài nước, cho thấy nữ giới là nhóm có nguy cơ cao hơn mắc các rối loạn nhận thức. Theo Tổ chức Y tế Thế giới, phụ nữ có tuổi thọ cao hơn, dẫn đến tỷ lệ mắc sa sút trí tuệ cao hơn ở nữ giới</w:t>
      </w:r>
      <w:r>
        <w:t xml:space="preserve"> </w:t>
      </w:r>
      <w:r>
        <w:t xml:space="preserve">[17]</w:t>
      </w:r>
      <w:r>
        <w:t xml:space="preserve">. Báo cáo toàn cầu về sa sút trí tuệ năm 2015 cũng nhấn mạnh rằng phụ nữ chiếm phần lớn dân số mắc bệnh, đặc biệt ở nhóm ≥75 tuổi</w:t>
      </w:r>
      <w:r>
        <w:t xml:space="preserve"> </w:t>
      </w:r>
      <w:r>
        <w:t xml:space="preserve">[18]</w:t>
      </w:r>
      <w:r>
        <w:t xml:space="preserve">.</w:t>
      </w:r>
    </w:p>
    <w:p>
      <w:pPr>
        <w:pStyle w:val="BodyText"/>
      </w:pPr>
      <w:r>
        <w:t xml:space="preserve">Tại Hoa Kỳ, nghiên cứu của</w:t>
      </w:r>
      <w:r>
        <w:t xml:space="preserve"> </w:t>
      </w:r>
      <w:r>
        <w:t xml:space="preserve">[23]</w:t>
      </w:r>
      <w:r>
        <w:t xml:space="preserve"> </w:t>
      </w:r>
      <w:r>
        <w:t xml:space="preserve">và tổng quan hệ thống của</w:t>
      </w:r>
      <w:r>
        <w:t xml:space="preserve"> </w:t>
      </w:r>
      <w:r>
        <w:t xml:space="preserve">[24]</w:t>
      </w:r>
      <w:r>
        <w:t xml:space="preserve"> </w:t>
      </w:r>
      <w:r>
        <w:t xml:space="preserve">cho thấy phụ nữ không chỉ có tỷ lệ mắc bệnh cao hơn mà còn có tốc độ tiến triển nhanh hơn ở một số thể bệnh như Alzheimer. Đặc biệt, các yếu tố như học vấn thấp, vai trò xã hội truyền thống, và sự tiếp xúc với stress kéo dài cũng là những yếu tố làm gia tăng nguy cơ.</w:t>
      </w:r>
    </w:p>
    <w:p>
      <w:pPr>
        <w:pStyle w:val="BodyText"/>
      </w:pPr>
      <w:r>
        <w:t xml:space="preserve">Tại Việt Nam, các khảo sát cộng đồng đã ghi nhận xu hướng tương tự. Nghiên cứu của</w:t>
      </w:r>
      <w:r>
        <w:t xml:space="preserve"> </w:t>
      </w:r>
      <w:r>
        <w:t xml:space="preserve">[25]</w:t>
      </w:r>
      <w:r>
        <w:t xml:space="preserve"> </w:t>
      </w:r>
      <w:r>
        <w:t xml:space="preserve">tại Bệnh viện Lão khoa Trung ương ghi nhận nữ giới chiếm tỷ lệ cao hơn trong nhóm Sa sút trí tuệ. Trong khi đó,</w:t>
      </w:r>
      <w:r>
        <w:t xml:space="preserve"> </w:t>
      </w:r>
      <w:r>
        <w:t xml:space="preserve">[26]</w:t>
      </w:r>
      <w:r>
        <w:t xml:space="preserve"> </w:t>
      </w:r>
      <w:r>
        <w:t xml:space="preserve">nhận thấy nữ giới có xu hướng đi khám sớm hơn và đạt điểm MMSE cao hơn, cho thấy nhận thức tốt hơn và khả năng chủ động hơn trong chăm sóc sức khỏe.</w:t>
      </w:r>
    </w:p>
    <w:p>
      <w:pPr>
        <w:pStyle w:val="BodyText"/>
      </w:pPr>
      <w:r>
        <w:t xml:space="preserve">Sự khác biệt này có thể lý giải bởi các yếu tố sinh học (như suy giảm estrogen sau mãn kinh), tuổi thọ cao hơn, cùng với bối cảnh văn hóa xã hội – nơi nữ giới lớn tuổi thường có trình độ học vấn thấp hơn và ít tham gia các hoạt động trí tuệ, xã hội.</w:t>
      </w:r>
    </w:p>
    <w:p>
      <w:pPr>
        <w:pStyle w:val="BodyText"/>
      </w:pPr>
      <w:r>
        <w:t xml:space="preserve">Do đó, giới tính cần được xem là yếu tố quan trọng khi đánh giá nguy cơ sa sút trí tuệ. Các chương trình sàng lọc và can thiệp cần thiết kế phù hợp với đặc điểm giới tính, đặc biệt chú trọng đến nhóm nữ trung niên và cao tuổi – những đối tượng dễ bị bỏ sót trong giai đoạn suy giảm nhận thức nhẹ.</w:t>
      </w:r>
    </w:p>
    <w:bookmarkEnd w:id="118"/>
    <w:bookmarkStart w:id="119"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nền tảng ảnh hưởng đến nguy cơ mắc suy giảm nhận thức và sa sút trí tuệ. Trong nghiên cứu này, nhóm</w:t>
      </w:r>
      <w:r>
        <w:t xml:space="preserve"> </w:t>
      </w:r>
      <w:r>
        <w:rPr>
          <w:b/>
          <w:bCs/>
        </w:rPr>
        <w:t xml:space="preserve">Suy giảm nhận thức nhẹ (MCI)</w:t>
      </w:r>
      <w:r>
        <w:t xml:space="preserve"> </w:t>
      </w:r>
      <w:r>
        <w:t xml:space="preserve">có tỷ lệ học vấn</w:t>
      </w:r>
      <w:r>
        <w:t xml:space="preserve"> </w:t>
      </w:r>
      <w:r>
        <w:rPr>
          <w:b/>
          <w:bCs/>
        </w:rPr>
        <w:t xml:space="preserve">Đại học</w:t>
      </w:r>
      <w:r>
        <w:t xml:space="preserve"> </w:t>
      </w:r>
      <w:r>
        <w:t xml:space="preserve">cao hơn đáng kể (38,8%) so với nhóm</w:t>
      </w:r>
      <w:r>
        <w:t xml:space="preserve"> </w:t>
      </w:r>
      <w:r>
        <w:rPr>
          <w:b/>
          <w:bCs/>
        </w:rPr>
        <w:t xml:space="preserve">Sa sút trí tuệ (SSTT)</w:t>
      </w:r>
      <w:r>
        <w:t xml:space="preserve"> </w:t>
      </w:r>
      <w:r>
        <w:t xml:space="preserve">(25,1%). Ngược lại, nhóm SSTT có tỷ lệ học vấn</w:t>
      </w:r>
      <w:r>
        <w:t xml:space="preserve"> </w:t>
      </w:r>
      <w:r>
        <w:rPr>
          <w:b/>
          <w:bCs/>
        </w:rPr>
        <w:t xml:space="preserve">Tiểu học</w:t>
      </w:r>
      <w:r>
        <w:t xml:space="preserve"> </w:t>
      </w:r>
      <w:r>
        <w:t xml:space="preserve">cao hơn rõ rệt (15,5% so với 4,7% ở nhóm MCI). Sự khác biệt này có ý nghĩa thống kê (</w:t>
      </w:r>
      <w:r>
        <w:rPr>
          <w:i/>
          <w:iCs/>
        </w:rPr>
        <w:t xml:space="preserve">p</w:t>
      </w:r>
      <w:r>
        <w:t xml:space="preserve"> </w:t>
      </w:r>
      <w:r>
        <w:t xml:space="preserve">= 0,004), củng cố giả thuyết rằng học vấn cao có vai trò bảo vệ nhận thức.</w:t>
      </w:r>
    </w:p>
    <w:p>
      <w:pPr>
        <w:pStyle w:val="BodyText"/>
      </w:pPr>
      <w:r>
        <w:t xml:space="preserve">Cơ chế phổ biến nhất được sử dụng để giải thích mối liên quan giữa học vấn và chức năng nhận thức là lý thuyết</w:t>
      </w:r>
      <w:r>
        <w:t xml:space="preserve"> </w:t>
      </w:r>
      <w:r>
        <w:t xml:space="preserve">“dự trữ nhận thức”</w:t>
      </w:r>
      <w:r>
        <w:t xml:space="preserve"> </w:t>
      </w:r>
      <w:r>
        <w:t xml:space="preserve">(</w:t>
      </w:r>
      <w:r>
        <w:rPr>
          <w:i/>
          <w:iCs/>
        </w:rPr>
        <w:t xml:space="preserve">cognitive reserve</w:t>
      </w:r>
      <w:r>
        <w:t xml:space="preserve">). Theo đó, người có học vấn cao sẽ phát triển được các mạng lưới thần kinh linh hoạt hơn, tăng khả năng thích nghi và bù trừ chức năng khi não bộ bị tổn thương. Nhờ đó, triệu chứng lâm sàng của sa sút trí tuệ có thể được trì hoãn hoặc biểu hiện ở mức độ nhẹ hơn, ngay cả khi tồn tại các biến đổi bệnh lý nền. Các nghiên cứu của</w:t>
      </w:r>
      <w:r>
        <w:t xml:space="preserve"> </w:t>
      </w:r>
      <w:r>
        <w:rPr>
          <w:b/>
          <w:bCs/>
        </w:rPr>
        <w:t xml:space="preserve">Stern</w:t>
      </w:r>
      <w:r>
        <w:t xml:space="preserve"> </w:t>
      </w:r>
      <w:r>
        <w:t xml:space="preserve">đã cung cấp bằng chứng sinh học và lâm sàng cho giả thuyết này</w:t>
      </w:r>
      <w:r>
        <w:t xml:space="preserve"> </w:t>
      </w:r>
      <w:r>
        <w:t xml:space="preserve">[27,28]</w:t>
      </w:r>
      <w:r>
        <w:t xml:space="preserve">.</w:t>
      </w:r>
    </w:p>
    <w:p>
      <w:pPr>
        <w:pStyle w:val="BodyText"/>
      </w:pPr>
      <w:r>
        <w:t xml:space="preserve">Phát hiện này hoàn toàn phù hợp với các nghiên cứu quốc tế. Báo cáo của</w:t>
      </w:r>
      <w:r>
        <w:t xml:space="preserve"> </w:t>
      </w:r>
      <w:r>
        <w:rPr>
          <w:b/>
          <w:bCs/>
        </w:rPr>
        <w:t xml:space="preserve">Livingston và cộng sự</w:t>
      </w:r>
      <w:r>
        <w:t xml:space="preserve"> </w:t>
      </w:r>
      <w:r>
        <w:t xml:space="preserve">(2020) khẳng định trình độ học vấn thấp là một trong 12 yếu tố nguy cơ có thể can thiệp để làm giảm nguy cơ mắc sa sút trí tuệ, với ước tính có thể giảm tới 7% gánh nặng bệnh lý nếu cải thiện trình độ học vấn dân số</w:t>
      </w:r>
      <w:r>
        <w:t xml:space="preserve"> </w:t>
      </w:r>
      <w:r>
        <w:t xml:space="preserve">[29]</w:t>
      </w:r>
      <w:r>
        <w:t xml:space="preserve">.</w:t>
      </w:r>
      <w:r>
        <w:t xml:space="preserve"> </w:t>
      </w:r>
      <w:r>
        <w:rPr>
          <w:b/>
          <w:bCs/>
        </w:rPr>
        <w:t xml:space="preserve">Gao và cộng sự</w:t>
      </w:r>
      <w:r>
        <w:t xml:space="preserve"> </w:t>
      </w:r>
      <w:r>
        <w:t xml:space="preserve">(1998) cũng ghi nhận tỷ lệ mắc sa sút trí tuệ cao hơn ở nhóm không học hết tiểu học</w:t>
      </w:r>
      <w:r>
        <w:t xml:space="preserve"> </w:t>
      </w:r>
      <w:r>
        <w:t xml:space="preserve">[30]</w:t>
      </w:r>
      <w:r>
        <w:t xml:space="preserve">. Một nghiên cứu tại Hàn Quốc cho thấy người chỉ học đến tiểu học có nguy cơ mắc bệnh cao gấp 2,5 lần so với người học sau trung học</w:t>
      </w:r>
      <w:r>
        <w:t xml:space="preserve"> </w:t>
      </w:r>
      <w:r>
        <w:t xml:space="preserve">[31]</w:t>
      </w:r>
      <w:r>
        <w:t xml:space="preserve">.</w:t>
      </w:r>
    </w:p>
    <w:p>
      <w:pPr>
        <w:pStyle w:val="BodyText"/>
      </w:pPr>
      <w:r>
        <w:t xml:space="preserve">Tại Việt Nam, nhiều bằng chứng dịch tễ cũng cho thấy vai trò bảo vệ của học vấn.</w:t>
      </w:r>
      <w:r>
        <w:t xml:space="preserve"> </w:t>
      </w:r>
      <w:r>
        <w:rPr>
          <w:b/>
          <w:bCs/>
        </w:rPr>
        <w:t xml:space="preserve">Lê Văn Tuấn và cộng sự</w:t>
      </w:r>
      <w:r>
        <w:t xml:space="preserve"> </w:t>
      </w:r>
      <w:r>
        <w:t xml:space="preserve">khảo sát tại Trà Vinh phát hiện người mù chữ có nguy cơ SSTT cao gấp 3,3 lần so với người biết chữ (OR = 3,3; KTC 95%: 1,4–7,9)</w:t>
      </w:r>
      <w:r>
        <w:t xml:space="preserve"> </w:t>
      </w:r>
      <w:r>
        <w:t xml:space="preserve">[32]</w:t>
      </w:r>
      <w:r>
        <w:t xml:space="preserve">.</w:t>
      </w:r>
      <w:r>
        <w:t xml:space="preserve"> </w:t>
      </w:r>
      <w:r>
        <w:rPr>
          <w:b/>
          <w:bCs/>
        </w:rPr>
        <w:t xml:space="preserve">Trần Văn Hào</w:t>
      </w:r>
      <w:r>
        <w:t xml:space="preserve"> </w:t>
      </w:r>
      <w:r>
        <w:t xml:space="preserve">(2020) và</w:t>
      </w:r>
      <w:r>
        <w:t xml:space="preserve"> </w:t>
      </w:r>
      <w:r>
        <w:rPr>
          <w:b/>
          <w:bCs/>
        </w:rPr>
        <w:t xml:space="preserve">Trần Văn Nam</w:t>
      </w:r>
      <w:r>
        <w:t xml:space="preserve"> </w:t>
      </w:r>
      <w:r>
        <w:t xml:space="preserve">(2020) đều cho thấy nhóm SSTT có tỷ lệ học dưới trung học cơ sở cao hơn có ý nghĩa</w:t>
      </w:r>
      <w:r>
        <w:t xml:space="preserve"> </w:t>
      </w:r>
      <w:r>
        <w:t xml:space="preserve">[21,33]</w:t>
      </w:r>
      <w:r>
        <w:t xml:space="preserve">.</w:t>
      </w:r>
      <w:r>
        <w:t xml:space="preserve"> </w:t>
      </w:r>
      <w:r>
        <w:rPr>
          <w:b/>
          <w:bCs/>
        </w:rPr>
        <w:t xml:space="preserve">Nguyễn Thị Thu Thủy</w:t>
      </w:r>
      <w:r>
        <w:t xml:space="preserve"> </w:t>
      </w:r>
      <w:r>
        <w:t xml:space="preserve">còn nhận thấy điểm MMSE thấp hơn và tốc độ tiến triển nhanh hơn ở người học vấn thấp</w:t>
      </w:r>
      <w:r>
        <w:t xml:space="preserve"> </w:t>
      </w:r>
      <w:r>
        <w:t xml:space="preserve">[22]</w:t>
      </w:r>
      <w:r>
        <w:t xml:space="preserve">.</w:t>
      </w:r>
    </w:p>
    <w:p>
      <w:pPr>
        <w:pStyle w:val="BodyText"/>
      </w:pPr>
      <w:r>
        <w:t xml:space="preserve">Kết quả bảng và biểu đồ trong nghiên cứu hiện tại một lần nữa làm rõ mối liên quan trên: Tỷ lệ trình độ Đại học cao nhất ghi nhận ở nhóm Suy giảm nhận thức nhẹ (38,8%) so với nhóm Sa sút trí tuệ (25,1%). Giá trị p kiểm định sự khác biệt giữa hai nhóm là 0,004.. Trong biểu đồ, nhóm MCI chiếm ưu thế ở các mức học vấn cao hơn, phản ánh trực quan mối liên hệ giữa trình độ học vấn và mức độ suy giảm nhận thức (Biểu đồ cho thấy nhóm Suy giảm nhận thức nhẹ có xu hướng đạt trình độ học vấn cao hơn.).</w:t>
      </w:r>
    </w:p>
    <w:p>
      <w:pPr>
        <w:pStyle w:val="BodyText"/>
      </w:pPr>
      <w:r>
        <w:t xml:space="preserve">Về mặt sinh học thần kinh, học vấn cao có thể liên quan đến mật độ synapse cao hơn, vỏ não dày hơn và mạng lưới liên kết thần kinh hiệu quả hơn, góp phần duy trì chức năng nhận thức ổn định. Từ góc độ xã hội và hành vi, người học vấn cao thường có lối sống lành mạnh hơn, dễ tiếp cận dịch vụ y tế, ít chịu tác động tiêu cực từ stress mãn tính, đồng thời thường xuyên tham gia vào các hoạt động trí tuệ – xã hội, từ đó góp phần làm chậm quá trình suy giảm nhận thức.</w:t>
      </w:r>
    </w:p>
    <w:p>
      <w:pPr>
        <w:pStyle w:val="BodyText"/>
      </w:pPr>
      <w:r>
        <w:t xml:space="preserve">Với những bằng chứng trong và ngoài nước, có thể khẳng định rằng trình độ học vấn không chỉ là một đặc điểm nền mà là một yếu tố nguy cơ độc lập quan trọng ảnh hưởng đến khả năng khởi phát và tiến triển của các rối loạn nhận thức. Các chiến lược sàng lọc, can thiệp và giáo dục sức khỏe cộng đồng cần đặc biệt chú ý đến nhóm người cao tuổi có học vấn thấp, nhằm tăng cường khả năng dự phòng và làm chậm tiến triển bệnh lý nhận thức trong bối cảnh già hóa dân số hiện nay.</w:t>
      </w:r>
    </w:p>
    <w:p>
      <w:pPr>
        <w:pStyle w:val="BodyText"/>
      </w:pPr>
      <w:r>
        <w:rPr>
          <w:b/>
          <w:bCs/>
        </w:rPr>
        <w:t xml:space="preserve">Bàn luận chung về đặc điểm nhân khẩu học</w:t>
      </w:r>
    </w:p>
    <w:p>
      <w:pPr>
        <w:pStyle w:val="BodyText"/>
      </w:pPr>
      <w:r>
        <w:t xml:space="preserve">Kết quả nghiên cứu cho thấy</w:t>
      </w:r>
      <w:r>
        <w:t xml:space="preserve"> </w:t>
      </w:r>
      <w:r>
        <w:rPr>
          <w:i/>
          <w:iCs/>
        </w:rPr>
        <w:t xml:space="preserve">sự phân bố không đồng đều về đặc điểm nhân khẩu học</w:t>
      </w:r>
      <w:r>
        <w:t xml:space="preserve"> </w:t>
      </w:r>
      <w:r>
        <w:t xml:space="preserve">giữa các nhóm chẩn đoán suy giảm nhận thức. Tuổi trung bình ở nhóm sa sút trí tuệ cao hơn rõ rệt so với nhóm suy giảm nhận thức nhẹ, phù hợp với kết quả từ nghiên cứu của Brookmeyer và cộng sự tại Hoa Kỳ, trong đó</w:t>
      </w:r>
      <w:r>
        <w:t xml:space="preserve"> </w:t>
      </w:r>
      <w:r>
        <w:rPr>
          <w:i/>
          <w:iCs/>
        </w:rPr>
        <w:t xml:space="preserve">tuổi được xác định là yếu tố nguy cơ mạnh nhất</w:t>
      </w:r>
      <w:r>
        <w:t xml:space="preserve"> </w:t>
      </w:r>
      <w:r>
        <w:t xml:space="preserve">đối với sa sút trí tuệ.</w:t>
      </w:r>
      <w:r>
        <w:t xml:space="preserve"> </w:t>
      </w:r>
      <w:r>
        <w:t xml:space="preserve">[34]</w:t>
      </w:r>
      <w:r>
        <w:br/>
      </w:r>
      <w:r>
        <w:t xml:space="preserve">Tại Việt Nam, nghiên cứu của Nguyễn Văn Tuấn và cộng sự cũng ghi nhận xu hướng tương tự, khi</w:t>
      </w:r>
      <w:r>
        <w:t xml:space="preserve"> </w:t>
      </w:r>
      <w:r>
        <w:rPr>
          <w:i/>
          <w:iCs/>
        </w:rPr>
        <w:t xml:space="preserve">tỷ lệ sa sút trí tuệ tăng dần theo nhóm tuổi từ 60 trở lên</w:t>
      </w:r>
      <w:r>
        <w:t xml:space="preserve">.</w:t>
      </w:r>
      <w:r>
        <w:t xml:space="preserve"> </w:t>
      </w:r>
      <w:r>
        <w:t xml:space="preserve">[35]</w:t>
      </w:r>
    </w:p>
    <w:p>
      <w:pPr>
        <w:pStyle w:val="BodyText"/>
      </w:pPr>
      <w:r>
        <w:t xml:space="preserve">Ngoài ra, tỷ lệ nữ giới cao hơn ở nhóm sa sút trí tuệ là một đặc điểm nổi bật, có thể phản ánh</w:t>
      </w:r>
      <w:r>
        <w:t xml:space="preserve"> </w:t>
      </w:r>
      <w:r>
        <w:rPr>
          <w:i/>
          <w:iCs/>
        </w:rPr>
        <w:t xml:space="preserve">sự chênh lệch về tuổi thọ</w:t>
      </w:r>
      <w:r>
        <w:t xml:space="preserve"> </w:t>
      </w:r>
      <w:r>
        <w:t xml:space="preserve">giữa hai giới, cũng như những khác biệt về</w:t>
      </w:r>
      <w:r>
        <w:t xml:space="preserve"> </w:t>
      </w:r>
      <w:r>
        <w:rPr>
          <w:i/>
          <w:iCs/>
        </w:rPr>
        <w:t xml:space="preserve">yếu tố nội tiết và tiếp xúc xã hội</w:t>
      </w:r>
      <w:r>
        <w:t xml:space="preserve">.</w:t>
      </w:r>
      <w:r>
        <w:t xml:space="preserve"> </w:t>
      </w:r>
      <w:r>
        <w:t xml:space="preserve">[36]</w:t>
      </w:r>
    </w:p>
    <w:p>
      <w:pPr>
        <w:pStyle w:val="BodyText"/>
      </w:pPr>
      <w:r>
        <w:t xml:space="preserve">Nghiên cứu tại Nhật Bản bởi Meguro và cộng sự cũng ghi nhận</w:t>
      </w:r>
      <w:r>
        <w:t xml:space="preserve"> </w:t>
      </w:r>
      <w:r>
        <w:rPr>
          <w:i/>
          <w:iCs/>
        </w:rPr>
        <w:t xml:space="preserve">tỷ lệ nữ mắc bệnh cao hơn đáng kể trong nhóm bệnh Alzheimer</w:t>
      </w:r>
      <w:r>
        <w:t xml:space="preserve">.</w:t>
      </w:r>
      <w:r>
        <w:t xml:space="preserve"> </w:t>
      </w:r>
      <w:r>
        <w:t xml:space="preserve">[37]</w:t>
      </w:r>
      <w:r>
        <w:br/>
      </w:r>
      <w:r>
        <w:t xml:space="preserve">Tại Việt Nam, nghiên cứu của Trần Thị Hạnh ghi nhận</w:t>
      </w:r>
      <w:r>
        <w:t xml:space="preserve"> </w:t>
      </w:r>
      <w:r>
        <w:rPr>
          <w:i/>
          <w:iCs/>
        </w:rPr>
        <w:t xml:space="preserve">tỷ lệ nữ giới chiếm trên 60%</w:t>
      </w:r>
      <w:r>
        <w:t xml:space="preserve"> </w:t>
      </w:r>
      <w:r>
        <w:t xml:space="preserve">trong nhóm bệnh nhân sa sút trí tuệ điều trị nội trú.</w:t>
      </w:r>
      <w:r>
        <w:t xml:space="preserve"> </w:t>
      </w:r>
      <w:r>
        <w:t xml:space="preserve">[38]</w:t>
      </w:r>
    </w:p>
    <w:p>
      <w:pPr>
        <w:pStyle w:val="BodyText"/>
      </w:pPr>
      <w:r>
        <w:t xml:space="preserve">Một kết quả đáng lưu ý là sự khác biệt về trình độ học vấn giữa các nhóm.</w:t>
      </w:r>
      <w:r>
        <w:t xml:space="preserve"> </w:t>
      </w:r>
      <w:r>
        <w:rPr>
          <w:i/>
          <w:iCs/>
        </w:rPr>
        <w:t xml:space="preserve">Tỷ lệ người học hết trung học phổ thông trở lên</w:t>
      </w:r>
      <w:r>
        <w:t xml:space="preserve"> </w:t>
      </w:r>
      <w:r>
        <w:t xml:space="preserve">cao hơn rõ rệt ở nhóm suy giảm nhận thức nhẹ so với nhóm sa sút trí tuệ. Phát hiện này phù hợp với</w:t>
      </w:r>
      <w:r>
        <w:t xml:space="preserve"> </w:t>
      </w:r>
      <w:r>
        <w:rPr>
          <w:i/>
          <w:iCs/>
        </w:rPr>
        <w:t xml:space="preserve">giả thuyết</w:t>
      </w:r>
      <w:r>
        <w:rPr>
          <w:i/>
          <w:iCs/>
        </w:rPr>
        <w:t xml:space="preserve"> </w:t>
      </w:r>
      <w:r>
        <w:rPr>
          <w:i/>
          <w:iCs/>
        </w:rPr>
        <w:t xml:space="preserve">“dự trữ nhận thức”</w:t>
      </w:r>
      <w:r>
        <w:rPr>
          <w:i/>
          <w:iCs/>
        </w:rPr>
        <w:t xml:space="preserve"> </w:t>
      </w:r>
      <w:r>
        <w:rPr>
          <w:i/>
          <w:iCs/>
        </w:rPr>
        <w:t xml:space="preserve">(cognitive reserve)</w:t>
      </w:r>
      <w:r>
        <w:t xml:space="preserve">, vốn được chứng minh qua nhiều nghiên cứu quốc tế như nghiên cứu của Stern.</w:t>
      </w:r>
      <w:r>
        <w:t xml:space="preserve"> </w:t>
      </w:r>
      <w:r>
        <w:t xml:space="preserve">[39]</w:t>
      </w:r>
    </w:p>
    <w:p>
      <w:pPr>
        <w:pStyle w:val="BodyText"/>
      </w:pPr>
      <w:r>
        <w:t xml:space="preserve">Ở Việt Nam, nghiên cứu cộng đồng của Lê Minh Tâm và cộng sự cũng cho thấy</w:t>
      </w:r>
      <w:r>
        <w:t xml:space="preserve"> </w:t>
      </w:r>
      <w:r>
        <w:rPr>
          <w:i/>
          <w:iCs/>
        </w:rPr>
        <w:t xml:space="preserve">học vấn thấp là yếu tố nguy cơ độc lập làm tăng khả năng mắc sa sút trí tuệ</w:t>
      </w:r>
      <w:r>
        <w:t xml:space="preserve"> </w:t>
      </w:r>
      <w:r>
        <w:t xml:space="preserve">ở người cao tuổi.</w:t>
      </w:r>
      <w:r>
        <w:t xml:space="preserve"> </w:t>
      </w:r>
      <w:r>
        <w:t xml:space="preserve">[40]</w:t>
      </w:r>
    </w:p>
    <w:p>
      <w:pPr>
        <w:pStyle w:val="BodyText"/>
      </w:pPr>
      <w:r>
        <w:t xml:space="preserve">Như vậy, các yếu tố tuổi, giới và học vấn không chỉ có giá trị mô tả mà còn mang ý nghĩa dự báo và định hướng dự phòng. Việc nhận diện sớm các nhóm có nguy cơ cao – đặc biệt là</w:t>
      </w:r>
      <w:r>
        <w:t xml:space="preserve"> </w:t>
      </w:r>
      <w:r>
        <w:rPr>
          <w:i/>
          <w:iCs/>
        </w:rPr>
        <w:t xml:space="preserve">người cao tuổi, nữ giới và có học vấn thấp</w:t>
      </w:r>
      <w:r>
        <w:t xml:space="preserve"> </w:t>
      </w:r>
      <w:r>
        <w:t xml:space="preserve">– sẽ góp phần thiết kế các chương trình</w:t>
      </w:r>
      <w:r>
        <w:t xml:space="preserve"> </w:t>
      </w:r>
      <w:r>
        <w:rPr>
          <w:i/>
          <w:iCs/>
        </w:rPr>
        <w:t xml:space="preserve">sàng lọc, giáo dục và can thiệp phù hợp</w:t>
      </w:r>
      <w:r>
        <w:t xml:space="preserve"> </w:t>
      </w:r>
      <w:r>
        <w:t xml:space="preserve">nhằm làm chậm tiến triển của sa sút trí tuệ trong cộng đồng.</w:t>
      </w:r>
    </w:p>
    <w:bookmarkEnd w:id="119"/>
    <w:bookmarkStart w:id="120"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[41]</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[19]</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[29]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0"/>
    <w:bookmarkStart w:id="121"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1"/>
    <w:bookmarkStart w:id="122"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[42]</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[16]</w:t>
      </w:r>
      <w:r>
        <w:t xml:space="preserve">;</w:t>
      </w:r>
      <w:r>
        <w:t xml:space="preserve"> </w:t>
      </w:r>
      <w:r>
        <w:t xml:space="preserve">[14]</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[42]</w:t>
      </w:r>
      <w:r>
        <w:t xml:space="preserve">;</w:t>
      </w:r>
      <w:r>
        <w:t xml:space="preserve"> </w:t>
      </w:r>
      <w:r>
        <w:t xml:space="preserve">[12]</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[16]</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[13]</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cao tuổi ở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không chỉ ở khoa khám thần kinh, khoa lão mà còn áp dụng rộng rãi trong các phòng khám đa khoa tại các Bệnh viện.</w:t>
      </w:r>
    </w:p>
    <w:bookmarkEnd w:id="122"/>
    <w:bookmarkStart w:id="123" w:name="X08b7facae3780e1703e09917d4fab05daca13f9"/>
    <w:p>
      <w:pPr>
        <w:pStyle w:val="Heading3"/>
      </w:pPr>
      <w:r>
        <w:t xml:space="preserve">mối liên quan phân loại mmse và tiêu chuẩn vàng</w:t>
      </w:r>
    </w:p>
    <w:bookmarkEnd w:id="123"/>
    <w:bookmarkStart w:id="189" w:name="X306f91ad9f2e9908153bb9e45028cb38f2d89eb"/>
    <w:p>
      <w:pPr>
        <w:pStyle w:val="Heading3"/>
      </w:pPr>
      <w:r>
        <w:t xml:space="preserve">🔍 Bàn luận: Mối tương quan giữa phân độ MMSE và phân loại lâm sàng</w:t>
      </w:r>
    </w:p>
    <w:p>
      <w:pPr>
        <w:pStyle w:val="FirstParagraph"/>
      </w:pPr>
      <w:r>
        <w:t xml:space="preserve">Kết quả phân tích cho thấy tồn tại một</w:t>
      </w:r>
      <w:r>
        <w:t xml:space="preserve"> </w:t>
      </w:r>
      <w:r>
        <w:rPr>
          <w:b/>
          <w:bCs/>
        </w:rPr>
        <w:t xml:space="preserve">mối tương quan thứ bậc có ý nghĩa thống kê</w:t>
      </w:r>
      <w:r>
        <w:t xml:space="preserve"> </w:t>
      </w:r>
      <w:r>
        <w:t xml:space="preserve">giữa phân độ MMSE và phân loại lâm sàng của bệnh nhân sa sút trí tuệ tại bệnh viện. Hệ số tương quan Spearman ρ = 0,82, Kendall τ = 0,76, với</w:t>
      </w:r>
      <w:r>
        <w:t xml:space="preserve"> </w:t>
      </w:r>
      <w:r>
        <w:rPr>
          <w:i/>
          <w:iCs/>
        </w:rPr>
        <w:t xml:space="preserve">p</w:t>
      </w:r>
      <w:r>
        <w:t xml:space="preserve"> </w:t>
      </w:r>
      <w:r>
        <w:t xml:space="preserve">= &lt; 0.001, phản ánh rõ xu hướng đồng biến: khi phân độ MMSE chuyển từ mức nhẹ sang nặng (điểm số giảm), thì mức độ bệnh được đánh giá trên lâm sàng cũng tăng dần về mức độ nghiêm trọng. Điều này khẳng định sự tương đồng giữa đánh giá khách quan bằng công cụ MMSE và nhận định tổng hợp từ lâm sàng (bao gồm khám thần kinh, quan sát hành vi và thông tin từ người chăm sóc).</w:t>
      </w:r>
    </w:p>
    <w:p>
      <w:pPr>
        <w:pStyle w:val="BodyText"/>
      </w:pPr>
      <w:r>
        <w:t xml:space="preserve">Biểu đồ heatmap và scatter pastel đã trực quan hóa xu hướng này một cách rõ nét, khi phần lớn các bệnh nhân tập trung theo đường chéo từ trái trên xuống phải dưới – biểu thị sự phù hợp giữa hai hệ phân độ. Điều này cũng được phản ánh trong bảng phân bố chéo: tỷ lệ bệnh nhân trong từng nhóm lâm sàng chủ yếu nằm trong một hoặc hai phân độ MMSE tương ứng.</w:t>
      </w:r>
    </w:p>
    <w:p>
      <w:pPr>
        <w:pStyle w:val="BodyText"/>
      </w:pPr>
      <w:r>
        <w:t xml:space="preserve">So sánh với các nghiên cứu trước đây, kết quả này hoàn toàn phù hợp. Nghiên cứu của</w:t>
      </w:r>
      <w:r>
        <w:t xml:space="preserve"> </w:t>
      </w:r>
      <w:r>
        <w:rPr>
          <w:b/>
          <w:bCs/>
        </w:rPr>
        <w:t xml:space="preserve">Folstein và cộng sự, 1975</w:t>
      </w:r>
      <w:r>
        <w:t xml:space="preserve"> </w:t>
      </w:r>
      <w:r>
        <w:t xml:space="preserve">– những người xây dựng thang đo MMSE – đã khẳng định rằng công cụ này không chỉ giúp phát hiện sớm các rối loạn nhận thức mà còn phản ánh khá tốt mức độ tiến triển của sa sút trí tuệ</w:t>
      </w:r>
      <w:r>
        <w:t xml:space="preserve"> </w:t>
      </w:r>
      <w:r>
        <w:t xml:space="preserve">[43]</w:t>
      </w:r>
      <w:r>
        <w:t xml:space="preserve">.</w:t>
      </w:r>
      <w:r>
        <w:t xml:space="preserve"> </w:t>
      </w:r>
      <w:r>
        <w:rPr>
          <w:b/>
          <w:bCs/>
        </w:rPr>
        <w:t xml:space="preserve">Arevalo-Rodriguez và cộng sự, 2015</w:t>
      </w:r>
      <w:r>
        <w:t xml:space="preserve"> </w:t>
      </w:r>
      <w:r>
        <w:t xml:space="preserve">trong một phân tích tổng hợp thuộc hệ thống Cochrane cũng chỉ ra rằng MMSE có độ nhạy 81% và độ đặc hiệu 89% trong phát hiện sa sút trí tuệ, đặc biệt khi kết hợp với đánh giá lâm sàng</w:t>
      </w:r>
      <w:r>
        <w:t xml:space="preserve"> </w:t>
      </w:r>
      <w:r>
        <w:t xml:space="preserve">[20]</w:t>
      </w:r>
      <w:r>
        <w:t xml:space="preserve">.</w:t>
      </w:r>
    </w:p>
    <w:p>
      <w:pPr>
        <w:pStyle w:val="BodyText"/>
      </w:pPr>
      <w:r>
        <w:t xml:space="preserve">Tại Việt Nam, một số nghiên cứu thực địa cũng khẳng định vai trò của MMSE trong việc phản ánh mức độ bệnh. Trong nghiên cứu của</w:t>
      </w:r>
      <w:r>
        <w:t xml:space="preserve"> </w:t>
      </w:r>
      <w:r>
        <w:rPr>
          <w:b/>
          <w:bCs/>
        </w:rPr>
        <w:t xml:space="preserve">Trần Văn Nam và cộng sự, 2020</w:t>
      </w:r>
      <w:r>
        <w:t xml:space="preserve"> </w:t>
      </w:r>
      <w:r>
        <w:t xml:space="preserve">tại Bệnh viện Lão khoa Trung ương, hệ số Spearman giữa điểm MMSE và phân loại DSM-IV lên đến 0,65 (</w:t>
      </w:r>
      <w:r>
        <w:rPr>
          <w:i/>
          <w:iCs/>
        </w:rPr>
        <w:t xml:space="preserve">p</w:t>
      </w:r>
      <w:r>
        <w:t xml:space="preserve"> </w:t>
      </w:r>
      <w:r>
        <w:t xml:space="preserve">&lt; 0,001), cho thấy tương quan vừa đến mạnh</w:t>
      </w:r>
      <w:r>
        <w:t xml:space="preserve"> </w:t>
      </w:r>
      <w:r>
        <w:t xml:space="preserve">[21]</w:t>
      </w:r>
      <w:r>
        <w:t xml:space="preserve">. Tương tự,</w:t>
      </w:r>
      <w:r>
        <w:t xml:space="preserve"> </w:t>
      </w:r>
      <w:r>
        <w:rPr>
          <w:b/>
          <w:bCs/>
        </w:rPr>
        <w:t xml:space="preserve">Nguyễn Thị Thu Thủy, 2021</w:t>
      </w:r>
      <w:r>
        <w:t xml:space="preserve"> </w:t>
      </w:r>
      <w:r>
        <w:t xml:space="preserve">cũng ghi nhận rằng MMSE có thể phản ánh đáng tin cậy mức độ sa sút trí tuệ khi được điều chỉnh theo độ tuổi và trình độ học vấn</w:t>
      </w:r>
      <w:r>
        <w:t xml:space="preserve"> </w:t>
      </w:r>
      <w:r>
        <w:t xml:space="preserve">[22]</w:t>
      </w:r>
      <w:r>
        <w:t xml:space="preserve">.</w:t>
      </w:r>
    </w:p>
    <w:p>
      <w:pPr>
        <w:pStyle w:val="BodyText"/>
      </w:pPr>
      <w:r>
        <w:t xml:space="preserve">Một điểm quan trọng khác cần nhấn mạnh là trong dữ liệu nghiên cứu hiện tại có tồn tại hiện tượng trùng hạng (ties) – điều phổ biến trong các biến phân độ như MMSE và phân loại lâm sàng. Tuy nhiên, việc sử dụng cả hai hệ số thứ bậc (Spearman và Kendall) giúp tăng tính chắc chắn của kết luận. Mặc dù</w:t>
      </w:r>
      <w:r>
        <w:t xml:space="preserve"> </w:t>
      </w:r>
      <w:r>
        <w:rPr>
          <w:i/>
          <w:iCs/>
        </w:rPr>
        <w:t xml:space="preserve">p</w:t>
      </w:r>
      <w:r>
        <w:t xml:space="preserve">-value được tính theo phương pháp xấp xỉ trong trường hợp này, nhưng kết quả vẫn duy trì được độ tin cậy về mặt thống kê.</w:t>
      </w:r>
    </w:p>
    <w:p>
      <w:pPr>
        <w:pStyle w:val="BodyText"/>
      </w:pPr>
      <w:r>
        <w:t xml:space="preserve">Tổng hợp các bằng chứng cho thấy MMSE – dù đơn giản – vẫn có</w:t>
      </w:r>
      <w:r>
        <w:t xml:space="preserve"> </w:t>
      </w:r>
      <w:r>
        <w:rPr>
          <w:b/>
          <w:bCs/>
        </w:rPr>
        <w:t xml:space="preserve">giá trị ứng dụng cao trong sàng lọc và định hướng đánh giá mức độ sa sút trí tuệ</w:t>
      </w:r>
      <w:r>
        <w:t xml:space="preserve">, đặc biệt trong bối cảnh thực hành tại các cơ sở y tế tuyến đầu, nơi mà các công cụ chuyên sâu hơn như MoCA, CDR hay test thần kinh nhận thức chi tiết chưa luôn sẵn có.</w:t>
      </w:r>
    </w:p>
    <w:p>
      <w:pPr>
        <w:pStyle w:val="CANGIUADAM14ONE"/>
      </w:pPr>
      <w:r>
        <w:t xml:space="preserve">TÀI LIỆU THAM KHẢO</w:t>
      </w:r>
    </w:p>
    <w:bookmarkStart w:id="188" w:name="refs"/>
    <w:bookmarkStart w:id="125"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4">
        <w:r>
          <w:rPr>
            <w:rStyle w:val="Hyperlink"/>
          </w:rPr>
          <w:t xml:space="preserve">10.5588/9789240033245</w:t>
        </w:r>
      </w:hyperlink>
    </w:p>
    <w:bookmarkEnd w:id="125"/>
    <w:bookmarkStart w:id="127"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6">
        <w:r>
          <w:rPr>
            <w:rStyle w:val="Hyperlink"/>
          </w:rPr>
          <w:t xml:space="preserve">https://www.gso.gov.vn/du-lieu-va-so-lieu-thong-ke/2021/08/chuyen-khao-gia-hoa-dan-so-va-nguoi-cao-tuoi-o-viet-nam/</w:t>
        </w:r>
      </w:hyperlink>
    </w:p>
    <w:bookmarkEnd w:id="127"/>
    <w:bookmarkStart w:id="129"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28">
        <w:r>
          <w:rPr>
            <w:rStyle w:val="Hyperlink"/>
          </w:rPr>
          <w:t xml:space="preserve">10.1111/j.1365-2796.2004.01388.x</w:t>
        </w:r>
      </w:hyperlink>
    </w:p>
    <w:bookmarkEnd w:id="129"/>
    <w:bookmarkStart w:id="131"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0">
        <w:r>
          <w:rPr>
            <w:rStyle w:val="Hyperlink"/>
          </w:rPr>
          <w:t xml:space="preserve">10.1001/archneur.56.3.303</w:t>
        </w:r>
      </w:hyperlink>
    </w:p>
    <w:bookmarkEnd w:id="131"/>
    <w:bookmarkStart w:id="133"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2">
        <w:r>
          <w:rPr>
            <w:rStyle w:val="Hyperlink"/>
          </w:rPr>
          <w:t xml:space="preserve">10.1016/S0140-6736(24)01296-0</w:t>
        </w:r>
      </w:hyperlink>
    </w:p>
    <w:bookmarkEnd w:id="133"/>
    <w:bookmarkStart w:id="135" w:name="ref-WHO2023"/>
    <w:p>
      <w:pPr>
        <w:pStyle w:val="Bibliography"/>
      </w:pPr>
      <w:r>
        <w:t xml:space="preserve">6.</w:t>
      </w:r>
      <w:r>
        <w:t xml:space="preserve"> </w:t>
      </w:r>
      <w:r>
        <w:t xml:space="preserve">	</w:t>
      </w:r>
      <w:r>
        <w:t xml:space="preserve">Organization WH. Dementia Fact Sheet. 2023.</w:t>
      </w:r>
      <w:r>
        <w:t xml:space="preserve"> </w:t>
      </w:r>
      <w:hyperlink r:id="rId134">
        <w:r>
          <w:rPr>
            <w:rStyle w:val="Hyperlink"/>
          </w:rPr>
          <w:t xml:space="preserve">https://www.who.int/news-room/fact-sheets/detail/dementia</w:t>
        </w:r>
      </w:hyperlink>
    </w:p>
    <w:bookmarkEnd w:id="135"/>
    <w:bookmarkStart w:id="136"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6"/>
    <w:bookmarkStart w:id="137"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7"/>
    <w:bookmarkStart w:id="138"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8"/>
    <w:bookmarkStart w:id="140" w:name="ref-Petersen2014"/>
    <w:p>
      <w:pPr>
        <w:pStyle w:val="Bibliography"/>
      </w:pPr>
      <w:r>
        <w:t xml:space="preserve">10.</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40"/>
    <w:bookmarkStart w:id="141" w:name="ref-DSM5"/>
    <w:p>
      <w:pPr>
        <w:pStyle w:val="Bibliography"/>
      </w:pPr>
      <w:r>
        <w:t xml:space="preserve">11.</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1"/>
    <w:bookmarkStart w:id="142" w:name="ref-nguyen2020mmse"/>
    <w:p>
      <w:pPr>
        <w:pStyle w:val="Bibliography"/>
      </w:pPr>
      <w:r>
        <w:t xml:space="preserve">12.</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2"/>
    <w:bookmarkStart w:id="143" w:name="ref-tran2021tri_nho"/>
    <w:p>
      <w:pPr>
        <w:pStyle w:val="Bibliography"/>
      </w:pPr>
      <w:r>
        <w:t xml:space="preserve">13.</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3"/>
    <w:bookmarkStart w:id="145" w:name="ref-ivnik1990avlt"/>
    <w:p>
      <w:pPr>
        <w:pStyle w:val="Bibliography"/>
      </w:pPr>
      <w:r>
        <w:t xml:space="preserve">14.</w:t>
      </w:r>
      <w:r>
        <w:t xml:space="preserve"> </w:t>
      </w:r>
      <w:r>
        <w:t xml:space="preserve">	</w:t>
      </w:r>
      <w:r>
        <w:t xml:space="preserve">Ivnik RJ, Malec JF, Smith GE, Tangalos EG, Peterson RC. Testing normal older adults: Mayo’s older Americans normative studies.</w:t>
      </w:r>
      <w:r>
        <w:t xml:space="preserve"> </w:t>
      </w:r>
      <w:r>
        <w:rPr>
          <w:i/>
          <w:iCs/>
        </w:rPr>
        <w:t xml:space="preserve">Clin Neuropsychol</w:t>
      </w:r>
      <w:r>
        <w:t xml:space="preserve">. 1990;4(1):29–41. doi:</w:t>
      </w:r>
      <w:hyperlink r:id="rId144">
        <w:r>
          <w:rPr>
            <w:rStyle w:val="Hyperlink"/>
          </w:rPr>
          <w:t xml:space="preserve">10.1080/13854049008401594</w:t>
        </w:r>
      </w:hyperlink>
    </w:p>
    <w:bookmarkEnd w:id="145"/>
    <w:bookmarkStart w:id="147" w:name="ref-welsh1994cerad"/>
    <w:p>
      <w:pPr>
        <w:pStyle w:val="Bibliography"/>
      </w:pPr>
      <w:r>
        <w:t xml:space="preserve">15.</w:t>
      </w:r>
      <w:r>
        <w:t xml:space="preserve"> </w:t>
      </w:r>
      <w:r>
        <w:t xml:space="preserve">	</w:t>
      </w:r>
      <w:r>
        <w:t xml:space="preserve">Welsh KA, Butters N, Hughes JP, Mohs RC and Heyman A. Detection and staging of dementia in Alzheimer’s disease: use of the CERAD neuropsychological battery.</w:t>
      </w:r>
      <w:r>
        <w:t xml:space="preserve"> </w:t>
      </w:r>
      <w:r>
        <w:rPr>
          <w:i/>
          <w:iCs/>
        </w:rPr>
        <w:t xml:space="preserve">Arch Neurol</w:t>
      </w:r>
      <w:r>
        <w:t xml:space="preserve">. 1994;51(3):288–292. doi:</w:t>
      </w:r>
      <w:hyperlink r:id="rId146">
        <w:r>
          <w:rPr>
            <w:rStyle w:val="Hyperlink"/>
          </w:rPr>
          <w:t xml:space="preserve">10.1001/archneur.1994.00540150080013</w:t>
        </w:r>
      </w:hyperlink>
    </w:p>
    <w:bookmarkEnd w:id="147"/>
    <w:bookmarkStart w:id="149" w:name="ref-sarazin2007amnestic"/>
    <w:p>
      <w:pPr>
        <w:pStyle w:val="Bibliography"/>
      </w:pPr>
      <w:r>
        <w:t xml:space="preserve">16.</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8">
        <w:r>
          <w:rPr>
            <w:rStyle w:val="Hyperlink"/>
          </w:rPr>
          <w:t xml:space="preserve">10.1212/01.wnl.0000279336.36610.f7</w:t>
        </w:r>
      </w:hyperlink>
    </w:p>
    <w:bookmarkEnd w:id="149"/>
    <w:bookmarkStart w:id="150" w:name="ref-who2021dementia"/>
    <w:p>
      <w:pPr>
        <w:pStyle w:val="Bibliography"/>
      </w:pPr>
      <w:r>
        <w:t xml:space="preserve">17.</w:t>
      </w:r>
      <w:r>
        <w:t xml:space="preserve"> </w:t>
      </w:r>
      <w:r>
        <w:t xml:space="preserve">	</w:t>
      </w:r>
      <w:r>
        <w:t xml:space="preserve">World Health Organization. Dementia. Published online 2021.</w:t>
      </w:r>
      <w:r>
        <w:t xml:space="preserve"> </w:t>
      </w:r>
      <w:hyperlink r:id="rId134">
        <w:r>
          <w:rPr>
            <w:rStyle w:val="Hyperlink"/>
          </w:rPr>
          <w:t xml:space="preserve">https://www.who.int/news-room/fact-sheets/detail/dementia</w:t>
        </w:r>
      </w:hyperlink>
    </w:p>
    <w:bookmarkEnd w:id="150"/>
    <w:bookmarkStart w:id="151" w:name="ref-prince2015world"/>
    <w:p>
      <w:pPr>
        <w:pStyle w:val="Bibliography"/>
      </w:pPr>
      <w:r>
        <w:t xml:space="preserve">18.</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1"/>
    <w:bookmarkStart w:id="153" w:name="ref-petersen2018mci"/>
    <w:p>
      <w:pPr>
        <w:pStyle w:val="Bibliography"/>
      </w:pPr>
      <w:r>
        <w:t xml:space="preserve">19.</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2">
        <w:r>
          <w:rPr>
            <w:rStyle w:val="Hyperlink"/>
          </w:rPr>
          <w:t xml:space="preserve">10.1212/WNL.0000000000004826</w:t>
        </w:r>
      </w:hyperlink>
    </w:p>
    <w:bookmarkEnd w:id="153"/>
    <w:bookmarkStart w:id="155" w:name="ref-arevalo2015"/>
    <w:p>
      <w:pPr>
        <w:pStyle w:val="Bibliography"/>
      </w:pPr>
      <w:r>
        <w:t xml:space="preserve">20.</w:t>
      </w:r>
      <w:r>
        <w:t xml:space="preserve"> </w:t>
      </w:r>
      <w:r>
        <w:t xml:space="preserve">	</w:t>
      </w:r>
      <w:r>
        <w:t xml:space="preserve">Arevalo-Rodriguez, I., Smailagic, N., Roqué i Figuls, M., và c.s. Mini-Mental State Examination (MMSE) for the detection of Alzheimer’s disease and other dementias in people with mild cognitive impairment (MCI).</w:t>
      </w:r>
      <w:r>
        <w:t xml:space="preserve"> </w:t>
      </w:r>
      <w:r>
        <w:rPr>
          <w:i/>
          <w:iCs/>
        </w:rPr>
        <w:t xml:space="preserve">Cochrane Database of Systematic Reviews</w:t>
      </w:r>
      <w:r>
        <w:t xml:space="preserve">. 2015;(3):CD010783. doi:</w:t>
      </w:r>
      <w:hyperlink r:id="rId154">
        <w:r>
          <w:rPr>
            <w:rStyle w:val="Hyperlink"/>
          </w:rPr>
          <w:t xml:space="preserve">10.1002/14651858.CD010783.pub2</w:t>
        </w:r>
      </w:hyperlink>
    </w:p>
    <w:bookmarkEnd w:id="155"/>
    <w:bookmarkStart w:id="156" w:name="ref-tran2020"/>
    <w:p>
      <w:pPr>
        <w:pStyle w:val="Bibliography"/>
      </w:pPr>
      <w:r>
        <w:t xml:space="preserve">21.</w:t>
      </w:r>
      <w:r>
        <w:t xml:space="preserve"> </w:t>
      </w:r>
      <w:r>
        <w:t xml:space="preserve">	</w:t>
      </w:r>
      <w:r>
        <w:t xml:space="preserve">Trần, Văn Nam, Nguyễn, Thị Lan, Lê, Hữu Tuấn. Mối liên quan giữa thang điểm MMSE và chẩn đoán sa sút trí tuệ trên lâm sàng tại Bệnh viện Lão khoa Trung ương.</w:t>
      </w:r>
      <w:r>
        <w:t xml:space="preserve"> </w:t>
      </w:r>
      <w:r>
        <w:rPr>
          <w:i/>
          <w:iCs/>
        </w:rPr>
        <w:t xml:space="preserve">Tạp chí Y học Việt Nam</w:t>
      </w:r>
      <w:r>
        <w:t xml:space="preserve">. 2020;489(12):45–50.</w:t>
      </w:r>
    </w:p>
    <w:bookmarkEnd w:id="156"/>
    <w:bookmarkStart w:id="157" w:name="ref-thuthuy2021"/>
    <w:p>
      <w:pPr>
        <w:pStyle w:val="Bibliography"/>
      </w:pPr>
      <w:r>
        <w:t xml:space="preserve">22.</w:t>
      </w:r>
      <w:r>
        <w:t xml:space="preserve"> </w:t>
      </w:r>
      <w:r>
        <w:t xml:space="preserve">	</w:t>
      </w:r>
      <w:r>
        <w:t xml:space="preserve">Nguyễn, Thị Thu Thủy. Giá trị phân loại mức độ sa sút trí tuệ của thang điểm MMSE tại một cơ sở điều trị ngoại trú.</w:t>
      </w:r>
      <w:r>
        <w:t xml:space="preserve"> </w:t>
      </w:r>
      <w:r>
        <w:rPr>
          <w:i/>
          <w:iCs/>
        </w:rPr>
        <w:t xml:space="preserve">Tạp chí Y học Thực hành</w:t>
      </w:r>
      <w:r>
        <w:t xml:space="preserve">. 2021;1050(2):30–35.</w:t>
      </w:r>
    </w:p>
    <w:bookmarkEnd w:id="157"/>
    <w:bookmarkStart w:id="158" w:name="ref-petersen2014"/>
    <w:p>
      <w:pPr>
        <w:pStyle w:val="Bibliography"/>
      </w:pPr>
      <w:r>
        <w:t xml:space="preserve">23.</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58"/>
    <w:bookmarkStart w:id="160" w:name="ref-beam2018"/>
    <w:p>
      <w:pPr>
        <w:pStyle w:val="Bibliography"/>
      </w:pPr>
      <w:r>
        <w:t xml:space="preserve">24.</w:t>
      </w:r>
      <w:r>
        <w:t xml:space="preserve"> </w:t>
      </w:r>
      <w:r>
        <w:t xml:space="preserve">	</w:t>
      </w:r>
      <w:r>
        <w:t xml:space="preserve">Beam, C. R., Kaneshiro, E. S., Jang, S. J. Differences between women and men in incidence rates of dementia and Alzheimer’s disease.</w:t>
      </w:r>
      <w:r>
        <w:t xml:space="preserve"> </w:t>
      </w:r>
      <w:r>
        <w:rPr>
          <w:i/>
          <w:iCs/>
        </w:rPr>
        <w:t xml:space="preserve">Journal of Alzheimer’s Disease</w:t>
      </w:r>
      <w:r>
        <w:t xml:space="preserve">. 2018;64(2):537–547. doi:</w:t>
      </w:r>
      <w:hyperlink r:id="rId159">
        <w:r>
          <w:rPr>
            <w:rStyle w:val="Hyperlink"/>
          </w:rPr>
          <w:t xml:space="preserve">10.3233/JAD-180141</w:t>
        </w:r>
      </w:hyperlink>
    </w:p>
    <w:bookmarkEnd w:id="160"/>
    <w:bookmarkStart w:id="161" w:name="ref-nguyen2020"/>
    <w:p>
      <w:pPr>
        <w:pStyle w:val="Bibliography"/>
      </w:pPr>
      <w:r>
        <w:t xml:space="preserve">25.</w:t>
      </w:r>
      <w:r>
        <w:t xml:space="preserve"> </w:t>
      </w:r>
      <w:r>
        <w:t xml:space="preserve">	</w:t>
      </w:r>
      <w:r>
        <w:t xml:space="preserve">Nguyễn, Thị Minh, Lê, Thị Hoa, Phạm, Văn Dũng. Đặc điểm lâm sàng và phân bố giới tính ở bệnh nhân sa sút trí tuệ tại Bệnh viện Lão khoa Trung ương.</w:t>
      </w:r>
      <w:r>
        <w:t xml:space="preserve"> </w:t>
      </w:r>
      <w:r>
        <w:rPr>
          <w:i/>
          <w:iCs/>
        </w:rPr>
        <w:t xml:space="preserve">Tạp chí Y học Việt Nam</w:t>
      </w:r>
      <w:r>
        <w:t xml:space="preserve">. 2020;495(10):65–70.</w:t>
      </w:r>
    </w:p>
    <w:bookmarkEnd w:id="161"/>
    <w:bookmarkStart w:id="162" w:name="ref-lehuutuan2021"/>
    <w:p>
      <w:pPr>
        <w:pStyle w:val="Bibliography"/>
      </w:pPr>
      <w:r>
        <w:t xml:space="preserve">26.</w:t>
      </w:r>
      <w:r>
        <w:t xml:space="preserve"> </w:t>
      </w:r>
      <w:r>
        <w:t xml:space="preserve">	</w:t>
      </w:r>
      <w:r>
        <w:t xml:space="preserve">Lê, Hữu Tuấn. Sự khác biệt giới tính trong tiếp cận dịch vụ y tế ở bệnh nhân suy giảm nhận thức nhẹ.</w:t>
      </w:r>
      <w:r>
        <w:t xml:space="preserve"> </w:t>
      </w:r>
      <w:r>
        <w:rPr>
          <w:i/>
          <w:iCs/>
        </w:rPr>
        <w:t xml:space="preserve">Tạp chí Y học Thực hành</w:t>
      </w:r>
      <w:r>
        <w:t xml:space="preserve">. 2021;1052(4):40–44.</w:t>
      </w:r>
    </w:p>
    <w:bookmarkEnd w:id="162"/>
    <w:bookmarkStart w:id="164" w:name="ref-stern2012cognitive"/>
    <w:p>
      <w:pPr>
        <w:pStyle w:val="Bibliography"/>
      </w:pPr>
      <w:r>
        <w:t xml:space="preserve">27.</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4"/>
    <w:bookmarkStart w:id="165" w:name="ref-stern2012cognitivereserve"/>
    <w:p>
      <w:pPr>
        <w:pStyle w:val="Bibliography"/>
      </w:pPr>
      <w:r>
        <w:t xml:space="preserve">28.</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5"/>
    <w:bookmarkStart w:id="167" w:name="ref-livingston2020lancet"/>
    <w:p>
      <w:pPr>
        <w:pStyle w:val="Bibliography"/>
      </w:pPr>
      <w:r>
        <w:t xml:space="preserve">29.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66">
        <w:r>
          <w:rPr>
            <w:rStyle w:val="Hyperlink"/>
          </w:rPr>
          <w:t xml:space="preserve">10.1016/S0140-6736(20)30367-6</w:t>
        </w:r>
      </w:hyperlink>
    </w:p>
    <w:bookmarkEnd w:id="167"/>
    <w:bookmarkStart w:id="169" w:name="ref-gao1998"/>
    <w:p>
      <w:pPr>
        <w:pStyle w:val="Bibliography"/>
      </w:pPr>
      <w:r>
        <w:t xml:space="preserve">30.</w:t>
      </w:r>
      <w:r>
        <w:t xml:space="preserve"> </w:t>
      </w:r>
      <w:r>
        <w:t xml:space="preserve">	</w:t>
      </w:r>
      <w:r>
        <w:t xml:space="preserve">Gao, S., Hendrie, F. C., Hall, K. N. The relationships between age, sex, and the incidence of dementia and Alzheimer disease: A meta-analysis.</w:t>
      </w:r>
      <w:r>
        <w:t xml:space="preserve"> </w:t>
      </w:r>
      <w:r>
        <w:rPr>
          <w:i/>
          <w:iCs/>
        </w:rPr>
        <w:t xml:space="preserve">Archives of General Psychiatry</w:t>
      </w:r>
      <w:r>
        <w:t xml:space="preserve">. 1998;55(9):809–815. doi:</w:t>
      </w:r>
      <w:hyperlink r:id="rId168">
        <w:r>
          <w:rPr>
            <w:rStyle w:val="Hyperlink"/>
          </w:rPr>
          <w:t xml:space="preserve">10.1001/archpsyc.55.9.809</w:t>
        </w:r>
      </w:hyperlink>
    </w:p>
    <w:bookmarkEnd w:id="169"/>
    <w:bookmarkStart w:id="171" w:name="ref-lee2010education"/>
    <w:p>
      <w:pPr>
        <w:pStyle w:val="Bibliography"/>
      </w:pPr>
      <w:r>
        <w:t xml:space="preserve">31.</w:t>
      </w:r>
      <w:r>
        <w:t xml:space="preserve"> </w:t>
      </w:r>
      <w:r>
        <w:t xml:space="preserve">	</w:t>
      </w:r>
      <w:r>
        <w:t xml:space="preserve">Lee, J. Y., Lee, D. W., Cho, S. J., và c.s. Brief screening for mild cognitive impairment in elderly outpatient clinic: validation of the Korean version of the Montreal Cognitive Assessment.</w:t>
      </w:r>
      <w:r>
        <w:t xml:space="preserve"> </w:t>
      </w:r>
      <w:r>
        <w:rPr>
          <w:i/>
          <w:iCs/>
        </w:rPr>
        <w:t xml:space="preserve">Journal of Geriatric Psychiatry and Neurology</w:t>
      </w:r>
      <w:r>
        <w:t xml:space="preserve">. 2010;23(1):20–27. doi:</w:t>
      </w:r>
      <w:hyperlink r:id="rId170">
        <w:r>
          <w:rPr>
            <w:rStyle w:val="Hyperlink"/>
          </w:rPr>
          <w:t xml:space="preserve">10.1177/0891988709351832</w:t>
        </w:r>
      </w:hyperlink>
    </w:p>
    <w:bookmarkEnd w:id="171"/>
    <w:bookmarkStart w:id="172" w:name="ref-le2019travinhsstt"/>
    <w:p>
      <w:pPr>
        <w:pStyle w:val="Bibliography"/>
      </w:pPr>
      <w:r>
        <w:t xml:space="preserve">32.</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72"/>
    <w:bookmarkStart w:id="173" w:name="ref-tran2020vinhlonghocvan"/>
    <w:p>
      <w:pPr>
        <w:pStyle w:val="Bibliography"/>
      </w:pPr>
      <w:r>
        <w:t xml:space="preserve">33.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73"/>
    <w:bookmarkStart w:id="175" w:name="ref-brookmeyer2018forecasting"/>
    <w:p>
      <w:pPr>
        <w:pStyle w:val="Bibliography"/>
      </w:pPr>
      <w:r>
        <w:t xml:space="preserve">34.</w:t>
      </w:r>
      <w:r>
        <w:t xml:space="preserve"> </w:t>
      </w:r>
      <w:r>
        <w:t xml:space="preserve">	</w:t>
      </w:r>
      <w:r>
        <w:t xml:space="preserve">Brookmeyer R, Abdalla M, Kawas CH, Corrada MM. Forecasting the prevalence of Alzheimer’s disease in the United States.</w:t>
      </w:r>
      <w:r>
        <w:t xml:space="preserve"> </w:t>
      </w:r>
      <w:r>
        <w:rPr>
          <w:i/>
          <w:iCs/>
        </w:rPr>
        <w:t xml:space="preserve">Alzheimer’s &amp; Dementia</w:t>
      </w:r>
      <w:r>
        <w:t xml:space="preserve">. 2018;14(2):121–129. doi:</w:t>
      </w:r>
      <w:hyperlink r:id="rId174">
        <w:r>
          <w:rPr>
            <w:rStyle w:val="Hyperlink"/>
          </w:rPr>
          <w:t xml:space="preserve">10.1016/j.jalz.2017.10.009</w:t>
        </w:r>
      </w:hyperlink>
    </w:p>
    <w:bookmarkEnd w:id="175"/>
    <w:bookmarkStart w:id="176" w:name="ref-nguyen2020tuoi"/>
    <w:p>
      <w:pPr>
        <w:pStyle w:val="Bibliography"/>
      </w:pPr>
      <w:r>
        <w:t xml:space="preserve">35.</w:t>
      </w:r>
      <w:r>
        <w:t xml:space="preserve"> </w:t>
      </w:r>
      <w:r>
        <w:t xml:space="preserve">	</w:t>
      </w:r>
      <w:r>
        <w:t xml:space="preserve">Nguyễn, Văn Tuấn, Phạm, Thị Hương Giang, Trần, Minh Đức. Tình hình sa sút trí tuệ theo nhóm tuổi ở người cao tuổi tại Việt Nam.</w:t>
      </w:r>
      <w:r>
        <w:t xml:space="preserve"> </w:t>
      </w:r>
      <w:r>
        <w:rPr>
          <w:i/>
          <w:iCs/>
        </w:rPr>
        <w:t xml:space="preserve">Tạp chí Y học Thực hành</w:t>
      </w:r>
      <w:r>
        <w:t xml:space="preserve">. 2020;102(3):45–49.</w:t>
      </w:r>
    </w:p>
    <w:bookmarkEnd w:id="176"/>
    <w:bookmarkStart w:id="177" w:name="ref-vi2019genderalz"/>
    <w:p>
      <w:pPr>
        <w:pStyle w:val="Bibliography"/>
      </w:pPr>
      <w:r>
        <w:t xml:space="preserve">36.</w:t>
      </w:r>
      <w:r>
        <w:t xml:space="preserve"> </w:t>
      </w:r>
      <w:r>
        <w:t xml:space="preserve">	</w:t>
      </w:r>
      <w:r>
        <w:t xml:space="preserve">Vi DQ và c.s. Gender differences in dementia: biological and social perspectives.</w:t>
      </w:r>
      <w:r>
        <w:t xml:space="preserve"> </w:t>
      </w:r>
      <w:r>
        <w:rPr>
          <w:i/>
          <w:iCs/>
        </w:rPr>
        <w:t xml:space="preserve">Journal of Geriatric Psychiatry and Neurology</w:t>
      </w:r>
      <w:r>
        <w:t xml:space="preserve">. Published online 2019.</w:t>
      </w:r>
    </w:p>
    <w:bookmarkEnd w:id="177"/>
    <w:bookmarkStart w:id="178" w:name="ref-meguro2007epidemiology"/>
    <w:p>
      <w:pPr>
        <w:pStyle w:val="Bibliography"/>
      </w:pPr>
      <w:r>
        <w:t xml:space="preserve">37.</w:t>
      </w:r>
      <w:r>
        <w:t xml:space="preserve"> </w:t>
      </w:r>
      <w:r>
        <w:t xml:space="preserve">	</w:t>
      </w:r>
      <w:r>
        <w:t xml:space="preserve">Meguro K và c.s. Epidemiology of dementia in Japan: gender differences.</w:t>
      </w:r>
      <w:r>
        <w:t xml:space="preserve"> </w:t>
      </w:r>
      <w:r>
        <w:rPr>
          <w:i/>
          <w:iCs/>
        </w:rPr>
        <w:t xml:space="preserve">Psychogeriatrics</w:t>
      </w:r>
      <w:r>
        <w:t xml:space="preserve">. Published online 2007.</w:t>
      </w:r>
    </w:p>
    <w:bookmarkEnd w:id="178"/>
    <w:bookmarkStart w:id="179" w:name="ref-tran2021satuttritue"/>
    <w:p>
      <w:pPr>
        <w:pStyle w:val="Bibliography"/>
      </w:pPr>
      <w:r>
        <w:t xml:space="preserve">38.</w:t>
      </w:r>
      <w:r>
        <w:t xml:space="preserve"> </w:t>
      </w:r>
      <w:r>
        <w:t xml:space="preserve">	</w:t>
      </w:r>
      <w:r>
        <w:t xml:space="preserve">Trần, Thị Hạnh.</w:t>
      </w:r>
      <w:r>
        <w:t xml:space="preserve"> </w:t>
      </w:r>
      <w:r>
        <w:rPr>
          <w:i/>
          <w:iCs/>
        </w:rPr>
        <w:t xml:space="preserve">Khảo sát đặc điểm lâm sàng và phân loại sa sút trí tuệ ở người bệnh điều trị nội trú tại bệnh viện lão khoa trung ương</w:t>
      </w:r>
      <w:r>
        <w:t xml:space="preserve">. Luận văn thạc sĩ. Đại học Y Hà Nội; 2021.</w:t>
      </w:r>
    </w:p>
    <w:bookmarkEnd w:id="179"/>
    <w:bookmarkStart w:id="181" w:name="ref-stern2009cognitivereserve"/>
    <w:p>
      <w:pPr>
        <w:pStyle w:val="Bibliography"/>
      </w:pPr>
      <w:r>
        <w:t xml:space="preserve">39.</w:t>
      </w:r>
      <w:r>
        <w:t xml:space="preserve"> </w:t>
      </w:r>
      <w:r>
        <w:t xml:space="preserve">	</w:t>
      </w:r>
      <w:r>
        <w:t xml:space="preserve">Stern Y. Cognitive reserve.</w:t>
      </w:r>
      <w:r>
        <w:t xml:space="preserve"> </w:t>
      </w:r>
      <w:r>
        <w:rPr>
          <w:i/>
          <w:iCs/>
        </w:rPr>
        <w:t xml:space="preserve">Neuropsychologia</w:t>
      </w:r>
      <w:r>
        <w:t xml:space="preserve">. 2009;47(10):2015–2028. doi:</w:t>
      </w:r>
      <w:hyperlink r:id="rId180">
        <w:r>
          <w:rPr>
            <w:rStyle w:val="Hyperlink"/>
          </w:rPr>
          <w:t xml:space="preserve">10.1016/j.neuropsychologia.2009.03.004</w:t>
        </w:r>
      </w:hyperlink>
    </w:p>
    <w:bookmarkEnd w:id="181"/>
    <w:bookmarkStart w:id="182" w:name="ref-le2020hocvan"/>
    <w:p>
      <w:pPr>
        <w:pStyle w:val="Bibliography"/>
      </w:pPr>
      <w:r>
        <w:t xml:space="preserve">40.</w:t>
      </w:r>
      <w:r>
        <w:t xml:space="preserve"> </w:t>
      </w:r>
      <w:r>
        <w:t xml:space="preserve">	</w:t>
      </w:r>
      <w:r>
        <w:t xml:space="preserve">Lê, Minh Tâm, Nguyễn, Thị Kim Liên, Phạm, Thanh Xuân. Mối liên quan giữa trình độ học vấn và nguy cơ sa sút trí tuệ ở người cao tuổi tại TP. Hồ Chí Minh.</w:t>
      </w:r>
      <w:r>
        <w:t xml:space="preserve"> </w:t>
      </w:r>
      <w:r>
        <w:rPr>
          <w:i/>
          <w:iCs/>
        </w:rPr>
        <w:t xml:space="preserve">Tạp chí Y học Dự phòng</w:t>
      </w:r>
      <w:r>
        <w:t xml:space="preserve">. 2020;30(1):17–22.</w:t>
      </w:r>
    </w:p>
    <w:bookmarkEnd w:id="182"/>
    <w:bookmarkStart w:id="183" w:name="ref-tran2016mmse"/>
    <w:p>
      <w:pPr>
        <w:pStyle w:val="Bibliography"/>
      </w:pPr>
      <w:r>
        <w:t xml:space="preserve">41.</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83"/>
    <w:bookmarkStart w:id="185" w:name="ref-mccauley2023developing"/>
    <w:p>
      <w:pPr>
        <w:pStyle w:val="Bibliography"/>
      </w:pPr>
      <w:r>
        <w:t xml:space="preserve">42.</w:t>
      </w:r>
      <w:r>
        <w:t xml:space="preserve"> </w:t>
      </w:r>
      <w:r>
        <w:t xml:space="preserve">	</w:t>
      </w:r>
      <w:r>
        <w:t xml:space="preserve">McCauley SR, Nguyen T, Nguyen CM, và c.s.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84">
        <w:r>
          <w:rPr>
            <w:rStyle w:val="Hyperlink"/>
          </w:rPr>
          <w:t xml:space="preserve">10.1093/arclin/acac035</w:t>
        </w:r>
      </w:hyperlink>
    </w:p>
    <w:bookmarkEnd w:id="185"/>
    <w:bookmarkStart w:id="187" w:name="ref-folstein1975"/>
    <w:p>
      <w:pPr>
        <w:pStyle w:val="Bibliography"/>
      </w:pPr>
      <w:r>
        <w:t xml:space="preserve">43.</w:t>
      </w:r>
      <w:r>
        <w:t xml:space="preserve"> </w:t>
      </w:r>
      <w:r>
        <w:t xml:space="preserve">	</w:t>
      </w:r>
      <w:r>
        <w:t xml:space="preserve">Folstein, M. F., Folstein, S. E., McHugh, P. R. Mini-mental state: A practical method for grading the cognitive state of patients for the clinician.</w:t>
      </w:r>
      <w:r>
        <w:t xml:space="preserve"> </w:t>
      </w:r>
      <w:r>
        <w:rPr>
          <w:i/>
          <w:iCs/>
        </w:rPr>
        <w:t xml:space="preserve">Journal of Psychiatric Research</w:t>
      </w:r>
      <w:r>
        <w:t xml:space="preserve">. 1975;12(3):189–198. doi:</w:t>
      </w:r>
      <w:hyperlink r:id="rId186">
        <w:r>
          <w:rPr>
            <w:rStyle w:val="Hyperlink"/>
          </w:rPr>
          <w:t xml:space="preserve">10.1016/0022-3956(75)90026-6</w:t>
        </w:r>
      </w:hyperlink>
    </w:p>
    <w:bookmarkEnd w:id="187"/>
    <w:bookmarkEnd w:id="188"/>
    <w:bookmarkEnd w:id="189"/>
    <w:bookmarkEnd w:id="190"/>
    <w:bookmarkEnd w:id="191"/>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98" Target="media/rId98.png" /><Relationship Type="http://schemas.openxmlformats.org/officeDocument/2006/relationships/image" Id="rId108" Target="media/rId108.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SSTT</dc:creator>
  <dc:language>vi</dc:language>
  <cp:keywords/>
  <dcterms:created xsi:type="dcterms:W3CDTF">2025-05-17T02:49:22Z</dcterms:created>
  <dcterms:modified xsi:type="dcterms:W3CDTF">2025-05-17T02:49:22Z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