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CC4A" w14:textId="77777777" w:rsidR="007F5F34" w:rsidRDefault="007F5F34">
      <w:pPr>
        <w:spacing w:before="3000"/>
      </w:pPr>
    </w:p>
    <w:p w14:paraId="53A9CC4B" w14:textId="77777777" w:rsidR="007F5F34" w:rsidRDefault="00B73F7C">
      <w:pPr>
        <w:spacing w:after="200"/>
        <w:jc w:val="center"/>
      </w:pPr>
      <w:r>
        <w:rPr>
          <w:b/>
          <w:bCs/>
          <w:color w:val="1F3864"/>
          <w:sz w:val="48"/>
          <w:szCs w:val="48"/>
        </w:rPr>
        <w:t>IFRS 9 LGD Development Factor Model</w:t>
      </w:r>
    </w:p>
    <w:p w14:paraId="53A9CC4C" w14:textId="77777777" w:rsidR="007F5F34" w:rsidRDefault="00B73F7C">
      <w:pPr>
        <w:spacing w:after="200"/>
        <w:jc w:val="center"/>
      </w:pPr>
      <w:r>
        <w:rPr>
          <w:color w:val="2E75B6"/>
          <w:sz w:val="32"/>
          <w:szCs w:val="32"/>
        </w:rPr>
        <w:t>Methodology and Validation Documentation</w:t>
      </w:r>
    </w:p>
    <w:p w14:paraId="53A9CC4D" w14:textId="77777777" w:rsidR="007F5F34" w:rsidRDefault="00B73F7C">
      <w:pPr>
        <w:spacing w:after="600"/>
        <w:jc w:val="center"/>
      </w:pPr>
      <w:r>
        <w:rPr>
          <w:color w:val="404040"/>
          <w:sz w:val="26"/>
          <w:szCs w:val="26"/>
        </w:rPr>
        <w:t>Eskom — Non-Metro Municipal Debt</w:t>
      </w:r>
    </w:p>
    <w:p w14:paraId="53A9CC4E" w14:textId="77777777" w:rsidR="007F5F34" w:rsidRDefault="007F5F34">
      <w:pPr>
        <w:spacing w:after="1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7F5F34" w14:paraId="53A9CC5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4F" w14:textId="77777777" w:rsidR="007F5F34" w:rsidRDefault="00B73F7C">
            <w:r>
              <w:rPr>
                <w:b/>
                <w:bCs/>
                <w:sz w:val="18"/>
                <w:szCs w:val="18"/>
              </w:rPr>
              <w:t>Prepared by: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0" w14:textId="77777777" w:rsidR="007F5F34" w:rsidRDefault="00B73F7C">
            <w:r>
              <w:rPr>
                <w:sz w:val="18"/>
                <w:szCs w:val="18"/>
              </w:rPr>
              <w:t>Anchor Point Risk (Pty) Ltd</w:t>
            </w:r>
          </w:p>
        </w:tc>
      </w:tr>
      <w:tr w:rsidR="007F5F34" w14:paraId="53A9CC54"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2" w14:textId="77777777" w:rsidR="007F5F34" w:rsidRDefault="00B73F7C">
            <w:r>
              <w:rPr>
                <w:b/>
                <w:bCs/>
                <w:sz w:val="18"/>
                <w:szCs w:val="18"/>
              </w:rPr>
              <w:t>Contact: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3" w14:textId="77777777" w:rsidR="007F5F34" w:rsidRDefault="00B73F7C">
            <w:r>
              <w:rPr>
                <w:sz w:val="18"/>
                <w:szCs w:val="18"/>
              </w:rPr>
              <w:t>henry@anchorpointrisk.co.za</w:t>
            </w:r>
          </w:p>
        </w:tc>
      </w:tr>
      <w:tr w:rsidR="007F5F34" w14:paraId="53A9CC5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5" w14:textId="77777777" w:rsidR="007F5F34" w:rsidRDefault="00B73F7C">
            <w:r>
              <w:rPr>
                <w:b/>
                <w:bCs/>
                <w:sz w:val="18"/>
                <w:szCs w:val="18"/>
              </w:rPr>
              <w:t>Entity:</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6" w14:textId="77777777" w:rsidR="007F5F34" w:rsidRDefault="00B73F7C">
            <w:r>
              <w:rPr>
                <w:sz w:val="18"/>
                <w:szCs w:val="18"/>
              </w:rPr>
              <w:t>Eskom Holdings SOC Ltd</w:t>
            </w:r>
          </w:p>
        </w:tc>
      </w:tr>
      <w:tr w:rsidR="007F5F34" w14:paraId="53A9CC5A"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8" w14:textId="77777777" w:rsidR="007F5F34" w:rsidRDefault="00B73F7C">
            <w:r>
              <w:rPr>
                <w:b/>
                <w:bCs/>
                <w:sz w:val="18"/>
                <w:szCs w:val="18"/>
              </w:rPr>
              <w:t>Portfolio:</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9" w14:textId="77777777" w:rsidR="007F5F34" w:rsidRDefault="00B73F7C">
            <w:r>
              <w:rPr>
                <w:sz w:val="18"/>
                <w:szCs w:val="18"/>
              </w:rPr>
              <w:t>Non-Metro Municipal Debt</w:t>
            </w:r>
          </w:p>
        </w:tc>
      </w:tr>
      <w:tr w:rsidR="007F5F34" w14:paraId="53A9CC5D"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B" w14:textId="77777777" w:rsidR="007F5F34" w:rsidRDefault="00B73F7C">
            <w:r>
              <w:rPr>
                <w:b/>
                <w:bCs/>
                <w:sz w:val="18"/>
                <w:szCs w:val="18"/>
              </w:rPr>
              <w:t>Date:</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C" w14:textId="77777777" w:rsidR="007F5F34" w:rsidRDefault="00B73F7C">
            <w:r>
              <w:rPr>
                <w:sz w:val="18"/>
                <w:szCs w:val="18"/>
              </w:rPr>
              <w:t>March 2026</w:t>
            </w:r>
          </w:p>
        </w:tc>
      </w:tr>
      <w:tr w:rsidR="007F5F34" w14:paraId="53A9CC6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E" w14:textId="77777777" w:rsidR="007F5F34" w:rsidRDefault="00B73F7C">
            <w:r>
              <w:rPr>
                <w:b/>
                <w:bCs/>
                <w:sz w:val="18"/>
                <w:szCs w:val="18"/>
              </w:rPr>
              <w:t>Version: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5F" w14:textId="77777777" w:rsidR="007F5F34" w:rsidRDefault="00B73F7C">
            <w:r>
              <w:rPr>
                <w:sz w:val="18"/>
                <w:szCs w:val="18"/>
              </w:rPr>
              <w:t>1.0</w:t>
            </w:r>
          </w:p>
        </w:tc>
      </w:tr>
      <w:tr w:rsidR="007F5F34" w14:paraId="53A9CC63"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61" w14:textId="77777777" w:rsidR="007F5F34" w:rsidRDefault="00B73F7C">
            <w:r>
              <w:rPr>
                <w:b/>
                <w:bCs/>
                <w:sz w:val="18"/>
                <w:szCs w:val="18"/>
              </w:rPr>
              <w:t>Classification: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62" w14:textId="77777777" w:rsidR="007F5F34" w:rsidRDefault="00B73F7C">
            <w:r>
              <w:rPr>
                <w:sz w:val="18"/>
                <w:szCs w:val="18"/>
              </w:rPr>
              <w:t>Confidential</w:t>
            </w:r>
          </w:p>
        </w:tc>
      </w:tr>
    </w:tbl>
    <w:p w14:paraId="53A9CC64" w14:textId="77777777" w:rsidR="007F5F34" w:rsidRDefault="00B73F7C">
      <w:r>
        <w:br w:type="page"/>
      </w:r>
    </w:p>
    <w:p w14:paraId="53A9CC65" w14:textId="77777777" w:rsidR="007F5F34" w:rsidRDefault="00B73F7C">
      <w:pPr>
        <w:pStyle w:val="Heading1"/>
        <w:spacing w:before="300" w:after="200"/>
      </w:pPr>
      <w:bookmarkStart w:id="0" w:name="_Toc225019067"/>
      <w:r>
        <w:lastRenderedPageBreak/>
        <w:t>Table of Contents</w:t>
      </w:r>
      <w:bookmarkEnd w:id="0"/>
    </w:p>
    <w:sdt>
      <w:sdtPr>
        <w:alias w:val="Table of Contents"/>
        <w:id w:val="-2105403836"/>
      </w:sdtPr>
      <w:sdtContent>
        <w:p w14:paraId="6ED09692" w14:textId="33ED8F8A" w:rsidR="00BC0E14" w:rsidRDefault="00B73F7C">
          <w:pPr>
            <w:pStyle w:val="TOC1"/>
            <w:tabs>
              <w:tab w:val="right" w:leader="dot" w:pos="9350"/>
            </w:tabs>
            <w:rPr>
              <w:noProof/>
            </w:rPr>
          </w:pPr>
          <w:r>
            <w:fldChar w:fldCharType="begin"/>
          </w:r>
          <w:r>
            <w:instrText>TOC \h \o "1-3"</w:instrText>
          </w:r>
          <w:r>
            <w:fldChar w:fldCharType="separate"/>
          </w:r>
          <w:hyperlink w:anchor="_Toc225019067" w:history="1">
            <w:r w:rsidR="00BC0E14" w:rsidRPr="002D2484">
              <w:rPr>
                <w:rStyle w:val="Hyperlink"/>
                <w:noProof/>
              </w:rPr>
              <w:t>Table of Contents</w:t>
            </w:r>
            <w:r w:rsidR="00BC0E14">
              <w:rPr>
                <w:noProof/>
              </w:rPr>
              <w:tab/>
            </w:r>
            <w:r w:rsidR="00BC0E14">
              <w:rPr>
                <w:noProof/>
              </w:rPr>
              <w:fldChar w:fldCharType="begin"/>
            </w:r>
            <w:r w:rsidR="00BC0E14">
              <w:rPr>
                <w:noProof/>
              </w:rPr>
              <w:instrText xml:space="preserve"> PAGEREF _Toc225019067 \h </w:instrText>
            </w:r>
            <w:r w:rsidR="00BC0E14">
              <w:rPr>
                <w:noProof/>
              </w:rPr>
            </w:r>
            <w:r w:rsidR="00BC0E14">
              <w:rPr>
                <w:noProof/>
              </w:rPr>
              <w:fldChar w:fldCharType="separate"/>
            </w:r>
            <w:r w:rsidR="009E7319">
              <w:rPr>
                <w:noProof/>
              </w:rPr>
              <w:t>2</w:t>
            </w:r>
            <w:r w:rsidR="00BC0E14">
              <w:rPr>
                <w:noProof/>
              </w:rPr>
              <w:fldChar w:fldCharType="end"/>
            </w:r>
          </w:hyperlink>
        </w:p>
        <w:p w14:paraId="532D5C2B" w14:textId="26F0D0FC" w:rsidR="00BC0E14" w:rsidRDefault="00BC0E14">
          <w:pPr>
            <w:pStyle w:val="TOC1"/>
            <w:tabs>
              <w:tab w:val="right" w:leader="dot" w:pos="9350"/>
            </w:tabs>
            <w:rPr>
              <w:noProof/>
            </w:rPr>
          </w:pPr>
          <w:hyperlink w:anchor="_Toc225019068" w:history="1">
            <w:r w:rsidRPr="002D2484">
              <w:rPr>
                <w:rStyle w:val="Hyperlink"/>
                <w:noProof/>
              </w:rPr>
              <w:t>1. Executive Summary</w:t>
            </w:r>
            <w:r>
              <w:rPr>
                <w:noProof/>
              </w:rPr>
              <w:tab/>
            </w:r>
            <w:r>
              <w:rPr>
                <w:noProof/>
              </w:rPr>
              <w:fldChar w:fldCharType="begin"/>
            </w:r>
            <w:r>
              <w:rPr>
                <w:noProof/>
              </w:rPr>
              <w:instrText xml:space="preserve"> PAGEREF _Toc225019068 \h </w:instrText>
            </w:r>
            <w:r>
              <w:rPr>
                <w:noProof/>
              </w:rPr>
            </w:r>
            <w:r>
              <w:rPr>
                <w:noProof/>
              </w:rPr>
              <w:fldChar w:fldCharType="separate"/>
            </w:r>
            <w:r w:rsidR="009E7319">
              <w:rPr>
                <w:noProof/>
              </w:rPr>
              <w:t>4</w:t>
            </w:r>
            <w:r>
              <w:rPr>
                <w:noProof/>
              </w:rPr>
              <w:fldChar w:fldCharType="end"/>
            </w:r>
          </w:hyperlink>
        </w:p>
        <w:p w14:paraId="0E35C4A7" w14:textId="06DE40C9" w:rsidR="00BC0E14" w:rsidRDefault="00BC0E14">
          <w:pPr>
            <w:pStyle w:val="TOC1"/>
            <w:tabs>
              <w:tab w:val="right" w:leader="dot" w:pos="9350"/>
            </w:tabs>
            <w:rPr>
              <w:noProof/>
            </w:rPr>
          </w:pPr>
          <w:hyperlink w:anchor="_Toc225019069" w:history="1">
            <w:r w:rsidRPr="002D2484">
              <w:rPr>
                <w:rStyle w:val="Hyperlink"/>
                <w:noProof/>
              </w:rPr>
              <w:t>2. Regulatory Context and Standards</w:t>
            </w:r>
            <w:r>
              <w:rPr>
                <w:noProof/>
              </w:rPr>
              <w:tab/>
            </w:r>
            <w:r>
              <w:rPr>
                <w:noProof/>
              </w:rPr>
              <w:fldChar w:fldCharType="begin"/>
            </w:r>
            <w:r>
              <w:rPr>
                <w:noProof/>
              </w:rPr>
              <w:instrText xml:space="preserve"> PAGEREF _Toc225019069 \h </w:instrText>
            </w:r>
            <w:r>
              <w:rPr>
                <w:noProof/>
              </w:rPr>
            </w:r>
            <w:r>
              <w:rPr>
                <w:noProof/>
              </w:rPr>
              <w:fldChar w:fldCharType="separate"/>
            </w:r>
            <w:r w:rsidR="009E7319">
              <w:rPr>
                <w:noProof/>
              </w:rPr>
              <w:t>5</w:t>
            </w:r>
            <w:r>
              <w:rPr>
                <w:noProof/>
              </w:rPr>
              <w:fldChar w:fldCharType="end"/>
            </w:r>
          </w:hyperlink>
        </w:p>
        <w:p w14:paraId="3FC5E4C7" w14:textId="102CD1B5" w:rsidR="00BC0E14" w:rsidRDefault="00BC0E14">
          <w:pPr>
            <w:pStyle w:val="TOC2"/>
            <w:tabs>
              <w:tab w:val="right" w:leader="dot" w:pos="9350"/>
            </w:tabs>
            <w:rPr>
              <w:noProof/>
            </w:rPr>
          </w:pPr>
          <w:hyperlink w:anchor="_Toc225019070" w:history="1">
            <w:r w:rsidRPr="002D2484">
              <w:rPr>
                <w:rStyle w:val="Hyperlink"/>
                <w:noProof/>
              </w:rPr>
              <w:t>2.1 IFRS 9 Requirements</w:t>
            </w:r>
            <w:r>
              <w:rPr>
                <w:noProof/>
              </w:rPr>
              <w:tab/>
            </w:r>
            <w:r>
              <w:rPr>
                <w:noProof/>
              </w:rPr>
              <w:fldChar w:fldCharType="begin"/>
            </w:r>
            <w:r>
              <w:rPr>
                <w:noProof/>
              </w:rPr>
              <w:instrText xml:space="preserve"> PAGEREF _Toc225019070 \h </w:instrText>
            </w:r>
            <w:r>
              <w:rPr>
                <w:noProof/>
              </w:rPr>
            </w:r>
            <w:r>
              <w:rPr>
                <w:noProof/>
              </w:rPr>
              <w:fldChar w:fldCharType="separate"/>
            </w:r>
            <w:r w:rsidR="009E7319">
              <w:rPr>
                <w:noProof/>
              </w:rPr>
              <w:t>5</w:t>
            </w:r>
            <w:r>
              <w:rPr>
                <w:noProof/>
              </w:rPr>
              <w:fldChar w:fldCharType="end"/>
            </w:r>
          </w:hyperlink>
        </w:p>
        <w:p w14:paraId="25E68348" w14:textId="1A11AC78" w:rsidR="00BC0E14" w:rsidRDefault="00BC0E14">
          <w:pPr>
            <w:pStyle w:val="TOC2"/>
            <w:tabs>
              <w:tab w:val="right" w:leader="dot" w:pos="9350"/>
            </w:tabs>
            <w:rPr>
              <w:noProof/>
            </w:rPr>
          </w:pPr>
          <w:hyperlink w:anchor="_Toc225019071" w:history="1">
            <w:r w:rsidRPr="002D2484">
              <w:rPr>
                <w:rStyle w:val="Hyperlink"/>
                <w:noProof/>
              </w:rPr>
              <w:t>2.2 Basel Committee Guidance</w:t>
            </w:r>
            <w:r>
              <w:rPr>
                <w:noProof/>
              </w:rPr>
              <w:tab/>
            </w:r>
            <w:r>
              <w:rPr>
                <w:noProof/>
              </w:rPr>
              <w:fldChar w:fldCharType="begin"/>
            </w:r>
            <w:r>
              <w:rPr>
                <w:noProof/>
              </w:rPr>
              <w:instrText xml:space="preserve"> PAGEREF _Toc225019071 \h </w:instrText>
            </w:r>
            <w:r>
              <w:rPr>
                <w:noProof/>
              </w:rPr>
            </w:r>
            <w:r>
              <w:rPr>
                <w:noProof/>
              </w:rPr>
              <w:fldChar w:fldCharType="separate"/>
            </w:r>
            <w:r w:rsidR="009E7319">
              <w:rPr>
                <w:noProof/>
              </w:rPr>
              <w:t>5</w:t>
            </w:r>
            <w:r>
              <w:rPr>
                <w:noProof/>
              </w:rPr>
              <w:fldChar w:fldCharType="end"/>
            </w:r>
          </w:hyperlink>
        </w:p>
        <w:p w14:paraId="17472498" w14:textId="5F88EF7B" w:rsidR="00BC0E14" w:rsidRDefault="00BC0E14">
          <w:pPr>
            <w:pStyle w:val="TOC2"/>
            <w:tabs>
              <w:tab w:val="right" w:leader="dot" w:pos="9350"/>
            </w:tabs>
            <w:rPr>
              <w:noProof/>
            </w:rPr>
          </w:pPr>
          <w:hyperlink w:anchor="_Toc225019072" w:history="1">
            <w:r w:rsidRPr="002D2484">
              <w:rPr>
                <w:rStyle w:val="Hyperlink"/>
                <w:noProof/>
              </w:rPr>
              <w:t>2.3 South African Reserve Bank Requirements</w:t>
            </w:r>
            <w:r>
              <w:rPr>
                <w:noProof/>
              </w:rPr>
              <w:tab/>
            </w:r>
            <w:r>
              <w:rPr>
                <w:noProof/>
              </w:rPr>
              <w:fldChar w:fldCharType="begin"/>
            </w:r>
            <w:r>
              <w:rPr>
                <w:noProof/>
              </w:rPr>
              <w:instrText xml:space="preserve"> PAGEREF _Toc225019072 \h </w:instrText>
            </w:r>
            <w:r>
              <w:rPr>
                <w:noProof/>
              </w:rPr>
            </w:r>
            <w:r>
              <w:rPr>
                <w:noProof/>
              </w:rPr>
              <w:fldChar w:fldCharType="separate"/>
            </w:r>
            <w:r w:rsidR="009E7319">
              <w:rPr>
                <w:noProof/>
              </w:rPr>
              <w:t>5</w:t>
            </w:r>
            <w:r>
              <w:rPr>
                <w:noProof/>
              </w:rPr>
              <w:fldChar w:fldCharType="end"/>
            </w:r>
          </w:hyperlink>
        </w:p>
        <w:p w14:paraId="1F53A0FB" w14:textId="06417410" w:rsidR="00BC0E14" w:rsidRDefault="00BC0E14">
          <w:pPr>
            <w:pStyle w:val="TOC1"/>
            <w:tabs>
              <w:tab w:val="right" w:leader="dot" w:pos="9350"/>
            </w:tabs>
            <w:rPr>
              <w:noProof/>
            </w:rPr>
          </w:pPr>
          <w:hyperlink w:anchor="_Toc225019073" w:history="1">
            <w:r w:rsidRPr="002D2484">
              <w:rPr>
                <w:rStyle w:val="Hyperlink"/>
                <w:noProof/>
              </w:rPr>
              <w:t>3. Data Description</w:t>
            </w:r>
            <w:r>
              <w:rPr>
                <w:noProof/>
              </w:rPr>
              <w:tab/>
            </w:r>
            <w:r>
              <w:rPr>
                <w:noProof/>
              </w:rPr>
              <w:fldChar w:fldCharType="begin"/>
            </w:r>
            <w:r>
              <w:rPr>
                <w:noProof/>
              </w:rPr>
              <w:instrText xml:space="preserve"> PAGEREF _Toc225019073 \h </w:instrText>
            </w:r>
            <w:r>
              <w:rPr>
                <w:noProof/>
              </w:rPr>
            </w:r>
            <w:r>
              <w:rPr>
                <w:noProof/>
              </w:rPr>
              <w:fldChar w:fldCharType="separate"/>
            </w:r>
            <w:r w:rsidR="009E7319">
              <w:rPr>
                <w:noProof/>
              </w:rPr>
              <w:t>6</w:t>
            </w:r>
            <w:r>
              <w:rPr>
                <w:noProof/>
              </w:rPr>
              <w:fldChar w:fldCharType="end"/>
            </w:r>
          </w:hyperlink>
        </w:p>
        <w:p w14:paraId="665374C7" w14:textId="74D3973E" w:rsidR="00BC0E14" w:rsidRDefault="00BC0E14">
          <w:pPr>
            <w:pStyle w:val="TOC2"/>
            <w:tabs>
              <w:tab w:val="right" w:leader="dot" w:pos="9350"/>
            </w:tabs>
            <w:rPr>
              <w:noProof/>
            </w:rPr>
          </w:pPr>
          <w:hyperlink w:anchor="_Toc225019074" w:history="1">
            <w:r w:rsidRPr="002D2484">
              <w:rPr>
                <w:rStyle w:val="Hyperlink"/>
                <w:noProof/>
              </w:rPr>
              <w:t>3.1 Portfolio Overview</w:t>
            </w:r>
            <w:r>
              <w:rPr>
                <w:noProof/>
              </w:rPr>
              <w:tab/>
            </w:r>
            <w:r>
              <w:rPr>
                <w:noProof/>
              </w:rPr>
              <w:fldChar w:fldCharType="begin"/>
            </w:r>
            <w:r>
              <w:rPr>
                <w:noProof/>
              </w:rPr>
              <w:instrText xml:space="preserve"> PAGEREF _Toc225019074 \h </w:instrText>
            </w:r>
            <w:r>
              <w:rPr>
                <w:noProof/>
              </w:rPr>
            </w:r>
            <w:r>
              <w:rPr>
                <w:noProof/>
              </w:rPr>
              <w:fldChar w:fldCharType="separate"/>
            </w:r>
            <w:r w:rsidR="009E7319">
              <w:rPr>
                <w:noProof/>
              </w:rPr>
              <w:t>6</w:t>
            </w:r>
            <w:r>
              <w:rPr>
                <w:noProof/>
              </w:rPr>
              <w:fldChar w:fldCharType="end"/>
            </w:r>
          </w:hyperlink>
        </w:p>
        <w:p w14:paraId="2AB3EDF4" w14:textId="59367533" w:rsidR="00BC0E14" w:rsidRDefault="00BC0E14">
          <w:pPr>
            <w:pStyle w:val="TOC2"/>
            <w:tabs>
              <w:tab w:val="right" w:leader="dot" w:pos="9350"/>
            </w:tabs>
            <w:rPr>
              <w:noProof/>
            </w:rPr>
          </w:pPr>
          <w:hyperlink w:anchor="_Toc225019075" w:history="1">
            <w:r w:rsidRPr="002D2484">
              <w:rPr>
                <w:rStyle w:val="Hyperlink"/>
                <w:noProof/>
              </w:rPr>
              <w:t>3.2 Recovery Triangle Structure</w:t>
            </w:r>
            <w:r>
              <w:rPr>
                <w:noProof/>
              </w:rPr>
              <w:tab/>
            </w:r>
            <w:r>
              <w:rPr>
                <w:noProof/>
              </w:rPr>
              <w:fldChar w:fldCharType="begin"/>
            </w:r>
            <w:r>
              <w:rPr>
                <w:noProof/>
              </w:rPr>
              <w:instrText xml:space="preserve"> PAGEREF _Toc225019075 \h </w:instrText>
            </w:r>
            <w:r>
              <w:rPr>
                <w:noProof/>
              </w:rPr>
            </w:r>
            <w:r>
              <w:rPr>
                <w:noProof/>
              </w:rPr>
              <w:fldChar w:fldCharType="separate"/>
            </w:r>
            <w:r w:rsidR="009E7319">
              <w:rPr>
                <w:noProof/>
              </w:rPr>
              <w:t>6</w:t>
            </w:r>
            <w:r>
              <w:rPr>
                <w:noProof/>
              </w:rPr>
              <w:fldChar w:fldCharType="end"/>
            </w:r>
          </w:hyperlink>
        </w:p>
        <w:p w14:paraId="53BC868D" w14:textId="068ED465" w:rsidR="00BC0E14" w:rsidRDefault="00BC0E14">
          <w:pPr>
            <w:pStyle w:val="TOC2"/>
            <w:tabs>
              <w:tab w:val="right" w:leader="dot" w:pos="9350"/>
            </w:tabs>
            <w:rPr>
              <w:noProof/>
            </w:rPr>
          </w:pPr>
          <w:hyperlink w:anchor="_Toc225019076" w:history="1">
            <w:r w:rsidRPr="002D2484">
              <w:rPr>
                <w:rStyle w:val="Hyperlink"/>
                <w:noProof/>
              </w:rPr>
              <w:t>3.3 Key Data Fields</w:t>
            </w:r>
            <w:r>
              <w:rPr>
                <w:noProof/>
              </w:rPr>
              <w:tab/>
            </w:r>
            <w:r>
              <w:rPr>
                <w:noProof/>
              </w:rPr>
              <w:fldChar w:fldCharType="begin"/>
            </w:r>
            <w:r>
              <w:rPr>
                <w:noProof/>
              </w:rPr>
              <w:instrText xml:space="preserve"> PAGEREF _Toc225019076 \h </w:instrText>
            </w:r>
            <w:r>
              <w:rPr>
                <w:noProof/>
              </w:rPr>
            </w:r>
            <w:r>
              <w:rPr>
                <w:noProof/>
              </w:rPr>
              <w:fldChar w:fldCharType="separate"/>
            </w:r>
            <w:r w:rsidR="009E7319">
              <w:rPr>
                <w:noProof/>
              </w:rPr>
              <w:t>6</w:t>
            </w:r>
            <w:r>
              <w:rPr>
                <w:noProof/>
              </w:rPr>
              <w:fldChar w:fldCharType="end"/>
            </w:r>
          </w:hyperlink>
        </w:p>
        <w:p w14:paraId="0282B20F" w14:textId="5A40796E" w:rsidR="00BC0E14" w:rsidRDefault="00BC0E14">
          <w:pPr>
            <w:pStyle w:val="TOC1"/>
            <w:tabs>
              <w:tab w:val="right" w:leader="dot" w:pos="9350"/>
            </w:tabs>
            <w:rPr>
              <w:noProof/>
            </w:rPr>
          </w:pPr>
          <w:hyperlink w:anchor="_Toc225019077" w:history="1">
            <w:r w:rsidRPr="002D2484">
              <w:rPr>
                <w:rStyle w:val="Hyperlink"/>
                <w:noProof/>
              </w:rPr>
              <w:t>4. Model Methodology</w:t>
            </w:r>
            <w:r>
              <w:rPr>
                <w:noProof/>
              </w:rPr>
              <w:tab/>
            </w:r>
            <w:r>
              <w:rPr>
                <w:noProof/>
              </w:rPr>
              <w:fldChar w:fldCharType="begin"/>
            </w:r>
            <w:r>
              <w:rPr>
                <w:noProof/>
              </w:rPr>
              <w:instrText xml:space="preserve"> PAGEREF _Toc225019077 \h </w:instrText>
            </w:r>
            <w:r>
              <w:rPr>
                <w:noProof/>
              </w:rPr>
            </w:r>
            <w:r>
              <w:rPr>
                <w:noProof/>
              </w:rPr>
              <w:fldChar w:fldCharType="separate"/>
            </w:r>
            <w:r w:rsidR="009E7319">
              <w:rPr>
                <w:noProof/>
              </w:rPr>
              <w:t>7</w:t>
            </w:r>
            <w:r>
              <w:rPr>
                <w:noProof/>
              </w:rPr>
              <w:fldChar w:fldCharType="end"/>
            </w:r>
          </w:hyperlink>
        </w:p>
        <w:p w14:paraId="6AF58CF7" w14:textId="0ED80FF4" w:rsidR="00BC0E14" w:rsidRDefault="00BC0E14">
          <w:pPr>
            <w:pStyle w:val="TOC2"/>
            <w:tabs>
              <w:tab w:val="right" w:leader="dot" w:pos="9350"/>
            </w:tabs>
            <w:rPr>
              <w:noProof/>
            </w:rPr>
          </w:pPr>
          <w:hyperlink w:anchor="_Toc225019078" w:history="1">
            <w:r w:rsidRPr="002D2484">
              <w:rPr>
                <w:rStyle w:val="Hyperlink"/>
                <w:noProof/>
              </w:rPr>
              <w:t>4.1 Chain-Ladder Method Overview</w:t>
            </w:r>
            <w:r>
              <w:rPr>
                <w:noProof/>
              </w:rPr>
              <w:tab/>
            </w:r>
            <w:r>
              <w:rPr>
                <w:noProof/>
              </w:rPr>
              <w:fldChar w:fldCharType="begin"/>
            </w:r>
            <w:r>
              <w:rPr>
                <w:noProof/>
              </w:rPr>
              <w:instrText xml:space="preserve"> PAGEREF _Toc225019078 \h </w:instrText>
            </w:r>
            <w:r>
              <w:rPr>
                <w:noProof/>
              </w:rPr>
            </w:r>
            <w:r>
              <w:rPr>
                <w:noProof/>
              </w:rPr>
              <w:fldChar w:fldCharType="separate"/>
            </w:r>
            <w:r w:rsidR="009E7319">
              <w:rPr>
                <w:noProof/>
              </w:rPr>
              <w:t>7</w:t>
            </w:r>
            <w:r>
              <w:rPr>
                <w:noProof/>
              </w:rPr>
              <w:fldChar w:fldCharType="end"/>
            </w:r>
          </w:hyperlink>
        </w:p>
        <w:p w14:paraId="692DBD51" w14:textId="2B0D25CF" w:rsidR="00BC0E14" w:rsidRDefault="00BC0E14">
          <w:pPr>
            <w:pStyle w:val="TOC2"/>
            <w:tabs>
              <w:tab w:val="right" w:leader="dot" w:pos="9350"/>
            </w:tabs>
            <w:rPr>
              <w:noProof/>
            </w:rPr>
          </w:pPr>
          <w:hyperlink w:anchor="_Toc225019079" w:history="1">
            <w:r w:rsidRPr="002D2484">
              <w:rPr>
                <w:rStyle w:val="Hyperlink"/>
                <w:noProof/>
              </w:rPr>
              <w:t>4.2 Core Computational Steps</w:t>
            </w:r>
            <w:r>
              <w:rPr>
                <w:noProof/>
              </w:rPr>
              <w:tab/>
            </w:r>
            <w:r>
              <w:rPr>
                <w:noProof/>
              </w:rPr>
              <w:fldChar w:fldCharType="begin"/>
            </w:r>
            <w:r>
              <w:rPr>
                <w:noProof/>
              </w:rPr>
              <w:instrText xml:space="preserve"> PAGEREF _Toc225019079 \h </w:instrText>
            </w:r>
            <w:r>
              <w:rPr>
                <w:noProof/>
              </w:rPr>
            </w:r>
            <w:r>
              <w:rPr>
                <w:noProof/>
              </w:rPr>
              <w:fldChar w:fldCharType="separate"/>
            </w:r>
            <w:r w:rsidR="009E7319">
              <w:rPr>
                <w:noProof/>
              </w:rPr>
              <w:t>7</w:t>
            </w:r>
            <w:r>
              <w:rPr>
                <w:noProof/>
              </w:rPr>
              <w:fldChar w:fldCharType="end"/>
            </w:r>
          </w:hyperlink>
        </w:p>
        <w:p w14:paraId="1AC4B840" w14:textId="178DBA66" w:rsidR="00BC0E14" w:rsidRDefault="00BC0E14">
          <w:pPr>
            <w:pStyle w:val="TOC3"/>
            <w:tabs>
              <w:tab w:val="right" w:leader="dot" w:pos="9350"/>
            </w:tabs>
            <w:rPr>
              <w:noProof/>
            </w:rPr>
          </w:pPr>
          <w:hyperlink w:anchor="_Toc225019080" w:history="1">
            <w:r w:rsidRPr="002D2484">
              <w:rPr>
                <w:rStyle w:val="Hyperlink"/>
                <w:noProof/>
              </w:rPr>
              <w:t>4.2.1 Step 1: Aggregate Recoveries</w:t>
            </w:r>
            <w:r>
              <w:rPr>
                <w:noProof/>
              </w:rPr>
              <w:tab/>
            </w:r>
            <w:r>
              <w:rPr>
                <w:noProof/>
              </w:rPr>
              <w:fldChar w:fldCharType="begin"/>
            </w:r>
            <w:r>
              <w:rPr>
                <w:noProof/>
              </w:rPr>
              <w:instrText xml:space="preserve"> PAGEREF _Toc225019080 \h </w:instrText>
            </w:r>
            <w:r>
              <w:rPr>
                <w:noProof/>
              </w:rPr>
            </w:r>
            <w:r>
              <w:rPr>
                <w:noProof/>
              </w:rPr>
              <w:fldChar w:fldCharType="separate"/>
            </w:r>
            <w:r w:rsidR="009E7319">
              <w:rPr>
                <w:noProof/>
              </w:rPr>
              <w:t>7</w:t>
            </w:r>
            <w:r>
              <w:rPr>
                <w:noProof/>
              </w:rPr>
              <w:fldChar w:fldCharType="end"/>
            </w:r>
          </w:hyperlink>
        </w:p>
        <w:p w14:paraId="07DD3157" w14:textId="014FD477" w:rsidR="00BC0E14" w:rsidRDefault="00BC0E14">
          <w:pPr>
            <w:pStyle w:val="TOC3"/>
            <w:tabs>
              <w:tab w:val="right" w:leader="dot" w:pos="9350"/>
            </w:tabs>
            <w:rPr>
              <w:noProof/>
            </w:rPr>
          </w:pPr>
          <w:hyperlink w:anchor="_Toc225019081" w:history="1">
            <w:r w:rsidRPr="002D2484">
              <w:rPr>
                <w:rStyle w:val="Hyperlink"/>
                <w:noProof/>
              </w:rPr>
              <w:t>4.2.2 Step 2: Cumulative Balances</w:t>
            </w:r>
            <w:r>
              <w:rPr>
                <w:noProof/>
              </w:rPr>
              <w:tab/>
            </w:r>
            <w:r>
              <w:rPr>
                <w:noProof/>
              </w:rPr>
              <w:fldChar w:fldCharType="begin"/>
            </w:r>
            <w:r>
              <w:rPr>
                <w:noProof/>
              </w:rPr>
              <w:instrText xml:space="preserve"> PAGEREF _Toc225019081 \h </w:instrText>
            </w:r>
            <w:r>
              <w:rPr>
                <w:noProof/>
              </w:rPr>
            </w:r>
            <w:r>
              <w:rPr>
                <w:noProof/>
              </w:rPr>
              <w:fldChar w:fldCharType="separate"/>
            </w:r>
            <w:r w:rsidR="009E7319">
              <w:rPr>
                <w:noProof/>
              </w:rPr>
              <w:t>7</w:t>
            </w:r>
            <w:r>
              <w:rPr>
                <w:noProof/>
              </w:rPr>
              <w:fldChar w:fldCharType="end"/>
            </w:r>
          </w:hyperlink>
        </w:p>
        <w:p w14:paraId="4BBA9206" w14:textId="1D6AB26B" w:rsidR="00BC0E14" w:rsidRDefault="00BC0E14">
          <w:pPr>
            <w:pStyle w:val="TOC3"/>
            <w:tabs>
              <w:tab w:val="right" w:leader="dot" w:pos="9350"/>
            </w:tabs>
            <w:rPr>
              <w:noProof/>
            </w:rPr>
          </w:pPr>
          <w:hyperlink w:anchor="_Toc225019082" w:history="1">
            <w:r w:rsidRPr="002D2484">
              <w:rPr>
                <w:rStyle w:val="Hyperlink"/>
                <w:noProof/>
              </w:rPr>
              <w:t>4.2.3 Step 3: Discount Matrix</w:t>
            </w:r>
            <w:r>
              <w:rPr>
                <w:noProof/>
              </w:rPr>
              <w:tab/>
            </w:r>
            <w:r>
              <w:rPr>
                <w:noProof/>
              </w:rPr>
              <w:fldChar w:fldCharType="begin"/>
            </w:r>
            <w:r>
              <w:rPr>
                <w:noProof/>
              </w:rPr>
              <w:instrText xml:space="preserve"> PAGEREF _Toc225019082 \h </w:instrText>
            </w:r>
            <w:r>
              <w:rPr>
                <w:noProof/>
              </w:rPr>
            </w:r>
            <w:r>
              <w:rPr>
                <w:noProof/>
              </w:rPr>
              <w:fldChar w:fldCharType="separate"/>
            </w:r>
            <w:r w:rsidR="009E7319">
              <w:rPr>
                <w:noProof/>
              </w:rPr>
              <w:t>8</w:t>
            </w:r>
            <w:r>
              <w:rPr>
                <w:noProof/>
              </w:rPr>
              <w:fldChar w:fldCharType="end"/>
            </w:r>
          </w:hyperlink>
        </w:p>
        <w:p w14:paraId="4F80CB97" w14:textId="64B3753A" w:rsidR="00BC0E14" w:rsidRDefault="00BC0E14">
          <w:pPr>
            <w:pStyle w:val="TOC3"/>
            <w:tabs>
              <w:tab w:val="right" w:leader="dot" w:pos="9350"/>
            </w:tabs>
            <w:rPr>
              <w:noProof/>
            </w:rPr>
          </w:pPr>
          <w:hyperlink w:anchor="_Toc225019083" w:history="1">
            <w:r w:rsidRPr="002D2484">
              <w:rPr>
                <w:rStyle w:val="Hyperlink"/>
                <w:noProof/>
              </w:rPr>
              <w:t>4.2.4 Step 4: LGD Term Structure</w:t>
            </w:r>
            <w:r>
              <w:rPr>
                <w:noProof/>
              </w:rPr>
              <w:tab/>
            </w:r>
            <w:r>
              <w:rPr>
                <w:noProof/>
              </w:rPr>
              <w:fldChar w:fldCharType="begin"/>
            </w:r>
            <w:r>
              <w:rPr>
                <w:noProof/>
              </w:rPr>
              <w:instrText xml:space="preserve"> PAGEREF _Toc225019083 \h </w:instrText>
            </w:r>
            <w:r>
              <w:rPr>
                <w:noProof/>
              </w:rPr>
            </w:r>
            <w:r>
              <w:rPr>
                <w:noProof/>
              </w:rPr>
              <w:fldChar w:fldCharType="separate"/>
            </w:r>
            <w:r w:rsidR="009E7319">
              <w:rPr>
                <w:noProof/>
              </w:rPr>
              <w:t>8</w:t>
            </w:r>
            <w:r>
              <w:rPr>
                <w:noProof/>
              </w:rPr>
              <w:fldChar w:fldCharType="end"/>
            </w:r>
          </w:hyperlink>
        </w:p>
        <w:p w14:paraId="1B0F50C6" w14:textId="7FC0A48D" w:rsidR="00BC0E14" w:rsidRDefault="00BC0E14">
          <w:pPr>
            <w:pStyle w:val="TOC2"/>
            <w:tabs>
              <w:tab w:val="right" w:leader="dot" w:pos="9350"/>
            </w:tabs>
            <w:rPr>
              <w:noProof/>
            </w:rPr>
          </w:pPr>
          <w:hyperlink w:anchor="_Toc225019084" w:history="1">
            <w:r w:rsidRPr="002D2484">
              <w:rPr>
                <w:rStyle w:val="Hyperlink"/>
                <w:noProof/>
              </w:rPr>
              <w:t>4.3 Discount Rate</w:t>
            </w:r>
            <w:r>
              <w:rPr>
                <w:noProof/>
              </w:rPr>
              <w:tab/>
            </w:r>
            <w:r>
              <w:rPr>
                <w:noProof/>
              </w:rPr>
              <w:fldChar w:fldCharType="begin"/>
            </w:r>
            <w:r>
              <w:rPr>
                <w:noProof/>
              </w:rPr>
              <w:instrText xml:space="preserve"> PAGEREF _Toc225019084 \h </w:instrText>
            </w:r>
            <w:r>
              <w:rPr>
                <w:noProof/>
              </w:rPr>
            </w:r>
            <w:r>
              <w:rPr>
                <w:noProof/>
              </w:rPr>
              <w:fldChar w:fldCharType="separate"/>
            </w:r>
            <w:r w:rsidR="009E7319">
              <w:rPr>
                <w:noProof/>
              </w:rPr>
              <w:t>8</w:t>
            </w:r>
            <w:r>
              <w:rPr>
                <w:noProof/>
              </w:rPr>
              <w:fldChar w:fldCharType="end"/>
            </w:r>
          </w:hyperlink>
        </w:p>
        <w:p w14:paraId="359A8B81" w14:textId="6B36A2E9" w:rsidR="00BC0E14" w:rsidRDefault="00BC0E14">
          <w:pPr>
            <w:pStyle w:val="TOC1"/>
            <w:tabs>
              <w:tab w:val="right" w:leader="dot" w:pos="9350"/>
            </w:tabs>
            <w:rPr>
              <w:noProof/>
            </w:rPr>
          </w:pPr>
          <w:hyperlink w:anchor="_Toc225019085" w:history="1">
            <w:r w:rsidRPr="002D2484">
              <w:rPr>
                <w:rStyle w:val="Hyperlink"/>
                <w:noProof/>
              </w:rPr>
              <w:t>5. Vintage Analysis Framework</w:t>
            </w:r>
            <w:r>
              <w:rPr>
                <w:noProof/>
              </w:rPr>
              <w:tab/>
            </w:r>
            <w:r>
              <w:rPr>
                <w:noProof/>
              </w:rPr>
              <w:fldChar w:fldCharType="begin"/>
            </w:r>
            <w:r>
              <w:rPr>
                <w:noProof/>
              </w:rPr>
              <w:instrText xml:space="preserve"> PAGEREF _Toc225019085 \h </w:instrText>
            </w:r>
            <w:r>
              <w:rPr>
                <w:noProof/>
              </w:rPr>
            </w:r>
            <w:r>
              <w:rPr>
                <w:noProof/>
              </w:rPr>
              <w:fldChar w:fldCharType="separate"/>
            </w:r>
            <w:r w:rsidR="009E7319">
              <w:rPr>
                <w:noProof/>
              </w:rPr>
              <w:t>9</w:t>
            </w:r>
            <w:r>
              <w:rPr>
                <w:noProof/>
              </w:rPr>
              <w:fldChar w:fldCharType="end"/>
            </w:r>
          </w:hyperlink>
        </w:p>
        <w:p w14:paraId="04E6A9F6" w14:textId="77D98122" w:rsidR="00BC0E14" w:rsidRDefault="00BC0E14">
          <w:pPr>
            <w:pStyle w:val="TOC2"/>
            <w:tabs>
              <w:tab w:val="right" w:leader="dot" w:pos="9350"/>
            </w:tabs>
            <w:rPr>
              <w:noProof/>
            </w:rPr>
          </w:pPr>
          <w:hyperlink w:anchor="_Toc225019086" w:history="1">
            <w:r w:rsidRPr="002D2484">
              <w:rPr>
                <w:rStyle w:val="Hyperlink"/>
                <w:noProof/>
              </w:rPr>
              <w:t>5.1 Rolling Window Approach</w:t>
            </w:r>
            <w:r>
              <w:rPr>
                <w:noProof/>
              </w:rPr>
              <w:tab/>
            </w:r>
            <w:r>
              <w:rPr>
                <w:noProof/>
              </w:rPr>
              <w:fldChar w:fldCharType="begin"/>
            </w:r>
            <w:r>
              <w:rPr>
                <w:noProof/>
              </w:rPr>
              <w:instrText xml:space="preserve"> PAGEREF _Toc225019086 \h </w:instrText>
            </w:r>
            <w:r>
              <w:rPr>
                <w:noProof/>
              </w:rPr>
            </w:r>
            <w:r>
              <w:rPr>
                <w:noProof/>
              </w:rPr>
              <w:fldChar w:fldCharType="separate"/>
            </w:r>
            <w:r w:rsidR="009E7319">
              <w:rPr>
                <w:noProof/>
              </w:rPr>
              <w:t>9</w:t>
            </w:r>
            <w:r>
              <w:rPr>
                <w:noProof/>
              </w:rPr>
              <w:fldChar w:fldCharType="end"/>
            </w:r>
          </w:hyperlink>
        </w:p>
        <w:p w14:paraId="2012EA88" w14:textId="0C0EC882" w:rsidR="00BC0E14" w:rsidRDefault="00BC0E14">
          <w:pPr>
            <w:pStyle w:val="TOC2"/>
            <w:tabs>
              <w:tab w:val="right" w:leader="dot" w:pos="9350"/>
            </w:tabs>
            <w:rPr>
              <w:noProof/>
            </w:rPr>
          </w:pPr>
          <w:hyperlink w:anchor="_Toc225019087" w:history="1">
            <w:r w:rsidRPr="002D2484">
              <w:rPr>
                <w:rStyle w:val="Hyperlink"/>
                <w:noProof/>
              </w:rPr>
              <w:t>5.2 Observation Mask (Critical)</w:t>
            </w:r>
            <w:r>
              <w:rPr>
                <w:noProof/>
              </w:rPr>
              <w:tab/>
            </w:r>
            <w:r>
              <w:rPr>
                <w:noProof/>
              </w:rPr>
              <w:fldChar w:fldCharType="begin"/>
            </w:r>
            <w:r>
              <w:rPr>
                <w:noProof/>
              </w:rPr>
              <w:instrText xml:space="preserve"> PAGEREF _Toc225019087 \h </w:instrText>
            </w:r>
            <w:r>
              <w:rPr>
                <w:noProof/>
              </w:rPr>
            </w:r>
            <w:r>
              <w:rPr>
                <w:noProof/>
              </w:rPr>
              <w:fldChar w:fldCharType="separate"/>
            </w:r>
            <w:r w:rsidR="009E7319">
              <w:rPr>
                <w:noProof/>
              </w:rPr>
              <w:t>9</w:t>
            </w:r>
            <w:r>
              <w:rPr>
                <w:noProof/>
              </w:rPr>
              <w:fldChar w:fldCharType="end"/>
            </w:r>
          </w:hyperlink>
        </w:p>
        <w:p w14:paraId="10BC24AC" w14:textId="564B84EC" w:rsidR="00BC0E14" w:rsidRDefault="00BC0E14">
          <w:pPr>
            <w:pStyle w:val="TOC2"/>
            <w:tabs>
              <w:tab w:val="right" w:leader="dot" w:pos="9350"/>
            </w:tabs>
            <w:rPr>
              <w:noProof/>
            </w:rPr>
          </w:pPr>
          <w:hyperlink w:anchor="_Toc225019088" w:history="1">
            <w:r w:rsidRPr="002D2484">
              <w:rPr>
                <w:rStyle w:val="Hyperlink"/>
                <w:noProof/>
              </w:rPr>
              <w:t>5.3 Multi-Window Calibration</w:t>
            </w:r>
            <w:r>
              <w:rPr>
                <w:noProof/>
              </w:rPr>
              <w:tab/>
            </w:r>
            <w:r>
              <w:rPr>
                <w:noProof/>
              </w:rPr>
              <w:fldChar w:fldCharType="begin"/>
            </w:r>
            <w:r>
              <w:rPr>
                <w:noProof/>
              </w:rPr>
              <w:instrText xml:space="preserve"> PAGEREF _Toc225019088 \h </w:instrText>
            </w:r>
            <w:r>
              <w:rPr>
                <w:noProof/>
              </w:rPr>
            </w:r>
            <w:r>
              <w:rPr>
                <w:noProof/>
              </w:rPr>
              <w:fldChar w:fldCharType="separate"/>
            </w:r>
            <w:r w:rsidR="009E7319">
              <w:rPr>
                <w:noProof/>
              </w:rPr>
              <w:t>9</w:t>
            </w:r>
            <w:r>
              <w:rPr>
                <w:noProof/>
              </w:rPr>
              <w:fldChar w:fldCharType="end"/>
            </w:r>
          </w:hyperlink>
        </w:p>
        <w:p w14:paraId="1CD795FB" w14:textId="24BA139B" w:rsidR="00BC0E14" w:rsidRDefault="00BC0E14">
          <w:pPr>
            <w:pStyle w:val="TOC1"/>
            <w:tabs>
              <w:tab w:val="right" w:leader="dot" w:pos="9350"/>
            </w:tabs>
            <w:rPr>
              <w:noProof/>
            </w:rPr>
          </w:pPr>
          <w:hyperlink w:anchor="_Toc225019089" w:history="1">
            <w:r w:rsidRPr="002D2484">
              <w:rPr>
                <w:rStyle w:val="Hyperlink"/>
                <w:noProof/>
              </w:rPr>
              <w:t>6. Backtesting Framework</w:t>
            </w:r>
            <w:r>
              <w:rPr>
                <w:noProof/>
              </w:rPr>
              <w:tab/>
            </w:r>
            <w:r>
              <w:rPr>
                <w:noProof/>
              </w:rPr>
              <w:fldChar w:fldCharType="begin"/>
            </w:r>
            <w:r>
              <w:rPr>
                <w:noProof/>
              </w:rPr>
              <w:instrText xml:space="preserve"> PAGEREF _Toc225019089 \h </w:instrText>
            </w:r>
            <w:r>
              <w:rPr>
                <w:noProof/>
              </w:rPr>
            </w:r>
            <w:r>
              <w:rPr>
                <w:noProof/>
              </w:rPr>
              <w:fldChar w:fldCharType="separate"/>
            </w:r>
            <w:r w:rsidR="009E7319">
              <w:rPr>
                <w:noProof/>
              </w:rPr>
              <w:t>10</w:t>
            </w:r>
            <w:r>
              <w:rPr>
                <w:noProof/>
              </w:rPr>
              <w:fldChar w:fldCharType="end"/>
            </w:r>
          </w:hyperlink>
        </w:p>
        <w:p w14:paraId="15A17A34" w14:textId="338546A7" w:rsidR="00BC0E14" w:rsidRDefault="00BC0E14">
          <w:pPr>
            <w:pStyle w:val="TOC2"/>
            <w:tabs>
              <w:tab w:val="right" w:leader="dot" w:pos="9350"/>
            </w:tabs>
            <w:rPr>
              <w:noProof/>
            </w:rPr>
          </w:pPr>
          <w:hyperlink w:anchor="_Toc225019090" w:history="1">
            <w:r w:rsidRPr="002D2484">
              <w:rPr>
                <w:rStyle w:val="Hyperlink"/>
                <w:noProof/>
              </w:rPr>
              <w:t>6.1 Forecast vs Actual Comparison</w:t>
            </w:r>
            <w:r>
              <w:rPr>
                <w:noProof/>
              </w:rPr>
              <w:tab/>
            </w:r>
            <w:r>
              <w:rPr>
                <w:noProof/>
              </w:rPr>
              <w:fldChar w:fldCharType="begin"/>
            </w:r>
            <w:r>
              <w:rPr>
                <w:noProof/>
              </w:rPr>
              <w:instrText xml:space="preserve"> PAGEREF _Toc225019090 \h </w:instrText>
            </w:r>
            <w:r>
              <w:rPr>
                <w:noProof/>
              </w:rPr>
            </w:r>
            <w:r>
              <w:rPr>
                <w:noProof/>
              </w:rPr>
              <w:fldChar w:fldCharType="separate"/>
            </w:r>
            <w:r w:rsidR="009E7319">
              <w:rPr>
                <w:noProof/>
              </w:rPr>
              <w:t>10</w:t>
            </w:r>
            <w:r>
              <w:rPr>
                <w:noProof/>
              </w:rPr>
              <w:fldChar w:fldCharType="end"/>
            </w:r>
          </w:hyperlink>
        </w:p>
        <w:p w14:paraId="6ED9E352" w14:textId="27FEF3B6" w:rsidR="00BC0E14" w:rsidRDefault="00BC0E14">
          <w:pPr>
            <w:pStyle w:val="TOC2"/>
            <w:tabs>
              <w:tab w:val="right" w:leader="dot" w:pos="9350"/>
            </w:tabs>
            <w:rPr>
              <w:noProof/>
            </w:rPr>
          </w:pPr>
          <w:hyperlink w:anchor="_Toc225019091" w:history="1">
            <w:r w:rsidRPr="002D2484">
              <w:rPr>
                <w:rStyle w:val="Hyperlink"/>
                <w:noProof/>
              </w:rPr>
              <w:t>6.2 Diagonal Pattern</w:t>
            </w:r>
            <w:r>
              <w:rPr>
                <w:noProof/>
              </w:rPr>
              <w:tab/>
            </w:r>
            <w:r>
              <w:rPr>
                <w:noProof/>
              </w:rPr>
              <w:fldChar w:fldCharType="begin"/>
            </w:r>
            <w:r>
              <w:rPr>
                <w:noProof/>
              </w:rPr>
              <w:instrText xml:space="preserve"> PAGEREF _Toc225019091 \h </w:instrText>
            </w:r>
            <w:r>
              <w:rPr>
                <w:noProof/>
              </w:rPr>
            </w:r>
            <w:r>
              <w:rPr>
                <w:noProof/>
              </w:rPr>
              <w:fldChar w:fldCharType="separate"/>
            </w:r>
            <w:r w:rsidR="009E7319">
              <w:rPr>
                <w:noProof/>
              </w:rPr>
              <w:t>10</w:t>
            </w:r>
            <w:r>
              <w:rPr>
                <w:noProof/>
              </w:rPr>
              <w:fldChar w:fldCharType="end"/>
            </w:r>
          </w:hyperlink>
        </w:p>
        <w:p w14:paraId="37F2B71A" w14:textId="5AAD99C7" w:rsidR="00BC0E14" w:rsidRDefault="00BC0E14">
          <w:pPr>
            <w:pStyle w:val="TOC2"/>
            <w:tabs>
              <w:tab w:val="right" w:leader="dot" w:pos="9350"/>
            </w:tabs>
            <w:rPr>
              <w:noProof/>
            </w:rPr>
          </w:pPr>
          <w:hyperlink w:anchor="_Toc225019092" w:history="1">
            <w:r w:rsidRPr="002D2484">
              <w:rPr>
                <w:rStyle w:val="Hyperlink"/>
                <w:noProof/>
              </w:rPr>
              <w:t>6.3 Residual Analysis</w:t>
            </w:r>
            <w:r>
              <w:rPr>
                <w:noProof/>
              </w:rPr>
              <w:tab/>
            </w:r>
            <w:r>
              <w:rPr>
                <w:noProof/>
              </w:rPr>
              <w:fldChar w:fldCharType="begin"/>
            </w:r>
            <w:r>
              <w:rPr>
                <w:noProof/>
              </w:rPr>
              <w:instrText xml:space="preserve"> PAGEREF _Toc225019092 \h </w:instrText>
            </w:r>
            <w:r>
              <w:rPr>
                <w:noProof/>
              </w:rPr>
            </w:r>
            <w:r>
              <w:rPr>
                <w:noProof/>
              </w:rPr>
              <w:fldChar w:fldCharType="separate"/>
            </w:r>
            <w:r w:rsidR="009E7319">
              <w:rPr>
                <w:noProof/>
              </w:rPr>
              <w:t>10</w:t>
            </w:r>
            <w:r>
              <w:rPr>
                <w:noProof/>
              </w:rPr>
              <w:fldChar w:fldCharType="end"/>
            </w:r>
          </w:hyperlink>
        </w:p>
        <w:p w14:paraId="75673317" w14:textId="55A3E142" w:rsidR="00BC0E14" w:rsidRDefault="00BC0E14">
          <w:pPr>
            <w:pStyle w:val="TOC1"/>
            <w:tabs>
              <w:tab w:val="right" w:leader="dot" w:pos="9350"/>
            </w:tabs>
            <w:rPr>
              <w:noProof/>
            </w:rPr>
          </w:pPr>
          <w:hyperlink w:anchor="_Toc225019093" w:history="1">
            <w:r w:rsidRPr="002D2484">
              <w:rPr>
                <w:rStyle w:val="Hyperlink"/>
                <w:noProof/>
              </w:rPr>
              <w:t>7. Confidence Interval Methodology</w:t>
            </w:r>
            <w:r>
              <w:rPr>
                <w:noProof/>
              </w:rPr>
              <w:tab/>
            </w:r>
            <w:r>
              <w:rPr>
                <w:noProof/>
              </w:rPr>
              <w:fldChar w:fldCharType="begin"/>
            </w:r>
            <w:r>
              <w:rPr>
                <w:noProof/>
              </w:rPr>
              <w:instrText xml:space="preserve"> PAGEREF _Toc225019093 \h </w:instrText>
            </w:r>
            <w:r>
              <w:rPr>
                <w:noProof/>
              </w:rPr>
            </w:r>
            <w:r>
              <w:rPr>
                <w:noProof/>
              </w:rPr>
              <w:fldChar w:fldCharType="separate"/>
            </w:r>
            <w:r w:rsidR="009E7319">
              <w:rPr>
                <w:noProof/>
              </w:rPr>
              <w:t>11</w:t>
            </w:r>
            <w:r>
              <w:rPr>
                <w:noProof/>
              </w:rPr>
              <w:fldChar w:fldCharType="end"/>
            </w:r>
          </w:hyperlink>
        </w:p>
        <w:p w14:paraId="131FE09C" w14:textId="6FD78C78" w:rsidR="00BC0E14" w:rsidRDefault="00BC0E14">
          <w:pPr>
            <w:pStyle w:val="TOC2"/>
            <w:tabs>
              <w:tab w:val="right" w:leader="dot" w:pos="9350"/>
            </w:tabs>
            <w:rPr>
              <w:noProof/>
            </w:rPr>
          </w:pPr>
          <w:hyperlink w:anchor="_Toc225019094" w:history="1">
            <w:r w:rsidRPr="002D2484">
              <w:rPr>
                <w:rStyle w:val="Hyperlink"/>
                <w:noProof/>
              </w:rPr>
              <w:t>7.1 Binomial CI with Vintage × Term-Point Scaling</w:t>
            </w:r>
            <w:r>
              <w:rPr>
                <w:noProof/>
              </w:rPr>
              <w:tab/>
            </w:r>
            <w:r>
              <w:rPr>
                <w:noProof/>
              </w:rPr>
              <w:fldChar w:fldCharType="begin"/>
            </w:r>
            <w:r>
              <w:rPr>
                <w:noProof/>
              </w:rPr>
              <w:instrText xml:space="preserve"> PAGEREF _Toc225019094 \h </w:instrText>
            </w:r>
            <w:r>
              <w:rPr>
                <w:noProof/>
              </w:rPr>
            </w:r>
            <w:r>
              <w:rPr>
                <w:noProof/>
              </w:rPr>
              <w:fldChar w:fldCharType="separate"/>
            </w:r>
            <w:r w:rsidR="009E7319">
              <w:rPr>
                <w:noProof/>
              </w:rPr>
              <w:t>11</w:t>
            </w:r>
            <w:r>
              <w:rPr>
                <w:noProof/>
              </w:rPr>
              <w:fldChar w:fldCharType="end"/>
            </w:r>
          </w:hyperlink>
        </w:p>
        <w:p w14:paraId="48F87FD6" w14:textId="744A8A3C" w:rsidR="00BC0E14" w:rsidRDefault="00BC0E14">
          <w:pPr>
            <w:pStyle w:val="TOC2"/>
            <w:tabs>
              <w:tab w:val="right" w:leader="dot" w:pos="9350"/>
            </w:tabs>
            <w:rPr>
              <w:noProof/>
            </w:rPr>
          </w:pPr>
          <w:hyperlink w:anchor="_Toc225019095" w:history="1">
            <w:r w:rsidRPr="002D2484">
              <w:rPr>
                <w:rStyle w:val="Hyperlink"/>
                <w:noProof/>
              </w:rPr>
              <w:t>7.2 Formula</w:t>
            </w:r>
            <w:r>
              <w:rPr>
                <w:noProof/>
              </w:rPr>
              <w:tab/>
            </w:r>
            <w:r>
              <w:rPr>
                <w:noProof/>
              </w:rPr>
              <w:fldChar w:fldCharType="begin"/>
            </w:r>
            <w:r>
              <w:rPr>
                <w:noProof/>
              </w:rPr>
              <w:instrText xml:space="preserve"> PAGEREF _Toc225019095 \h </w:instrText>
            </w:r>
            <w:r>
              <w:rPr>
                <w:noProof/>
              </w:rPr>
            </w:r>
            <w:r>
              <w:rPr>
                <w:noProof/>
              </w:rPr>
              <w:fldChar w:fldCharType="separate"/>
            </w:r>
            <w:r w:rsidR="009E7319">
              <w:rPr>
                <w:noProof/>
              </w:rPr>
              <w:t>11</w:t>
            </w:r>
            <w:r>
              <w:rPr>
                <w:noProof/>
              </w:rPr>
              <w:fldChar w:fldCharType="end"/>
            </w:r>
          </w:hyperlink>
        </w:p>
        <w:p w14:paraId="004D134E" w14:textId="7FFBAAC7" w:rsidR="00BC0E14" w:rsidRDefault="00BC0E14">
          <w:pPr>
            <w:pStyle w:val="TOC2"/>
            <w:tabs>
              <w:tab w:val="right" w:leader="dot" w:pos="9350"/>
            </w:tabs>
            <w:rPr>
              <w:noProof/>
            </w:rPr>
          </w:pPr>
          <w:hyperlink w:anchor="_Toc225019096" w:history="1">
            <w:r w:rsidRPr="002D2484">
              <w:rPr>
                <w:rStyle w:val="Hyperlink"/>
                <w:noProof/>
              </w:rPr>
              <w:t>7.3 Key Properties</w:t>
            </w:r>
            <w:r>
              <w:rPr>
                <w:noProof/>
              </w:rPr>
              <w:tab/>
            </w:r>
            <w:r>
              <w:rPr>
                <w:noProof/>
              </w:rPr>
              <w:fldChar w:fldCharType="begin"/>
            </w:r>
            <w:r>
              <w:rPr>
                <w:noProof/>
              </w:rPr>
              <w:instrText xml:space="preserve"> PAGEREF _Toc225019096 \h </w:instrText>
            </w:r>
            <w:r>
              <w:rPr>
                <w:noProof/>
              </w:rPr>
            </w:r>
            <w:r>
              <w:rPr>
                <w:noProof/>
              </w:rPr>
              <w:fldChar w:fldCharType="separate"/>
            </w:r>
            <w:r w:rsidR="009E7319">
              <w:rPr>
                <w:noProof/>
              </w:rPr>
              <w:t>11</w:t>
            </w:r>
            <w:r>
              <w:rPr>
                <w:noProof/>
              </w:rPr>
              <w:fldChar w:fldCharType="end"/>
            </w:r>
          </w:hyperlink>
        </w:p>
        <w:p w14:paraId="27EA53A8" w14:textId="74703865" w:rsidR="00BC0E14" w:rsidRDefault="00BC0E14">
          <w:pPr>
            <w:pStyle w:val="TOC2"/>
            <w:tabs>
              <w:tab w:val="right" w:leader="dot" w:pos="9350"/>
            </w:tabs>
            <w:rPr>
              <w:noProof/>
            </w:rPr>
          </w:pPr>
          <w:hyperlink w:anchor="_Toc225019097" w:history="1">
            <w:r w:rsidRPr="002D2484">
              <w:rPr>
                <w:rStyle w:val="Hyperlink"/>
                <w:noProof/>
              </w:rPr>
              <w:t>7.4 Scaling Rationale</w:t>
            </w:r>
            <w:r>
              <w:rPr>
                <w:noProof/>
              </w:rPr>
              <w:tab/>
            </w:r>
            <w:r>
              <w:rPr>
                <w:noProof/>
              </w:rPr>
              <w:fldChar w:fldCharType="begin"/>
            </w:r>
            <w:r>
              <w:rPr>
                <w:noProof/>
              </w:rPr>
              <w:instrText xml:space="preserve"> PAGEREF _Toc225019097 \h </w:instrText>
            </w:r>
            <w:r>
              <w:rPr>
                <w:noProof/>
              </w:rPr>
            </w:r>
            <w:r>
              <w:rPr>
                <w:noProof/>
              </w:rPr>
              <w:fldChar w:fldCharType="separate"/>
            </w:r>
            <w:r w:rsidR="009E7319">
              <w:rPr>
                <w:noProof/>
              </w:rPr>
              <w:t>11</w:t>
            </w:r>
            <w:r>
              <w:rPr>
                <w:noProof/>
              </w:rPr>
              <w:fldChar w:fldCharType="end"/>
            </w:r>
          </w:hyperlink>
        </w:p>
        <w:p w14:paraId="63980FF9" w14:textId="2D608687" w:rsidR="00BC0E14" w:rsidRDefault="00BC0E14">
          <w:pPr>
            <w:pStyle w:val="TOC1"/>
            <w:tabs>
              <w:tab w:val="right" w:leader="dot" w:pos="9350"/>
            </w:tabs>
            <w:rPr>
              <w:noProof/>
            </w:rPr>
          </w:pPr>
          <w:hyperlink w:anchor="_Toc225019098" w:history="1">
            <w:r w:rsidRPr="002D2484">
              <w:rPr>
                <w:rStyle w:val="Hyperlink"/>
                <w:noProof/>
              </w:rPr>
              <w:t>8. Statistical Tests</w:t>
            </w:r>
            <w:r>
              <w:rPr>
                <w:noProof/>
              </w:rPr>
              <w:tab/>
            </w:r>
            <w:r>
              <w:rPr>
                <w:noProof/>
              </w:rPr>
              <w:fldChar w:fldCharType="begin"/>
            </w:r>
            <w:r>
              <w:rPr>
                <w:noProof/>
              </w:rPr>
              <w:instrText xml:space="preserve"> PAGEREF _Toc225019098 \h </w:instrText>
            </w:r>
            <w:r>
              <w:rPr>
                <w:noProof/>
              </w:rPr>
            </w:r>
            <w:r>
              <w:rPr>
                <w:noProof/>
              </w:rPr>
              <w:fldChar w:fldCharType="separate"/>
            </w:r>
            <w:r w:rsidR="009E7319">
              <w:rPr>
                <w:noProof/>
              </w:rPr>
              <w:t>13</w:t>
            </w:r>
            <w:r>
              <w:rPr>
                <w:noProof/>
              </w:rPr>
              <w:fldChar w:fldCharType="end"/>
            </w:r>
          </w:hyperlink>
        </w:p>
        <w:p w14:paraId="5BA9B7AB" w14:textId="3B9D5863" w:rsidR="00BC0E14" w:rsidRDefault="00BC0E14">
          <w:pPr>
            <w:pStyle w:val="TOC2"/>
            <w:tabs>
              <w:tab w:val="right" w:leader="dot" w:pos="9350"/>
            </w:tabs>
            <w:rPr>
              <w:noProof/>
            </w:rPr>
          </w:pPr>
          <w:hyperlink w:anchor="_Toc225019099" w:history="1">
            <w:r w:rsidRPr="002D2484">
              <w:rPr>
                <w:rStyle w:val="Hyperlink"/>
                <w:noProof/>
              </w:rPr>
              <w:t>8.1 Jarque-Bera Test</w:t>
            </w:r>
            <w:r>
              <w:rPr>
                <w:noProof/>
              </w:rPr>
              <w:tab/>
            </w:r>
            <w:r>
              <w:rPr>
                <w:noProof/>
              </w:rPr>
              <w:fldChar w:fldCharType="begin"/>
            </w:r>
            <w:r>
              <w:rPr>
                <w:noProof/>
              </w:rPr>
              <w:instrText xml:space="preserve"> PAGEREF _Toc225019099 \h </w:instrText>
            </w:r>
            <w:r>
              <w:rPr>
                <w:noProof/>
              </w:rPr>
            </w:r>
            <w:r>
              <w:rPr>
                <w:noProof/>
              </w:rPr>
              <w:fldChar w:fldCharType="separate"/>
            </w:r>
            <w:r w:rsidR="009E7319">
              <w:rPr>
                <w:noProof/>
              </w:rPr>
              <w:t>13</w:t>
            </w:r>
            <w:r>
              <w:rPr>
                <w:noProof/>
              </w:rPr>
              <w:fldChar w:fldCharType="end"/>
            </w:r>
          </w:hyperlink>
        </w:p>
        <w:p w14:paraId="18F810C3" w14:textId="317412F9" w:rsidR="00BC0E14" w:rsidRDefault="00BC0E14">
          <w:pPr>
            <w:pStyle w:val="TOC2"/>
            <w:tabs>
              <w:tab w:val="right" w:leader="dot" w:pos="9350"/>
            </w:tabs>
            <w:rPr>
              <w:noProof/>
            </w:rPr>
          </w:pPr>
          <w:hyperlink w:anchor="_Toc225019100" w:history="1">
            <w:r w:rsidRPr="002D2484">
              <w:rPr>
                <w:rStyle w:val="Hyperlink"/>
                <w:noProof/>
              </w:rPr>
              <w:t>8.2 Chi-Square Goodness of Fit</w:t>
            </w:r>
            <w:r>
              <w:rPr>
                <w:noProof/>
              </w:rPr>
              <w:tab/>
            </w:r>
            <w:r>
              <w:rPr>
                <w:noProof/>
              </w:rPr>
              <w:fldChar w:fldCharType="begin"/>
            </w:r>
            <w:r>
              <w:rPr>
                <w:noProof/>
              </w:rPr>
              <w:instrText xml:space="preserve"> PAGEREF _Toc225019100 \h </w:instrText>
            </w:r>
            <w:r>
              <w:rPr>
                <w:noProof/>
              </w:rPr>
            </w:r>
            <w:r>
              <w:rPr>
                <w:noProof/>
              </w:rPr>
              <w:fldChar w:fldCharType="separate"/>
            </w:r>
            <w:r w:rsidR="009E7319">
              <w:rPr>
                <w:noProof/>
              </w:rPr>
              <w:t>13</w:t>
            </w:r>
            <w:r>
              <w:rPr>
                <w:noProof/>
              </w:rPr>
              <w:fldChar w:fldCharType="end"/>
            </w:r>
          </w:hyperlink>
        </w:p>
        <w:p w14:paraId="7FA7C30E" w14:textId="61642001" w:rsidR="00BC0E14" w:rsidRDefault="00BC0E14">
          <w:pPr>
            <w:pStyle w:val="TOC2"/>
            <w:tabs>
              <w:tab w:val="right" w:leader="dot" w:pos="9350"/>
            </w:tabs>
            <w:rPr>
              <w:noProof/>
            </w:rPr>
          </w:pPr>
          <w:hyperlink w:anchor="_Toc225019101" w:history="1">
            <w:r w:rsidRPr="002D2484">
              <w:rPr>
                <w:rStyle w:val="Hyperlink"/>
                <w:noProof/>
              </w:rPr>
              <w:t>8.3 Interpretation</w:t>
            </w:r>
            <w:r>
              <w:rPr>
                <w:noProof/>
              </w:rPr>
              <w:tab/>
            </w:r>
            <w:r>
              <w:rPr>
                <w:noProof/>
              </w:rPr>
              <w:fldChar w:fldCharType="begin"/>
            </w:r>
            <w:r>
              <w:rPr>
                <w:noProof/>
              </w:rPr>
              <w:instrText xml:space="preserve"> PAGEREF _Toc225019101 \h </w:instrText>
            </w:r>
            <w:r>
              <w:rPr>
                <w:noProof/>
              </w:rPr>
            </w:r>
            <w:r>
              <w:rPr>
                <w:noProof/>
              </w:rPr>
              <w:fldChar w:fldCharType="separate"/>
            </w:r>
            <w:r w:rsidR="009E7319">
              <w:rPr>
                <w:noProof/>
              </w:rPr>
              <w:t>13</w:t>
            </w:r>
            <w:r>
              <w:rPr>
                <w:noProof/>
              </w:rPr>
              <w:fldChar w:fldCharType="end"/>
            </w:r>
          </w:hyperlink>
        </w:p>
        <w:p w14:paraId="61F2F575" w14:textId="2357D68B" w:rsidR="00BC0E14" w:rsidRDefault="00BC0E14">
          <w:pPr>
            <w:pStyle w:val="TOC1"/>
            <w:tabs>
              <w:tab w:val="right" w:leader="dot" w:pos="9350"/>
            </w:tabs>
            <w:rPr>
              <w:noProof/>
            </w:rPr>
          </w:pPr>
          <w:hyperlink w:anchor="_Toc225019102" w:history="1">
            <w:r w:rsidRPr="002D2484">
              <w:rPr>
                <w:rStyle w:val="Hyperlink"/>
                <w:noProof/>
              </w:rPr>
              <w:t>9. Multi-Scenario Window Size Analysis</w:t>
            </w:r>
            <w:r>
              <w:rPr>
                <w:noProof/>
              </w:rPr>
              <w:tab/>
            </w:r>
            <w:r>
              <w:rPr>
                <w:noProof/>
              </w:rPr>
              <w:fldChar w:fldCharType="begin"/>
            </w:r>
            <w:r>
              <w:rPr>
                <w:noProof/>
              </w:rPr>
              <w:instrText xml:space="preserve"> PAGEREF _Toc225019102 \h </w:instrText>
            </w:r>
            <w:r>
              <w:rPr>
                <w:noProof/>
              </w:rPr>
            </w:r>
            <w:r>
              <w:rPr>
                <w:noProof/>
              </w:rPr>
              <w:fldChar w:fldCharType="separate"/>
            </w:r>
            <w:r w:rsidR="009E7319">
              <w:rPr>
                <w:noProof/>
              </w:rPr>
              <w:t>14</w:t>
            </w:r>
            <w:r>
              <w:rPr>
                <w:noProof/>
              </w:rPr>
              <w:fldChar w:fldCharType="end"/>
            </w:r>
          </w:hyperlink>
        </w:p>
        <w:p w14:paraId="40BF6FA2" w14:textId="35B5183B" w:rsidR="00BC0E14" w:rsidRDefault="00BC0E14">
          <w:pPr>
            <w:pStyle w:val="TOC2"/>
            <w:tabs>
              <w:tab w:val="right" w:leader="dot" w:pos="9350"/>
            </w:tabs>
            <w:rPr>
              <w:noProof/>
            </w:rPr>
          </w:pPr>
          <w:hyperlink w:anchor="_Toc225019103" w:history="1">
            <w:r w:rsidRPr="002D2484">
              <w:rPr>
                <w:rStyle w:val="Hyperlink"/>
                <w:noProof/>
              </w:rPr>
              <w:t>9.1 Composite Scoring</w:t>
            </w:r>
            <w:r>
              <w:rPr>
                <w:noProof/>
              </w:rPr>
              <w:tab/>
            </w:r>
            <w:r>
              <w:rPr>
                <w:noProof/>
              </w:rPr>
              <w:fldChar w:fldCharType="begin"/>
            </w:r>
            <w:r>
              <w:rPr>
                <w:noProof/>
              </w:rPr>
              <w:instrText xml:space="preserve"> PAGEREF _Toc225019103 \h </w:instrText>
            </w:r>
            <w:r>
              <w:rPr>
                <w:noProof/>
              </w:rPr>
            </w:r>
            <w:r>
              <w:rPr>
                <w:noProof/>
              </w:rPr>
              <w:fldChar w:fldCharType="separate"/>
            </w:r>
            <w:r w:rsidR="009E7319">
              <w:rPr>
                <w:noProof/>
              </w:rPr>
              <w:t>14</w:t>
            </w:r>
            <w:r>
              <w:rPr>
                <w:noProof/>
              </w:rPr>
              <w:fldChar w:fldCharType="end"/>
            </w:r>
          </w:hyperlink>
        </w:p>
        <w:p w14:paraId="0B2A636F" w14:textId="6E210B61" w:rsidR="00BC0E14" w:rsidRDefault="00BC0E14">
          <w:pPr>
            <w:pStyle w:val="TOC2"/>
            <w:tabs>
              <w:tab w:val="right" w:leader="dot" w:pos="9350"/>
            </w:tabs>
            <w:rPr>
              <w:noProof/>
            </w:rPr>
          </w:pPr>
          <w:hyperlink w:anchor="_Toc225019104" w:history="1">
            <w:r w:rsidRPr="002D2484">
              <w:rPr>
                <w:rStyle w:val="Hyperlink"/>
                <w:noProof/>
              </w:rPr>
              <w:t>9.2 AIC Proxy</w:t>
            </w:r>
            <w:r>
              <w:rPr>
                <w:noProof/>
              </w:rPr>
              <w:tab/>
            </w:r>
            <w:r>
              <w:rPr>
                <w:noProof/>
              </w:rPr>
              <w:fldChar w:fldCharType="begin"/>
            </w:r>
            <w:r>
              <w:rPr>
                <w:noProof/>
              </w:rPr>
              <w:instrText xml:space="preserve"> PAGEREF _Toc225019104 \h </w:instrText>
            </w:r>
            <w:r>
              <w:rPr>
                <w:noProof/>
              </w:rPr>
            </w:r>
            <w:r>
              <w:rPr>
                <w:noProof/>
              </w:rPr>
              <w:fldChar w:fldCharType="separate"/>
            </w:r>
            <w:r w:rsidR="009E7319">
              <w:rPr>
                <w:noProof/>
              </w:rPr>
              <w:t>14</w:t>
            </w:r>
            <w:r>
              <w:rPr>
                <w:noProof/>
              </w:rPr>
              <w:fldChar w:fldCharType="end"/>
            </w:r>
          </w:hyperlink>
        </w:p>
        <w:p w14:paraId="74355B09" w14:textId="18A8554A" w:rsidR="00BC0E14" w:rsidRDefault="00BC0E14">
          <w:pPr>
            <w:pStyle w:val="TOC2"/>
            <w:tabs>
              <w:tab w:val="right" w:leader="dot" w:pos="9350"/>
            </w:tabs>
            <w:rPr>
              <w:noProof/>
            </w:rPr>
          </w:pPr>
          <w:hyperlink w:anchor="_Toc225019105" w:history="1">
            <w:r w:rsidRPr="002D2484">
              <w:rPr>
                <w:rStyle w:val="Hyperlink"/>
                <w:noProof/>
              </w:rPr>
              <w:t>9.3 Results Summary</w:t>
            </w:r>
            <w:r>
              <w:rPr>
                <w:noProof/>
              </w:rPr>
              <w:tab/>
            </w:r>
            <w:r>
              <w:rPr>
                <w:noProof/>
              </w:rPr>
              <w:fldChar w:fldCharType="begin"/>
            </w:r>
            <w:r>
              <w:rPr>
                <w:noProof/>
              </w:rPr>
              <w:instrText xml:space="preserve"> PAGEREF _Toc225019105 \h </w:instrText>
            </w:r>
            <w:r>
              <w:rPr>
                <w:noProof/>
              </w:rPr>
            </w:r>
            <w:r>
              <w:rPr>
                <w:noProof/>
              </w:rPr>
              <w:fldChar w:fldCharType="separate"/>
            </w:r>
            <w:r w:rsidR="009E7319">
              <w:rPr>
                <w:noProof/>
              </w:rPr>
              <w:t>14</w:t>
            </w:r>
            <w:r>
              <w:rPr>
                <w:noProof/>
              </w:rPr>
              <w:fldChar w:fldCharType="end"/>
            </w:r>
          </w:hyperlink>
        </w:p>
        <w:p w14:paraId="3DF24D93" w14:textId="095BD1F3" w:rsidR="00BC0E14" w:rsidRDefault="00BC0E14">
          <w:pPr>
            <w:pStyle w:val="TOC1"/>
            <w:tabs>
              <w:tab w:val="right" w:leader="dot" w:pos="9350"/>
            </w:tabs>
            <w:rPr>
              <w:noProof/>
            </w:rPr>
          </w:pPr>
          <w:hyperlink w:anchor="_Toc225019106" w:history="1">
            <w:r w:rsidRPr="002D2484">
              <w:rPr>
                <w:rStyle w:val="Hyperlink"/>
                <w:noProof/>
              </w:rPr>
              <w:t>10. Validation and Quality Assurance</w:t>
            </w:r>
            <w:r>
              <w:rPr>
                <w:noProof/>
              </w:rPr>
              <w:tab/>
            </w:r>
            <w:r>
              <w:rPr>
                <w:noProof/>
              </w:rPr>
              <w:fldChar w:fldCharType="begin"/>
            </w:r>
            <w:r>
              <w:rPr>
                <w:noProof/>
              </w:rPr>
              <w:instrText xml:space="preserve"> PAGEREF _Toc225019106 \h </w:instrText>
            </w:r>
            <w:r>
              <w:rPr>
                <w:noProof/>
              </w:rPr>
            </w:r>
            <w:r>
              <w:rPr>
                <w:noProof/>
              </w:rPr>
              <w:fldChar w:fldCharType="separate"/>
            </w:r>
            <w:r w:rsidR="009E7319">
              <w:rPr>
                <w:noProof/>
              </w:rPr>
              <w:t>15</w:t>
            </w:r>
            <w:r>
              <w:rPr>
                <w:noProof/>
              </w:rPr>
              <w:fldChar w:fldCharType="end"/>
            </w:r>
          </w:hyperlink>
        </w:p>
        <w:p w14:paraId="1396CA0F" w14:textId="58F8312C" w:rsidR="00BC0E14" w:rsidRDefault="00BC0E14">
          <w:pPr>
            <w:pStyle w:val="TOC2"/>
            <w:tabs>
              <w:tab w:val="right" w:leader="dot" w:pos="9350"/>
            </w:tabs>
            <w:rPr>
              <w:noProof/>
            </w:rPr>
          </w:pPr>
          <w:hyperlink w:anchor="_Toc225019107" w:history="1">
            <w:r w:rsidRPr="002D2484">
              <w:rPr>
                <w:rStyle w:val="Hyperlink"/>
                <w:noProof/>
              </w:rPr>
              <w:t>10.1 Machine-Precision Validation</w:t>
            </w:r>
            <w:r>
              <w:rPr>
                <w:noProof/>
              </w:rPr>
              <w:tab/>
            </w:r>
            <w:r>
              <w:rPr>
                <w:noProof/>
              </w:rPr>
              <w:fldChar w:fldCharType="begin"/>
            </w:r>
            <w:r>
              <w:rPr>
                <w:noProof/>
              </w:rPr>
              <w:instrText xml:space="preserve"> PAGEREF _Toc225019107 \h </w:instrText>
            </w:r>
            <w:r>
              <w:rPr>
                <w:noProof/>
              </w:rPr>
            </w:r>
            <w:r>
              <w:rPr>
                <w:noProof/>
              </w:rPr>
              <w:fldChar w:fldCharType="separate"/>
            </w:r>
            <w:r w:rsidR="009E7319">
              <w:rPr>
                <w:noProof/>
              </w:rPr>
              <w:t>15</w:t>
            </w:r>
            <w:r>
              <w:rPr>
                <w:noProof/>
              </w:rPr>
              <w:fldChar w:fldCharType="end"/>
            </w:r>
          </w:hyperlink>
        </w:p>
        <w:p w14:paraId="1AD26A22" w14:textId="7930A047" w:rsidR="00BC0E14" w:rsidRDefault="00BC0E14">
          <w:pPr>
            <w:pStyle w:val="TOC2"/>
            <w:tabs>
              <w:tab w:val="right" w:leader="dot" w:pos="9350"/>
            </w:tabs>
            <w:rPr>
              <w:noProof/>
            </w:rPr>
          </w:pPr>
          <w:hyperlink w:anchor="_Toc225019108" w:history="1">
            <w:r w:rsidRPr="002D2484">
              <w:rPr>
                <w:rStyle w:val="Hyperlink"/>
                <w:noProof/>
              </w:rPr>
              <w:t>10.2 Reference Values</w:t>
            </w:r>
            <w:r>
              <w:rPr>
                <w:noProof/>
              </w:rPr>
              <w:tab/>
            </w:r>
            <w:r>
              <w:rPr>
                <w:noProof/>
              </w:rPr>
              <w:fldChar w:fldCharType="begin"/>
            </w:r>
            <w:r>
              <w:rPr>
                <w:noProof/>
              </w:rPr>
              <w:instrText xml:space="preserve"> PAGEREF _Toc225019108 \h </w:instrText>
            </w:r>
            <w:r>
              <w:rPr>
                <w:noProof/>
              </w:rPr>
            </w:r>
            <w:r>
              <w:rPr>
                <w:noProof/>
              </w:rPr>
              <w:fldChar w:fldCharType="separate"/>
            </w:r>
            <w:r w:rsidR="009E7319">
              <w:rPr>
                <w:noProof/>
              </w:rPr>
              <w:t>15</w:t>
            </w:r>
            <w:r>
              <w:rPr>
                <w:noProof/>
              </w:rPr>
              <w:fldChar w:fldCharType="end"/>
            </w:r>
          </w:hyperlink>
        </w:p>
        <w:p w14:paraId="153E552C" w14:textId="63C72E1B" w:rsidR="00BC0E14" w:rsidRDefault="00BC0E14">
          <w:pPr>
            <w:pStyle w:val="TOC2"/>
            <w:tabs>
              <w:tab w:val="right" w:leader="dot" w:pos="9350"/>
            </w:tabs>
            <w:rPr>
              <w:noProof/>
            </w:rPr>
          </w:pPr>
          <w:hyperlink w:anchor="_Toc225019109" w:history="1">
            <w:r w:rsidRPr="002D2484">
              <w:rPr>
                <w:rStyle w:val="Hyperlink"/>
                <w:noProof/>
              </w:rPr>
              <w:t>10.3 Known Workbook Discrepancy</w:t>
            </w:r>
            <w:r>
              <w:rPr>
                <w:noProof/>
              </w:rPr>
              <w:tab/>
            </w:r>
            <w:r>
              <w:rPr>
                <w:noProof/>
              </w:rPr>
              <w:fldChar w:fldCharType="begin"/>
            </w:r>
            <w:r>
              <w:rPr>
                <w:noProof/>
              </w:rPr>
              <w:instrText xml:space="preserve"> PAGEREF _Toc225019109 \h </w:instrText>
            </w:r>
            <w:r>
              <w:rPr>
                <w:noProof/>
              </w:rPr>
            </w:r>
            <w:r>
              <w:rPr>
                <w:noProof/>
              </w:rPr>
              <w:fldChar w:fldCharType="separate"/>
            </w:r>
            <w:r w:rsidR="009E7319">
              <w:rPr>
                <w:noProof/>
              </w:rPr>
              <w:t>15</w:t>
            </w:r>
            <w:r>
              <w:rPr>
                <w:noProof/>
              </w:rPr>
              <w:fldChar w:fldCharType="end"/>
            </w:r>
          </w:hyperlink>
        </w:p>
        <w:p w14:paraId="13564304" w14:textId="2CA7F28D" w:rsidR="00BC0E14" w:rsidRDefault="00BC0E14">
          <w:pPr>
            <w:pStyle w:val="TOC1"/>
            <w:tabs>
              <w:tab w:val="right" w:leader="dot" w:pos="9350"/>
            </w:tabs>
            <w:rPr>
              <w:noProof/>
            </w:rPr>
          </w:pPr>
          <w:hyperlink w:anchor="_Toc225019110" w:history="1">
            <w:r w:rsidRPr="002D2484">
              <w:rPr>
                <w:rStyle w:val="Hyperlink"/>
                <w:noProof/>
              </w:rPr>
              <w:t>11. Limitations and Assumptions</w:t>
            </w:r>
            <w:r>
              <w:rPr>
                <w:noProof/>
              </w:rPr>
              <w:tab/>
            </w:r>
            <w:r>
              <w:rPr>
                <w:noProof/>
              </w:rPr>
              <w:fldChar w:fldCharType="begin"/>
            </w:r>
            <w:r>
              <w:rPr>
                <w:noProof/>
              </w:rPr>
              <w:instrText xml:space="preserve"> PAGEREF _Toc225019110 \h </w:instrText>
            </w:r>
            <w:r>
              <w:rPr>
                <w:noProof/>
              </w:rPr>
            </w:r>
            <w:r>
              <w:rPr>
                <w:noProof/>
              </w:rPr>
              <w:fldChar w:fldCharType="separate"/>
            </w:r>
            <w:r w:rsidR="009E7319">
              <w:rPr>
                <w:noProof/>
              </w:rPr>
              <w:t>16</w:t>
            </w:r>
            <w:r>
              <w:rPr>
                <w:noProof/>
              </w:rPr>
              <w:fldChar w:fldCharType="end"/>
            </w:r>
          </w:hyperlink>
        </w:p>
        <w:p w14:paraId="6F55B59C" w14:textId="19E34E82" w:rsidR="00BC0E14" w:rsidRDefault="00BC0E14">
          <w:pPr>
            <w:pStyle w:val="TOC1"/>
            <w:tabs>
              <w:tab w:val="right" w:leader="dot" w:pos="9350"/>
            </w:tabs>
            <w:rPr>
              <w:noProof/>
            </w:rPr>
          </w:pPr>
          <w:hyperlink w:anchor="_Toc225019111" w:history="1">
            <w:r w:rsidRPr="002D2484">
              <w:rPr>
                <w:rStyle w:val="Hyperlink"/>
                <w:noProof/>
              </w:rPr>
              <w:t>12. References</w:t>
            </w:r>
            <w:r>
              <w:rPr>
                <w:noProof/>
              </w:rPr>
              <w:tab/>
            </w:r>
            <w:r>
              <w:rPr>
                <w:noProof/>
              </w:rPr>
              <w:fldChar w:fldCharType="begin"/>
            </w:r>
            <w:r>
              <w:rPr>
                <w:noProof/>
              </w:rPr>
              <w:instrText xml:space="preserve"> PAGEREF _Toc225019111 \h </w:instrText>
            </w:r>
            <w:r>
              <w:rPr>
                <w:noProof/>
              </w:rPr>
            </w:r>
            <w:r>
              <w:rPr>
                <w:noProof/>
              </w:rPr>
              <w:fldChar w:fldCharType="separate"/>
            </w:r>
            <w:r w:rsidR="009E7319">
              <w:rPr>
                <w:noProof/>
              </w:rPr>
              <w:t>17</w:t>
            </w:r>
            <w:r>
              <w:rPr>
                <w:noProof/>
              </w:rPr>
              <w:fldChar w:fldCharType="end"/>
            </w:r>
          </w:hyperlink>
        </w:p>
        <w:p w14:paraId="53A9CC67" w14:textId="4625149D" w:rsidR="007F5F34" w:rsidRDefault="00B73F7C">
          <w:r>
            <w:fldChar w:fldCharType="end"/>
          </w:r>
        </w:p>
      </w:sdtContent>
    </w:sdt>
    <w:p w14:paraId="53A9CC68" w14:textId="77777777" w:rsidR="007F5F34" w:rsidRDefault="00B73F7C">
      <w:r>
        <w:br w:type="page"/>
      </w:r>
    </w:p>
    <w:p w14:paraId="53A9CC69" w14:textId="77777777" w:rsidR="007F5F34" w:rsidRDefault="00B73F7C">
      <w:pPr>
        <w:pStyle w:val="Heading1"/>
        <w:spacing w:before="300" w:after="200"/>
      </w:pPr>
      <w:bookmarkStart w:id="1" w:name="_Toc225019068"/>
      <w:r>
        <w:lastRenderedPageBreak/>
        <w:t>1. Executive Summary</w:t>
      </w:r>
      <w:bookmarkEnd w:id="1"/>
    </w:p>
    <w:p w14:paraId="53A9CC6A" w14:textId="77777777" w:rsidR="007F5F34" w:rsidRDefault="00B73F7C">
      <w:pPr>
        <w:spacing w:after="160" w:line="276" w:lineRule="auto"/>
      </w:pPr>
      <w:r>
        <w:t xml:space="preserve">This document describes the methodology, mathematical framework, and validation approach for the IFRS 9 Loss Given Default (LGD) Development Factor Model implemented for Eskom’s non-metro municipal debt portfolio. The model employs the chain-ladder method—a well-established actuarial technique—to estimate LGD term structures from monthly default cohort recovery </w:t>
      </w:r>
      <w:proofErr w:type="gramStart"/>
      <w:r>
        <w:t>data, and</w:t>
      </w:r>
      <w:proofErr w:type="gramEnd"/>
      <w:r>
        <w:t xml:space="preserve"> uses a rolling-vintage backtesting framework to assess predictive accuracy across multiple calibration windows.</w:t>
      </w:r>
    </w:p>
    <w:p w14:paraId="53A9CC6B" w14:textId="77777777" w:rsidR="007F5F34" w:rsidRDefault="00B73F7C">
      <w:pPr>
        <w:spacing w:after="160" w:line="276" w:lineRule="auto"/>
      </w:pPr>
      <w:r>
        <w:t xml:space="preserve">The model has been validated to machine precision against the client’s Excel workbook across all 276 </w:t>
      </w:r>
      <w:proofErr w:type="spellStart"/>
      <w:r>
        <w:t>backtest</w:t>
      </w:r>
      <w:proofErr w:type="spellEnd"/>
      <w:r>
        <w:t xml:space="preserve"> residuals at the 60-month reference window. This documentation is intended to satisfy external audit requirements under IFRS 9 and the Basel Committee’s guidance on credit risk and accounting for expected credit losses.</w:t>
      </w:r>
    </w:p>
    <w:p w14:paraId="53A9CC6C" w14:textId="77777777" w:rsidR="007F5F34" w:rsidRDefault="00B73F7C">
      <w:pPr>
        <w:spacing w:after="160" w:line="276" w:lineRule="auto"/>
      </w:pPr>
      <w:r>
        <w:rPr>
          <w:b/>
          <w:bCs/>
        </w:rPr>
        <w:t xml:space="preserve">Key findings: </w:t>
      </w:r>
      <w:r>
        <w:t xml:space="preserve">The multi-scenario analysis evaluates nine calibration window sizes (12 to 60 months). The composite scoring framework identifies the 18-month window as optimal, with RMSE of 0.0405, MAE of 0.0184, and bias of +0.0045. All window sizes produce consistent vintage-aligned </w:t>
      </w:r>
      <w:proofErr w:type="spellStart"/>
      <w:r>
        <w:t>backtests</w:t>
      </w:r>
      <w:proofErr w:type="spellEnd"/>
      <w:r>
        <w:t xml:space="preserve"> with 276 residual observations across 23 vintages.</w:t>
      </w:r>
    </w:p>
    <w:p w14:paraId="53A9CC6D" w14:textId="77777777" w:rsidR="007F5F34" w:rsidRDefault="00B73F7C">
      <w:r>
        <w:br w:type="page"/>
      </w:r>
    </w:p>
    <w:p w14:paraId="53A9CC6E" w14:textId="77777777" w:rsidR="007F5F34" w:rsidRDefault="00B73F7C">
      <w:pPr>
        <w:pStyle w:val="Heading1"/>
        <w:spacing w:before="300" w:after="200"/>
      </w:pPr>
      <w:bookmarkStart w:id="2" w:name="_Toc225019069"/>
      <w:r>
        <w:lastRenderedPageBreak/>
        <w:t>2. Regulatory Context and Standards</w:t>
      </w:r>
      <w:bookmarkEnd w:id="2"/>
    </w:p>
    <w:p w14:paraId="53A9CC6F" w14:textId="77777777" w:rsidR="007F5F34" w:rsidRDefault="00B73F7C">
      <w:pPr>
        <w:pStyle w:val="Heading2"/>
        <w:spacing w:before="300" w:after="200"/>
      </w:pPr>
      <w:bookmarkStart w:id="3" w:name="_Toc225019070"/>
      <w:r>
        <w:t>2.1 IFRS 9 Requirements</w:t>
      </w:r>
      <w:bookmarkEnd w:id="3"/>
    </w:p>
    <w:p w14:paraId="53A9CC70" w14:textId="77777777" w:rsidR="007F5F34" w:rsidRDefault="00B73F7C">
      <w:pPr>
        <w:spacing w:after="160" w:line="276" w:lineRule="auto"/>
      </w:pPr>
      <w:r>
        <w:rPr>
          <w:i/>
          <w:iCs/>
        </w:rPr>
        <w:t>IFRS 9 Financial Instruments</w:t>
      </w:r>
      <w:r>
        <w:t xml:space="preserve"> (effective 1 January 2018) requires entities to measure expected credit losses (ECL) using a forward-looking approach.</w:t>
      </w:r>
      <w:r>
        <w:rPr>
          <w:rStyle w:val="FootnoteReference"/>
        </w:rPr>
        <w:footnoteReference w:id="1"/>
      </w:r>
      <w:r>
        <w:t xml:space="preserve"> The ECL for a given exposure is computed as:</w:t>
      </w:r>
    </w:p>
    <w:p w14:paraId="53A9CC71" w14:textId="77777777" w:rsidR="007F5F34" w:rsidRDefault="00B73F7C">
      <w:pPr>
        <w:spacing w:before="120" w:after="120"/>
        <w:ind w:left="720"/>
      </w:pPr>
      <w:r>
        <w:rPr>
          <w:rFonts w:ascii="Consolas" w:eastAsia="Consolas" w:hAnsi="Consolas" w:cs="Consolas"/>
          <w:i/>
          <w:iCs/>
          <w:sz w:val="20"/>
          <w:szCs w:val="20"/>
        </w:rPr>
        <w:t>ECL = PD × LGD × EAD</w:t>
      </w:r>
    </w:p>
    <w:p w14:paraId="53A9CC72" w14:textId="77777777" w:rsidR="007F5F34" w:rsidRDefault="00B73F7C">
      <w:pPr>
        <w:spacing w:after="160" w:line="276" w:lineRule="auto"/>
      </w:pPr>
      <w:r>
        <w:t>where PD is the Probability of Default, LGD is Loss Given Default, and EAD is Exposure at Default. This model addresses the LGD component specifically, estimating how losses develop over time for exposures that have entered default status.</w:t>
      </w:r>
    </w:p>
    <w:p w14:paraId="53A9CC73" w14:textId="77777777" w:rsidR="007F5F34" w:rsidRDefault="00B73F7C">
      <w:pPr>
        <w:spacing w:after="160" w:line="276" w:lineRule="auto"/>
      </w:pPr>
      <w:r>
        <w:t>IFRS 9 paragraph 5.5.17 requires that ECL estimates reflect an unbiased and probability-weighted amount determined by evaluating a range of possible outcomes, the time value of money, and reasonable and supportable information available without undue cost or effort at the reporting date.</w:t>
      </w:r>
    </w:p>
    <w:p w14:paraId="53A9CC74" w14:textId="77777777" w:rsidR="007F5F34" w:rsidRDefault="00B73F7C">
      <w:pPr>
        <w:pStyle w:val="Heading2"/>
        <w:spacing w:before="300" w:after="200"/>
      </w:pPr>
      <w:bookmarkStart w:id="4" w:name="_Toc225019071"/>
      <w:r>
        <w:t>2.2 Basel Committee Guidance</w:t>
      </w:r>
      <w:bookmarkEnd w:id="4"/>
    </w:p>
    <w:p w14:paraId="53A9CC75" w14:textId="77777777" w:rsidR="007F5F34" w:rsidRDefault="00B73F7C">
      <w:pPr>
        <w:spacing w:after="160" w:line="276" w:lineRule="auto"/>
      </w:pPr>
      <w:r>
        <w:t>The Basel Committee on Banking Supervision’s guidance document BCBS d350</w:t>
      </w:r>
      <w:r>
        <w:rPr>
          <w:rStyle w:val="FootnoteReference"/>
        </w:rPr>
        <w:footnoteReference w:id="2"/>
      </w:r>
      <w:r>
        <w:t xml:space="preserve"> establishes principles for credit risk and accounting for expected credit losses. Principle 6 states that a bank’s use of experienced credit judgment should be applied in a consistent and systematic manner across all ECL estimation approaches. The chain-ladder method satisfies this by providing a transparent, data-driven framework with clear assumptions.</w:t>
      </w:r>
    </w:p>
    <w:p w14:paraId="53A9CC76" w14:textId="77777777" w:rsidR="007F5F34" w:rsidRDefault="00B73F7C">
      <w:pPr>
        <w:pStyle w:val="Heading2"/>
        <w:spacing w:before="300" w:after="200"/>
      </w:pPr>
      <w:bookmarkStart w:id="5" w:name="_Toc225019072"/>
      <w:r>
        <w:t>2.3 South African Reserve Bank Requirements</w:t>
      </w:r>
      <w:bookmarkEnd w:id="5"/>
    </w:p>
    <w:p w14:paraId="53A9CC77" w14:textId="77777777" w:rsidR="007F5F34" w:rsidRDefault="00B73F7C">
      <w:pPr>
        <w:spacing w:after="160" w:line="276" w:lineRule="auto"/>
      </w:pPr>
      <w:r>
        <w:t>The South African Reserve Bank’s implementation guidance for IFRS 9</w:t>
      </w:r>
      <w:r>
        <w:rPr>
          <w:rStyle w:val="FootnoteReference"/>
        </w:rPr>
        <w:footnoteReference w:id="3"/>
      </w:r>
      <w:r>
        <w:t xml:space="preserve"> requires institutions to maintain documented methodologies, perform regular backtesting, and demonstrate model stability across different calibration periods. This model’s multi-scenario framework directly addresses these requirements by evaluating performance across nine distinct calibration windows.</w:t>
      </w:r>
    </w:p>
    <w:p w14:paraId="53A9CC78" w14:textId="77777777" w:rsidR="007F5F34" w:rsidRDefault="00B73F7C">
      <w:r>
        <w:br w:type="page"/>
      </w:r>
    </w:p>
    <w:p w14:paraId="53A9CC79" w14:textId="77777777" w:rsidR="007F5F34" w:rsidRDefault="00B73F7C">
      <w:pPr>
        <w:pStyle w:val="Heading1"/>
        <w:spacing w:before="300" w:after="200"/>
      </w:pPr>
      <w:bookmarkStart w:id="6" w:name="_Toc225019073"/>
      <w:r>
        <w:lastRenderedPageBreak/>
        <w:t>3. Data Description</w:t>
      </w:r>
      <w:bookmarkEnd w:id="6"/>
    </w:p>
    <w:p w14:paraId="53A9CC7A" w14:textId="77777777" w:rsidR="007F5F34" w:rsidRDefault="00B73F7C">
      <w:pPr>
        <w:pStyle w:val="Heading2"/>
        <w:spacing w:before="300" w:after="200"/>
      </w:pPr>
      <w:bookmarkStart w:id="7" w:name="_Toc225019074"/>
      <w:r>
        <w:t>3.1 Portfolio Overview</w:t>
      </w:r>
      <w:bookmarkEnd w:id="7"/>
    </w:p>
    <w:p w14:paraId="53A9CC7B" w14:textId="77777777" w:rsidR="007F5F34" w:rsidRDefault="00B73F7C">
      <w:pPr>
        <w:spacing w:after="160" w:line="276" w:lineRule="auto"/>
      </w:pPr>
      <w:r>
        <w:t>The model is calibrated on Eskom’s non-metro municipal debt portfolio. The input data is organised as a recovery triangle—a matrix where rows represent monthly default cohorts and columns represent months since default (Time in Default, or TID).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5F34" w14:paraId="53A9CC7E"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C7C" w14:textId="77777777" w:rsidR="007F5F34" w:rsidRDefault="00B73F7C">
            <w:pPr>
              <w:jc w:val="center"/>
            </w:pPr>
            <w:r>
              <w:rPr>
                <w:b/>
                <w:bCs/>
                <w:color w:val="FFFFFF"/>
                <w:sz w:val="18"/>
                <w:szCs w:val="18"/>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C7D" w14:textId="77777777" w:rsidR="007F5F34" w:rsidRDefault="00B73F7C">
            <w:pPr>
              <w:jc w:val="center"/>
            </w:pPr>
            <w:r>
              <w:rPr>
                <w:b/>
                <w:bCs/>
                <w:color w:val="FFFFFF"/>
                <w:sz w:val="18"/>
                <w:szCs w:val="18"/>
              </w:rPr>
              <w:t>Value</w:t>
            </w:r>
          </w:p>
        </w:tc>
      </w:tr>
      <w:tr w:rsidR="007F5F34" w14:paraId="53A9CC81"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7F" w14:textId="77777777" w:rsidR="007F5F34" w:rsidRDefault="00B73F7C">
            <w:r>
              <w:rPr>
                <w:sz w:val="18"/>
                <w:szCs w:val="18"/>
              </w:rPr>
              <w:t>Number of cohorts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0" w14:textId="77777777" w:rsidR="007F5F34" w:rsidRDefault="00B73F7C">
            <w:r>
              <w:rPr>
                <w:sz w:val="18"/>
                <w:szCs w:val="18"/>
              </w:rPr>
              <w:t>82</w:t>
            </w:r>
          </w:p>
        </w:tc>
      </w:tr>
      <w:tr w:rsidR="007F5F34" w14:paraId="53A9CC84"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2" w14:textId="77777777" w:rsidR="007F5F34" w:rsidRDefault="00B73F7C">
            <w:r>
              <w:rPr>
                <w:sz w:val="18"/>
                <w:szCs w:val="18"/>
              </w:rPr>
              <w:t>Observation period</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3" w14:textId="77777777" w:rsidR="007F5F34" w:rsidRDefault="00B73F7C">
            <w:r>
              <w:rPr>
                <w:sz w:val="18"/>
                <w:szCs w:val="18"/>
              </w:rPr>
              <w:t>March 2019 – December 2025</w:t>
            </w:r>
          </w:p>
        </w:tc>
      </w:tr>
      <w:tr w:rsidR="007F5F34" w14:paraId="53A9CC87"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5" w14:textId="77777777" w:rsidR="007F5F34" w:rsidRDefault="00B73F7C">
            <w:r>
              <w:rPr>
                <w:sz w:val="18"/>
                <w:szCs w:val="18"/>
              </w:rPr>
              <w:t>Maximum TID observed</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6" w14:textId="77777777" w:rsidR="007F5F34" w:rsidRDefault="00B73F7C">
            <w:r>
              <w:rPr>
                <w:sz w:val="18"/>
                <w:szCs w:val="18"/>
              </w:rPr>
              <w:t>81 months</w:t>
            </w:r>
          </w:p>
        </w:tc>
      </w:tr>
      <w:tr w:rsidR="007F5F34" w14:paraId="53A9CC8A"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8" w14:textId="77777777" w:rsidR="007F5F34" w:rsidRDefault="00B73F7C">
            <w:r>
              <w:rPr>
                <w:sz w:val="18"/>
                <w:szCs w:val="18"/>
              </w:rPr>
              <w:t>Data frequency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9" w14:textId="77777777" w:rsidR="007F5F34" w:rsidRDefault="00B73F7C">
            <w:r>
              <w:rPr>
                <w:sz w:val="18"/>
                <w:szCs w:val="18"/>
              </w:rPr>
              <w:t>Monthly</w:t>
            </w:r>
          </w:p>
        </w:tc>
      </w:tr>
      <w:tr w:rsidR="007F5F34" w14:paraId="53A9CC8D"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B" w14:textId="77777777" w:rsidR="007F5F34" w:rsidRDefault="00B73F7C">
            <w:r>
              <w:rPr>
                <w:sz w:val="18"/>
                <w:szCs w:val="18"/>
              </w:rPr>
              <w:t>Reference window</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C" w14:textId="77777777" w:rsidR="007F5F34" w:rsidRDefault="00B73F7C">
            <w:r>
              <w:rPr>
                <w:sz w:val="18"/>
                <w:szCs w:val="18"/>
              </w:rPr>
              <w:t>60 months</w:t>
            </w:r>
          </w:p>
        </w:tc>
      </w:tr>
      <w:tr w:rsidR="007F5F34" w14:paraId="53A9CC90"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E" w14:textId="77777777" w:rsidR="007F5F34" w:rsidRDefault="00B73F7C">
            <w:r>
              <w:rPr>
                <w:sz w:val="18"/>
                <w:szCs w:val="18"/>
              </w:rPr>
              <w:t>Number of vintages (60m)</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8F" w14:textId="77777777" w:rsidR="007F5F34" w:rsidRDefault="00B73F7C">
            <w:r>
              <w:rPr>
                <w:sz w:val="18"/>
                <w:szCs w:val="18"/>
              </w:rPr>
              <w:t>23</w:t>
            </w:r>
          </w:p>
        </w:tc>
      </w:tr>
    </w:tbl>
    <w:p w14:paraId="53A9CC91" w14:textId="77777777" w:rsidR="007F5F34" w:rsidRDefault="007F5F34">
      <w:pPr>
        <w:spacing w:after="160" w:line="276" w:lineRule="auto"/>
      </w:pPr>
    </w:p>
    <w:p w14:paraId="53A9CC92" w14:textId="77777777" w:rsidR="007F5F34" w:rsidRDefault="00B73F7C">
      <w:pPr>
        <w:pStyle w:val="Heading2"/>
        <w:spacing w:before="300" w:after="200"/>
      </w:pPr>
      <w:bookmarkStart w:id="8" w:name="_Toc225019075"/>
      <w:r>
        <w:t>3.2 Recovery Triangle Structure</w:t>
      </w:r>
      <w:bookmarkEnd w:id="8"/>
    </w:p>
    <w:p w14:paraId="53A9CC93" w14:textId="77777777" w:rsidR="007F5F34" w:rsidRDefault="00B73F7C">
      <w:pPr>
        <w:spacing w:after="160" w:line="276" w:lineRule="auto"/>
      </w:pPr>
      <w:r>
        <w:t>Each cell Balance(i, n) in the recovery triangle represents the outstanding balance of cohort i at n months since default. The upper-right triangle is NaN because younger cohorts have not been observed for enough months. This incomplete triangle structure is the defining characteristic of chain-ladder methods: the model uses the pattern of completed observations to project future recovery for incomplete cohorts.</w:t>
      </w:r>
    </w:p>
    <w:p w14:paraId="53A9CC94" w14:textId="77777777" w:rsidR="007F5F34" w:rsidRDefault="00B73F7C">
      <w:pPr>
        <w:pStyle w:val="Heading2"/>
        <w:spacing w:before="300" w:after="200"/>
      </w:pPr>
      <w:bookmarkStart w:id="9" w:name="_Toc225019076"/>
      <w:r>
        <w:t>3.3 Key Data Fields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F5F34" w14:paraId="53A9CC97"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C95" w14:textId="77777777" w:rsidR="007F5F34" w:rsidRDefault="00B73F7C">
            <w:pPr>
              <w:jc w:val="center"/>
            </w:pPr>
            <w:r>
              <w:rPr>
                <w:b/>
                <w:bCs/>
                <w:color w:val="FFFFFF"/>
                <w:sz w:val="18"/>
                <w:szCs w:val="18"/>
              </w:rPr>
              <w:t>Field</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C96" w14:textId="77777777" w:rsidR="007F5F34" w:rsidRDefault="00B73F7C">
            <w:pPr>
              <w:jc w:val="center"/>
            </w:pPr>
            <w:r>
              <w:rPr>
                <w:b/>
                <w:bCs/>
                <w:color w:val="FFFFFF"/>
                <w:sz w:val="18"/>
                <w:szCs w:val="18"/>
              </w:rPr>
              <w:t>Description</w:t>
            </w:r>
          </w:p>
        </w:tc>
      </w:tr>
      <w:tr w:rsidR="007F5F34" w14:paraId="53A9CC9A"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98" w14:textId="77777777" w:rsidR="007F5F34" w:rsidRDefault="00B73F7C">
            <w:r>
              <w:rPr>
                <w:sz w:val="18"/>
                <w:szCs w:val="18"/>
              </w:rPr>
              <w:t>Period</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99" w14:textId="77777777" w:rsidR="007F5F34" w:rsidRDefault="00B73F7C">
            <w:r>
              <w:rPr>
                <w:sz w:val="18"/>
                <w:szCs w:val="18"/>
              </w:rPr>
              <w:t>Default cohort date (monthly)</w:t>
            </w:r>
          </w:p>
        </w:tc>
      </w:tr>
      <w:tr w:rsidR="007F5F34" w14:paraId="53A9CC9D"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9B" w14:textId="77777777" w:rsidR="007F5F34" w:rsidRDefault="00B73F7C">
            <w:r>
              <w:rPr>
                <w:sz w:val="18"/>
                <w:szCs w:val="18"/>
              </w:rPr>
              <w:t>EAD</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9C" w14:textId="77777777" w:rsidR="007F5F34" w:rsidRDefault="00B73F7C">
            <w:r>
              <w:rPr>
                <w:sz w:val="18"/>
                <w:szCs w:val="18"/>
              </w:rPr>
              <w:t>Exposure at Default — outstanding balance when default occurs</w:t>
            </w:r>
          </w:p>
        </w:tc>
      </w:tr>
      <w:tr w:rsidR="007F5F34" w14:paraId="53A9CCA0"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9E" w14:textId="77777777" w:rsidR="007F5F34" w:rsidRDefault="00B73F7C">
            <w:r>
              <w:rPr>
                <w:sz w:val="18"/>
                <w:szCs w:val="18"/>
              </w:rPr>
              <w:t>TID</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9F" w14:textId="77777777" w:rsidR="007F5F34" w:rsidRDefault="00B73F7C">
            <w:r>
              <w:rPr>
                <w:sz w:val="18"/>
                <w:szCs w:val="18"/>
              </w:rPr>
              <w:t>Maximum Time in Default observed for this cohort</w:t>
            </w:r>
          </w:p>
        </w:tc>
      </w:tr>
      <w:tr w:rsidR="007F5F34" w14:paraId="53A9CCA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A1" w14:textId="77777777" w:rsidR="007F5F34" w:rsidRDefault="00B73F7C">
            <w:r>
              <w:rPr>
                <w:sz w:val="18"/>
                <w:szCs w:val="18"/>
              </w:rPr>
              <w:t>TID_0 … TID_81</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A2" w14:textId="77777777" w:rsidR="007F5F34" w:rsidRDefault="00B73F7C">
            <w:r>
              <w:rPr>
                <w:sz w:val="18"/>
                <w:szCs w:val="18"/>
              </w:rPr>
              <w:t>Outstanding balance at each month since default</w:t>
            </w:r>
          </w:p>
        </w:tc>
      </w:tr>
    </w:tbl>
    <w:p w14:paraId="53A9CCA4" w14:textId="77777777" w:rsidR="007F5F34" w:rsidRDefault="00B73F7C">
      <w:r>
        <w:br w:type="page"/>
      </w:r>
    </w:p>
    <w:p w14:paraId="53A9CCA5" w14:textId="77777777" w:rsidR="007F5F34" w:rsidRDefault="00B73F7C">
      <w:pPr>
        <w:pStyle w:val="Heading1"/>
        <w:spacing w:before="300" w:after="200"/>
      </w:pPr>
      <w:bookmarkStart w:id="10" w:name="_Toc225019077"/>
      <w:r>
        <w:lastRenderedPageBreak/>
        <w:t>4. Model Methodology</w:t>
      </w:r>
      <w:bookmarkEnd w:id="10"/>
    </w:p>
    <w:p w14:paraId="53A9CCA6" w14:textId="77777777" w:rsidR="007F5F34" w:rsidRDefault="00B73F7C">
      <w:pPr>
        <w:pStyle w:val="Heading2"/>
        <w:spacing w:before="300" w:after="200"/>
      </w:pPr>
      <w:bookmarkStart w:id="11" w:name="_Toc225019078"/>
      <w:r>
        <w:t>4.1 Chain-Ladder Method Overview</w:t>
      </w:r>
      <w:bookmarkEnd w:id="11"/>
    </w:p>
    <w:p w14:paraId="53A9CCA7" w14:textId="77777777" w:rsidR="007F5F34" w:rsidRDefault="00B73F7C">
      <w:pPr>
        <w:spacing w:after="160" w:line="276" w:lineRule="auto"/>
      </w:pPr>
      <w:r>
        <w:t>The chain-ladder (or development factor) method is an actuarial technique originally developed for insurance loss reserving</w:t>
      </w:r>
      <w:r>
        <w:rPr>
          <w:rStyle w:val="FootnoteReference"/>
        </w:rPr>
        <w:footnoteReference w:id="4"/>
      </w:r>
      <w:r>
        <w:rPr>
          <w:rStyle w:val="FootnoteReference"/>
        </w:rPr>
        <w:footnoteReference w:id="5"/>
      </w:r>
      <w:r>
        <w:t xml:space="preserve"> and subsequently adopted in credit risk modelling for LGD estimation. The method estimates how losses develop over time by examining historical patterns across cohorts at different stages of maturity. It is one of the most widely used approaches in both general insurance reserving and credit risk, as documented extensively in the actuarial literature.</w:t>
      </w:r>
    </w:p>
    <w:p w14:paraId="53A9CCA8" w14:textId="77777777" w:rsidR="007F5F34" w:rsidRDefault="00B73F7C">
      <w:pPr>
        <w:spacing w:after="160" w:line="276" w:lineRule="auto"/>
      </w:pPr>
      <w:r>
        <w:rPr>
          <w:i/>
          <w:iCs/>
        </w:rPr>
        <w:t>England and Verrall (2002)</w:t>
      </w:r>
      <w:r>
        <w:rPr>
          <w:rStyle w:val="FootnoteReference"/>
        </w:rPr>
        <w:footnoteReference w:id="6"/>
      </w:r>
      <w:r>
        <w:t xml:space="preserve"> provide a comprehensive survey of stochastic claims reserving methods, establishing the theoretical foundations that underpin the chain-ladder approach. </w:t>
      </w:r>
      <w:r>
        <w:rPr>
          <w:i/>
          <w:iCs/>
        </w:rPr>
        <w:t>Wüthrich and Merz (2008)</w:t>
      </w:r>
      <w:r>
        <w:rPr>
          <w:rStyle w:val="FootnoteReference"/>
        </w:rPr>
        <w:footnoteReference w:id="7"/>
      </w:r>
      <w:r>
        <w:t xml:space="preserve"> further extend the framework with rigorous statistical treatment of prediction uncertainty, which informs our confidence interval methodology.</w:t>
      </w:r>
    </w:p>
    <w:p w14:paraId="53A9CCA9" w14:textId="77777777" w:rsidR="007F5F34" w:rsidRDefault="00B73F7C">
      <w:pPr>
        <w:spacing w:after="160" w:line="276" w:lineRule="auto"/>
      </w:pPr>
      <w:r>
        <w:t>The model applies the chain-ladder technique to a recovery triangle of defaulted municipal debt exposures, computing LGD as one minus the present value of cumulative recoveries.</w:t>
      </w:r>
    </w:p>
    <w:p w14:paraId="53A9CCAA" w14:textId="77777777" w:rsidR="007F5F34" w:rsidRDefault="00B73F7C">
      <w:pPr>
        <w:pStyle w:val="Heading2"/>
        <w:spacing w:before="300" w:after="200"/>
      </w:pPr>
      <w:bookmarkStart w:id="12" w:name="_Toc225019079"/>
      <w:r>
        <w:t>4.2 Core Computational Steps</w:t>
      </w:r>
      <w:bookmarkEnd w:id="12"/>
    </w:p>
    <w:p w14:paraId="53A9CCAB" w14:textId="77777777" w:rsidR="007F5F34" w:rsidRDefault="00B73F7C">
      <w:pPr>
        <w:spacing w:after="160" w:line="276" w:lineRule="auto"/>
      </w:pPr>
      <w:r>
        <w:t xml:space="preserve">The model proceeds through four sequential computational steps, each producing an intermediate matrix that feeds into the </w:t>
      </w:r>
      <w:proofErr w:type="gramStart"/>
      <w:r>
        <w:t>next</w:t>
      </w:r>
      <w:proofErr w:type="gramEnd"/>
      <w:r>
        <w:t>:</w:t>
      </w:r>
    </w:p>
    <w:p w14:paraId="53A9CCAC" w14:textId="77777777" w:rsidR="007F5F34" w:rsidRDefault="00B73F7C">
      <w:pPr>
        <w:pStyle w:val="Heading3"/>
        <w:spacing w:before="300" w:after="200"/>
      </w:pPr>
      <w:bookmarkStart w:id="13" w:name="_Toc225019080"/>
      <w:r>
        <w:t>4.2.1 Step 1: Aggregate Recoveries</w:t>
      </w:r>
      <w:bookmarkEnd w:id="13"/>
    </w:p>
    <w:p w14:paraId="53A9CCAD" w14:textId="77777777" w:rsidR="007F5F34" w:rsidRDefault="00B73F7C">
      <w:pPr>
        <w:spacing w:after="160" w:line="276" w:lineRule="auto"/>
      </w:pPr>
      <w:r>
        <w:t>For each transition from period n to n+1, aggregate recovery is calculated as:</w:t>
      </w:r>
    </w:p>
    <w:p w14:paraId="53A9CCAE" w14:textId="77777777" w:rsidR="007F5F34" w:rsidRDefault="00B73F7C">
      <w:pPr>
        <w:spacing w:before="120" w:after="120"/>
        <w:ind w:left="720"/>
      </w:pPr>
      <w:r>
        <w:rPr>
          <w:rFonts w:ascii="Consolas" w:eastAsia="Consolas" w:hAnsi="Consolas" w:cs="Consolas"/>
          <w:i/>
          <w:iCs/>
          <w:sz w:val="20"/>
          <w:szCs w:val="20"/>
        </w:rPr>
        <w:t>Recovery(n) = ∑ Balance(i, n) – ∑ Balance(i, n+1)</w:t>
      </w:r>
    </w:p>
    <w:p w14:paraId="53A9CCAF" w14:textId="77777777" w:rsidR="007F5F34" w:rsidRDefault="00B73F7C">
      <w:pPr>
        <w:spacing w:before="120" w:after="120"/>
        <w:ind w:left="720"/>
      </w:pPr>
      <w:r>
        <w:rPr>
          <w:rFonts w:ascii="Consolas" w:eastAsia="Consolas" w:hAnsi="Consolas" w:cs="Consolas"/>
          <w:i/>
          <w:iCs/>
          <w:sz w:val="20"/>
          <w:szCs w:val="20"/>
        </w:rPr>
        <w:t xml:space="preserve">  for all cohorts i with non-missing data at period n+1</w:t>
      </w:r>
    </w:p>
    <w:p w14:paraId="53A9CCB0" w14:textId="77777777" w:rsidR="007F5F34" w:rsidRDefault="00B73F7C">
      <w:pPr>
        <w:spacing w:after="160" w:line="276" w:lineRule="auto"/>
      </w:pPr>
      <w:r>
        <w:t>The mask restricts summation to cohorts that have observations at both periods n and n+1, ensuring that the recovery calculation is not contaminated by cohorts that have not yet been observed at the later period. The final period recovery is defined as zero (no further observations available).</w:t>
      </w:r>
    </w:p>
    <w:p w14:paraId="53A9CCB1" w14:textId="77777777" w:rsidR="007F5F34" w:rsidRDefault="00B73F7C">
      <w:pPr>
        <w:pStyle w:val="Heading3"/>
        <w:spacing w:before="300" w:after="200"/>
      </w:pPr>
      <w:bookmarkStart w:id="14" w:name="_Toc225019081"/>
      <w:r>
        <w:t>4.2.2 Step 2: Cumulative Balances</w:t>
      </w:r>
      <w:bookmarkEnd w:id="14"/>
    </w:p>
    <w:p w14:paraId="53A9CCB2" w14:textId="77777777" w:rsidR="007F5F34" w:rsidRDefault="00B73F7C">
      <w:pPr>
        <w:spacing w:after="160" w:line="276" w:lineRule="auto"/>
      </w:pPr>
      <w:r>
        <w:t>The cumulative balance matrix is of shape (</w:t>
      </w:r>
      <w:proofErr w:type="spellStart"/>
      <w:r>
        <w:t>n_periods</w:t>
      </w:r>
      <w:proofErr w:type="spellEnd"/>
      <w:r>
        <w:t xml:space="preserve"> × </w:t>
      </w:r>
      <w:proofErr w:type="spellStart"/>
      <w:r>
        <w:t>n_periods</w:t>
      </w:r>
      <w:proofErr w:type="spellEnd"/>
      <w:r>
        <w:t>). For row r and column c:</w:t>
      </w:r>
    </w:p>
    <w:p w14:paraId="53A9CCB3" w14:textId="77777777" w:rsidR="007F5F34" w:rsidRDefault="00B73F7C">
      <w:pPr>
        <w:spacing w:before="120" w:after="120"/>
        <w:ind w:left="720"/>
      </w:pPr>
      <w:proofErr w:type="spellStart"/>
      <w:r>
        <w:rPr>
          <w:rFonts w:ascii="Consolas" w:eastAsia="Consolas" w:hAnsi="Consolas" w:cs="Consolas"/>
          <w:i/>
          <w:iCs/>
          <w:sz w:val="20"/>
          <w:szCs w:val="20"/>
        </w:rPr>
        <w:t>CumBal</w:t>
      </w:r>
      <w:proofErr w:type="spellEnd"/>
      <w:r>
        <w:rPr>
          <w:rFonts w:ascii="Consolas" w:eastAsia="Consolas" w:hAnsi="Consolas" w:cs="Consolas"/>
          <w:i/>
          <w:iCs/>
          <w:sz w:val="20"/>
          <w:szCs w:val="20"/>
        </w:rPr>
        <w:t>(r, c) = ∑ Balance(i, r)</w:t>
      </w:r>
    </w:p>
    <w:p w14:paraId="53A9CCB4" w14:textId="77777777" w:rsidR="007F5F34" w:rsidRDefault="00B73F7C">
      <w:pPr>
        <w:spacing w:before="120" w:after="120"/>
        <w:ind w:left="720"/>
      </w:pPr>
      <w:r>
        <w:rPr>
          <w:rFonts w:ascii="Consolas" w:eastAsia="Consolas" w:hAnsi="Consolas" w:cs="Consolas"/>
          <w:i/>
          <w:iCs/>
          <w:sz w:val="20"/>
          <w:szCs w:val="20"/>
        </w:rPr>
        <w:lastRenderedPageBreak/>
        <w:t xml:space="preserve">  for all cohorts i with non-missing data at period c+1</w:t>
      </w:r>
    </w:p>
    <w:p w14:paraId="53A9CCB5" w14:textId="77777777" w:rsidR="007F5F34" w:rsidRDefault="00B73F7C">
      <w:pPr>
        <w:spacing w:after="160" w:line="276" w:lineRule="auto"/>
      </w:pPr>
      <w:r>
        <w:t>This gives the total outstanding balance at period r, restricted to cohorts that are still observable at period c+1. The last column uses a slightly different mask: it includes cohorts with observations at period c itself rather than c+1.</w:t>
      </w:r>
    </w:p>
    <w:p w14:paraId="53A9CCB6" w14:textId="77777777" w:rsidR="007F5F34" w:rsidRDefault="00B73F7C">
      <w:pPr>
        <w:pStyle w:val="Heading3"/>
        <w:spacing w:before="300" w:after="200"/>
      </w:pPr>
      <w:bookmarkStart w:id="15" w:name="_Toc225019082"/>
      <w:r>
        <w:t>4.2.3 Step 3: Discount Matrix</w:t>
      </w:r>
      <w:bookmarkEnd w:id="15"/>
    </w:p>
    <w:p w14:paraId="53A9CCB7" w14:textId="77777777" w:rsidR="007F5F34" w:rsidRDefault="00B73F7C">
      <w:pPr>
        <w:spacing w:after="160" w:line="276" w:lineRule="auto"/>
      </w:pPr>
      <w:r>
        <w:t>The discount matrix accounts for the time value of money using the annual effective interest rate (EIR proxy). For row r and column c:</w:t>
      </w:r>
    </w:p>
    <w:p w14:paraId="53A9CCB8" w14:textId="77777777" w:rsidR="007F5F34" w:rsidRDefault="00B73F7C">
      <w:pPr>
        <w:spacing w:before="120" w:after="120"/>
        <w:ind w:left="720"/>
      </w:pPr>
      <w:r>
        <w:rPr>
          <w:rFonts w:ascii="Consolas" w:eastAsia="Consolas" w:hAnsi="Consolas" w:cs="Consolas"/>
          <w:i/>
          <w:iCs/>
          <w:sz w:val="20"/>
          <w:szCs w:val="20"/>
        </w:rPr>
        <w:t>DF(r, c) = 1 / (1 + rate)^((c + 1 – r) / 12)</w:t>
      </w:r>
    </w:p>
    <w:p w14:paraId="53A9CCB9" w14:textId="77777777" w:rsidR="007F5F34" w:rsidRDefault="00B73F7C">
      <w:pPr>
        <w:spacing w:after="160" w:line="276" w:lineRule="auto"/>
      </w:pPr>
      <w:r>
        <w:t>where rate is the annual discount rate (default: 15%) and the exponent converts to monthly compounding. The c+1 follows the 1-indexed column convention from the reference spreadsheet.</w:t>
      </w:r>
    </w:p>
    <w:p w14:paraId="53A9CCBA" w14:textId="77777777" w:rsidR="007F5F34" w:rsidRDefault="00B73F7C">
      <w:pPr>
        <w:pStyle w:val="Heading3"/>
        <w:spacing w:before="300" w:after="200"/>
      </w:pPr>
      <w:bookmarkStart w:id="16" w:name="_Toc225019083"/>
      <w:r>
        <w:t>4.2.4 Step 4: LGD Term Structure</w:t>
      </w:r>
      <w:bookmarkEnd w:id="16"/>
    </w:p>
    <w:p w14:paraId="53A9CCBB" w14:textId="77777777" w:rsidR="007F5F34" w:rsidRDefault="00B73F7C">
      <w:pPr>
        <w:spacing w:after="160" w:line="276" w:lineRule="auto"/>
      </w:pPr>
      <w:r>
        <w:t>The LGD at each Time in Default point t is:</w:t>
      </w:r>
    </w:p>
    <w:p w14:paraId="53A9CCBC" w14:textId="77777777" w:rsidR="007F5F34" w:rsidRDefault="00B73F7C">
      <w:pPr>
        <w:spacing w:before="120" w:after="120"/>
        <w:ind w:left="720"/>
      </w:pPr>
      <w:r>
        <w:rPr>
          <w:rFonts w:ascii="Consolas" w:eastAsia="Consolas" w:hAnsi="Consolas" w:cs="Consolas"/>
          <w:i/>
          <w:iCs/>
          <w:sz w:val="20"/>
          <w:szCs w:val="20"/>
        </w:rPr>
        <w:t xml:space="preserve">LGD(t) = 1 – ∑ [Recovery(c) / </w:t>
      </w:r>
      <w:proofErr w:type="spellStart"/>
      <w:r>
        <w:rPr>
          <w:rFonts w:ascii="Consolas" w:eastAsia="Consolas" w:hAnsi="Consolas" w:cs="Consolas"/>
          <w:i/>
          <w:iCs/>
          <w:sz w:val="20"/>
          <w:szCs w:val="20"/>
        </w:rPr>
        <w:t>CumBal</w:t>
      </w:r>
      <w:proofErr w:type="spellEnd"/>
      <w:r>
        <w:rPr>
          <w:rFonts w:ascii="Consolas" w:eastAsia="Consolas" w:hAnsi="Consolas" w:cs="Consolas"/>
          <w:i/>
          <w:iCs/>
          <w:sz w:val="20"/>
          <w:szCs w:val="20"/>
        </w:rPr>
        <w:t>(t, c) × DF(t, c)]</w:t>
      </w:r>
    </w:p>
    <w:p w14:paraId="53A9CCBD" w14:textId="77777777" w:rsidR="007F5F34" w:rsidRDefault="00B73F7C">
      <w:pPr>
        <w:spacing w:before="120" w:after="120"/>
        <w:ind w:left="720"/>
      </w:pPr>
      <w:r>
        <w:rPr>
          <w:rFonts w:ascii="Consolas" w:eastAsia="Consolas" w:hAnsi="Consolas" w:cs="Consolas"/>
          <w:i/>
          <w:iCs/>
          <w:sz w:val="20"/>
          <w:szCs w:val="20"/>
        </w:rPr>
        <w:t xml:space="preserve">  for c from t to </w:t>
      </w:r>
      <w:proofErr w:type="spellStart"/>
      <w:r>
        <w:rPr>
          <w:rFonts w:ascii="Consolas" w:eastAsia="Consolas" w:hAnsi="Consolas" w:cs="Consolas"/>
          <w:i/>
          <w:iCs/>
          <w:sz w:val="20"/>
          <w:szCs w:val="20"/>
        </w:rPr>
        <w:t>n_periods</w:t>
      </w:r>
      <w:proofErr w:type="spellEnd"/>
      <w:r>
        <w:rPr>
          <w:rFonts w:ascii="Consolas" w:eastAsia="Consolas" w:hAnsi="Consolas" w:cs="Consolas"/>
          <w:i/>
          <w:iCs/>
          <w:sz w:val="20"/>
          <w:szCs w:val="20"/>
        </w:rPr>
        <w:t xml:space="preserve"> – 1</w:t>
      </w:r>
    </w:p>
    <w:p w14:paraId="53A9CCBE" w14:textId="77777777" w:rsidR="007F5F34" w:rsidRDefault="00B73F7C">
      <w:pPr>
        <w:spacing w:after="160" w:line="276" w:lineRule="auto"/>
      </w:pPr>
      <w:r>
        <w:t>The final element LGD(</w:t>
      </w:r>
      <w:proofErr w:type="spellStart"/>
      <w:r>
        <w:t>n_periods</w:t>
      </w:r>
      <w:proofErr w:type="spellEnd"/>
      <w:r>
        <w:t>) = 1.0 by convention (no recovery data beyond the triangle). The term structure starts at TID=0 (freshly defaulted) and increases towards 1.0 as TID increases, reflecting diminishing recovery prospects over time.</w:t>
      </w:r>
    </w:p>
    <w:p w14:paraId="53A9CCBF" w14:textId="77777777" w:rsidR="007F5F34" w:rsidRDefault="00B73F7C">
      <w:pPr>
        <w:pStyle w:val="Heading2"/>
        <w:spacing w:before="300" w:after="200"/>
      </w:pPr>
      <w:bookmarkStart w:id="17" w:name="_Toc225019084"/>
      <w:r>
        <w:t>4.3 Discount Rate</w:t>
      </w:r>
      <w:bookmarkEnd w:id="17"/>
    </w:p>
    <w:p w14:paraId="53A9CCC0" w14:textId="77777777" w:rsidR="007F5F34" w:rsidRDefault="00B73F7C">
      <w:pPr>
        <w:spacing w:after="160" w:line="276" w:lineRule="auto"/>
      </w:pPr>
      <w:r>
        <w:t>IFRS 9 paragraph B5.5.44 requires that expected credit losses be discounted to the reporting date using the effective interest rate (EIR) determined at initial recognition. For this portfolio, a discount rate of 15% per annum is applied, representing the EIR proxy for Eskom municipal debt. The discount rate is configurable and sensitivity analysis across rates is supported.</w:t>
      </w:r>
    </w:p>
    <w:p w14:paraId="53A9CCC1" w14:textId="77777777" w:rsidR="007F5F34" w:rsidRDefault="00B73F7C">
      <w:r>
        <w:br w:type="page"/>
      </w:r>
    </w:p>
    <w:p w14:paraId="53A9CCC2" w14:textId="77777777" w:rsidR="007F5F34" w:rsidRDefault="00B73F7C">
      <w:pPr>
        <w:pStyle w:val="Heading1"/>
        <w:spacing w:before="300" w:after="200"/>
      </w:pPr>
      <w:bookmarkStart w:id="18" w:name="_Toc225019085"/>
      <w:r>
        <w:lastRenderedPageBreak/>
        <w:t>5. Vintage Analysis Framework</w:t>
      </w:r>
      <w:bookmarkEnd w:id="18"/>
    </w:p>
    <w:p w14:paraId="53A9CCC3" w14:textId="77777777" w:rsidR="007F5F34" w:rsidRDefault="00B73F7C">
      <w:pPr>
        <w:pStyle w:val="Heading2"/>
        <w:spacing w:before="300" w:after="200"/>
      </w:pPr>
      <w:bookmarkStart w:id="19" w:name="_Toc225019086"/>
      <w:r>
        <w:t>5.1 Rolling Window Approach</w:t>
      </w:r>
      <w:bookmarkEnd w:id="19"/>
    </w:p>
    <w:p w14:paraId="53A9CCC4" w14:textId="77777777" w:rsidR="007F5F34" w:rsidRDefault="00B73F7C">
      <w:pPr>
        <w:spacing w:after="160" w:line="276" w:lineRule="auto"/>
      </w:pPr>
      <w:r>
        <w:t>The model uses a rolling window of N consecutive monthly default cohorts to calibrate the chain-ladder. Each window position produces one LGD term structure (a “vintage”). For 82 cohorts and a 60-month window, this yields 23 vintages.</w:t>
      </w:r>
    </w:p>
    <w:p w14:paraId="53A9CCC5" w14:textId="77777777" w:rsidR="007F5F34" w:rsidRDefault="00B73F7C">
      <w:pPr>
        <w:spacing w:after="160" w:line="276" w:lineRule="auto"/>
      </w:pPr>
      <w:r>
        <w:t xml:space="preserve">The number of vintages for any window size W </w:t>
      </w:r>
      <w:proofErr w:type="gramStart"/>
      <w:r>
        <w:t>is:</w:t>
      </w:r>
      <w:proofErr w:type="gramEnd"/>
      <w:r>
        <w:t xml:space="preserve"> n_vintages = n_total – W + 1, where n_total is the total number of default cohorts.</w:t>
      </w:r>
    </w:p>
    <w:p w14:paraId="53A9CCC6" w14:textId="77777777" w:rsidR="007F5F34" w:rsidRDefault="00B73F7C">
      <w:pPr>
        <w:pStyle w:val="Heading2"/>
        <w:spacing w:before="300" w:after="200"/>
      </w:pPr>
      <w:bookmarkStart w:id="20" w:name="_Toc225019087"/>
      <w:r>
        <w:t>5.2 Observation Mask (Critical)</w:t>
      </w:r>
      <w:bookmarkEnd w:id="20"/>
    </w:p>
    <w:p w14:paraId="53A9CCC7" w14:textId="77777777" w:rsidR="007F5F34" w:rsidRDefault="00B73F7C">
      <w:pPr>
        <w:spacing w:after="160" w:line="276" w:lineRule="auto"/>
      </w:pPr>
      <w:r>
        <w:rPr>
          <w:b/>
          <w:bCs/>
        </w:rPr>
        <w:t>This is the single most important correctness constraint in the model.</w:t>
      </w:r>
      <w:r>
        <w:t xml:space="preserve"> Each </w:t>
      </w:r>
      <w:proofErr w:type="gramStart"/>
      <w:r>
        <w:t>vintage’s</w:t>
      </w:r>
      <w:proofErr w:type="gramEnd"/>
      <w:r>
        <w:t xml:space="preserve"> calculation must be restricted to data that would have been observable at the vintage date. Without this mask, the model would use “future” data that was not available when the forecast was made, invalidating the </w:t>
      </w:r>
      <w:proofErr w:type="spellStart"/>
      <w:r>
        <w:t>backtest</w:t>
      </w:r>
      <w:proofErr w:type="spellEnd"/>
      <w:r>
        <w:t>.</w:t>
      </w:r>
    </w:p>
    <w:p w14:paraId="53A9CCC8" w14:textId="77777777" w:rsidR="007F5F34" w:rsidRDefault="00B73F7C">
      <w:pPr>
        <w:spacing w:after="160" w:line="276" w:lineRule="auto"/>
      </w:pPr>
      <w:r>
        <w:t>The observation mask works as follows:</w:t>
      </w:r>
    </w:p>
    <w:p w14:paraId="53A9CCC9" w14:textId="77777777" w:rsidR="007F5F34" w:rsidRDefault="00B73F7C">
      <w:pPr>
        <w:spacing w:before="120" w:after="120"/>
        <w:ind w:left="720"/>
      </w:pPr>
      <w:r>
        <w:rPr>
          <w:rFonts w:ascii="Consolas" w:eastAsia="Consolas" w:hAnsi="Consolas" w:cs="Consolas"/>
          <w:i/>
          <w:iCs/>
          <w:sz w:val="20"/>
          <w:szCs w:val="20"/>
        </w:rPr>
        <w:t xml:space="preserve">offset = n_total – </w:t>
      </w:r>
      <w:proofErr w:type="spellStart"/>
      <w:r>
        <w:rPr>
          <w:rFonts w:ascii="Consolas" w:eastAsia="Consolas" w:hAnsi="Consolas" w:cs="Consolas"/>
          <w:i/>
          <w:iCs/>
          <w:sz w:val="20"/>
          <w:szCs w:val="20"/>
        </w:rPr>
        <w:t>end_idx</w:t>
      </w:r>
      <w:proofErr w:type="spellEnd"/>
    </w:p>
    <w:p w14:paraId="53A9CCCA" w14:textId="77777777" w:rsidR="007F5F34" w:rsidRDefault="00B73F7C">
      <w:pPr>
        <w:spacing w:before="120" w:after="120"/>
        <w:ind w:left="720"/>
      </w:pPr>
      <w:proofErr w:type="spellStart"/>
      <w:r>
        <w:rPr>
          <w:rFonts w:ascii="Consolas" w:eastAsia="Consolas" w:hAnsi="Consolas" w:cs="Consolas"/>
          <w:i/>
          <w:iCs/>
          <w:sz w:val="20"/>
          <w:szCs w:val="20"/>
        </w:rPr>
        <w:t>adjusted_max_tid</w:t>
      </w:r>
      <w:proofErr w:type="spellEnd"/>
      <w:r>
        <w:rPr>
          <w:rFonts w:ascii="Consolas" w:eastAsia="Consolas" w:hAnsi="Consolas" w:cs="Consolas"/>
          <w:i/>
          <w:iCs/>
          <w:sz w:val="20"/>
          <w:szCs w:val="20"/>
        </w:rPr>
        <w:t xml:space="preserve">(i) = </w:t>
      </w:r>
      <w:proofErr w:type="spellStart"/>
      <w:r>
        <w:rPr>
          <w:rFonts w:ascii="Consolas" w:eastAsia="Consolas" w:hAnsi="Consolas" w:cs="Consolas"/>
          <w:i/>
          <w:iCs/>
          <w:sz w:val="20"/>
          <w:szCs w:val="20"/>
        </w:rPr>
        <w:t>master_tid</w:t>
      </w:r>
      <w:proofErr w:type="spellEnd"/>
      <w:r>
        <w:rPr>
          <w:rFonts w:ascii="Consolas" w:eastAsia="Consolas" w:hAnsi="Consolas" w:cs="Consolas"/>
          <w:i/>
          <w:iCs/>
          <w:sz w:val="20"/>
          <w:szCs w:val="20"/>
        </w:rPr>
        <w:t>(i) – offset</w:t>
      </w:r>
    </w:p>
    <w:p w14:paraId="53A9CCCB" w14:textId="77777777" w:rsidR="007F5F34" w:rsidRDefault="00B73F7C">
      <w:pPr>
        <w:spacing w:before="120" w:after="120"/>
        <w:ind w:left="720"/>
      </w:pPr>
      <w:r>
        <w:rPr>
          <w:rFonts w:ascii="Consolas" w:eastAsia="Consolas" w:hAnsi="Consolas" w:cs="Consolas"/>
          <w:i/>
          <w:iCs/>
          <w:sz w:val="20"/>
          <w:szCs w:val="20"/>
        </w:rPr>
        <w:t xml:space="preserve">If </w:t>
      </w:r>
      <w:proofErr w:type="spellStart"/>
      <w:r>
        <w:rPr>
          <w:rFonts w:ascii="Consolas" w:eastAsia="Consolas" w:hAnsi="Consolas" w:cs="Consolas"/>
          <w:i/>
          <w:iCs/>
          <w:sz w:val="20"/>
          <w:szCs w:val="20"/>
        </w:rPr>
        <w:t>adjusted_max_tid</w:t>
      </w:r>
      <w:proofErr w:type="spellEnd"/>
      <w:r>
        <w:rPr>
          <w:rFonts w:ascii="Consolas" w:eastAsia="Consolas" w:hAnsi="Consolas" w:cs="Consolas"/>
          <w:i/>
          <w:iCs/>
          <w:sz w:val="20"/>
          <w:szCs w:val="20"/>
        </w:rPr>
        <w:t xml:space="preserve"> &lt; </w:t>
      </w:r>
      <w:proofErr w:type="spellStart"/>
      <w:r>
        <w:rPr>
          <w:rFonts w:ascii="Consolas" w:eastAsia="Consolas" w:hAnsi="Consolas" w:cs="Consolas"/>
          <w:i/>
          <w:iCs/>
          <w:sz w:val="20"/>
          <w:szCs w:val="20"/>
        </w:rPr>
        <w:t>n_periods</w:t>
      </w:r>
      <w:proofErr w:type="spellEnd"/>
      <w:r>
        <w:rPr>
          <w:rFonts w:ascii="Consolas" w:eastAsia="Consolas" w:hAnsi="Consolas" w:cs="Consolas"/>
          <w:i/>
          <w:iCs/>
          <w:sz w:val="20"/>
          <w:szCs w:val="20"/>
        </w:rPr>
        <w:t>: set Balance(i, adjusted_max_tid+1 : ) = NaN</w:t>
      </w:r>
    </w:p>
    <w:p w14:paraId="53A9CCCC" w14:textId="77777777" w:rsidR="007F5F34" w:rsidRDefault="00B73F7C">
      <w:pPr>
        <w:spacing w:after="160" w:line="276" w:lineRule="auto"/>
      </w:pPr>
      <w:r>
        <w:t>The offset represents how many months before the latest data point this vintage sits. For the most recent vintage (</w:t>
      </w:r>
      <w:proofErr w:type="spellStart"/>
      <w:r>
        <w:t>end_idx</w:t>
      </w:r>
      <w:proofErr w:type="spellEnd"/>
      <w:r>
        <w:t xml:space="preserve"> = n_total), offset = 0 and no masking occurs. For earlier vintages, progressively more of each cohort’s tail is masked to simulate the information set available at that historical point.</w:t>
      </w:r>
    </w:p>
    <w:p w14:paraId="53A9CCCD" w14:textId="77777777" w:rsidR="007F5F34" w:rsidRDefault="00B73F7C">
      <w:pPr>
        <w:pStyle w:val="Heading2"/>
        <w:spacing w:before="300" w:after="200"/>
      </w:pPr>
      <w:bookmarkStart w:id="21" w:name="_Toc225019088"/>
      <w:r>
        <w:t>5.3 Multi-Window Calibration</w:t>
      </w:r>
      <w:bookmarkEnd w:id="21"/>
    </w:p>
    <w:p w14:paraId="53A9CCCE" w14:textId="77777777" w:rsidR="007F5F34" w:rsidRDefault="00B73F7C">
      <w:pPr>
        <w:spacing w:after="160" w:line="276" w:lineRule="auto"/>
      </w:pPr>
      <w:r>
        <w:t xml:space="preserve">The model evaluates nine window sizes: 12, 18, 24, 30, 36, 42, 48, 54, and 60 months. All scenarios are aligned to the same </w:t>
      </w:r>
      <w:proofErr w:type="spellStart"/>
      <w:r>
        <w:t>backtest</w:t>
      </w:r>
      <w:proofErr w:type="spellEnd"/>
      <w:r>
        <w:t xml:space="preserve"> dates by using the reference window (60 months) to determine the vintage end-dates. Smaller windows produce the same number of aligned vintages but use fewer historical cohorts for calibration. This alignment is essential for fair comparison across window sizes.</w:t>
      </w:r>
    </w:p>
    <w:p w14:paraId="53A9CCCF" w14:textId="77777777" w:rsidR="007F5F34" w:rsidRDefault="00B73F7C">
      <w:r>
        <w:br w:type="page"/>
      </w:r>
    </w:p>
    <w:p w14:paraId="53A9CCD0" w14:textId="77777777" w:rsidR="007F5F34" w:rsidRDefault="00B73F7C">
      <w:pPr>
        <w:pStyle w:val="Heading1"/>
        <w:spacing w:before="300" w:after="200"/>
      </w:pPr>
      <w:bookmarkStart w:id="22" w:name="_Toc225019089"/>
      <w:r>
        <w:lastRenderedPageBreak/>
        <w:t>6. Backtesting Framework</w:t>
      </w:r>
      <w:bookmarkEnd w:id="22"/>
    </w:p>
    <w:p w14:paraId="53A9CCD1" w14:textId="77777777" w:rsidR="007F5F34" w:rsidRDefault="00B73F7C">
      <w:pPr>
        <w:pStyle w:val="Heading2"/>
        <w:spacing w:before="300" w:after="200"/>
      </w:pPr>
      <w:bookmarkStart w:id="23" w:name="_Toc225019090"/>
      <w:r>
        <w:t>6.1 Forecast vs Actual Comparison</w:t>
      </w:r>
      <w:bookmarkEnd w:id="23"/>
    </w:p>
    <w:p w14:paraId="53A9CCD2" w14:textId="1F80916A" w:rsidR="007F5F34" w:rsidRDefault="00B73F7C">
      <w:pPr>
        <w:spacing w:after="160" w:line="276" w:lineRule="auto"/>
      </w:pPr>
      <w:r>
        <w:t xml:space="preserve">The </w:t>
      </w:r>
      <w:r w:rsidR="00BC0E14">
        <w:t>backrest</w:t>
      </w:r>
      <w:r>
        <w:t xml:space="preserve"> compares each vintage’s LGD forecast against the “actual” LGD that becomes observable when more data arrives. The actual LGD for vintage </w:t>
      </w:r>
      <w:proofErr w:type="gramStart"/>
      <w:r>
        <w:t>i is</w:t>
      </w:r>
      <w:proofErr w:type="gramEnd"/>
      <w:r>
        <w:t xml:space="preserve"> sourced from vintage i+1’s term structure, which incorporates one additional month of recovery data.</w:t>
      </w:r>
    </w:p>
    <w:p w14:paraId="53A9CCD3" w14:textId="77777777" w:rsidR="007F5F34" w:rsidRDefault="00B73F7C">
      <w:pPr>
        <w:pStyle w:val="Heading2"/>
        <w:spacing w:before="300" w:after="200"/>
      </w:pPr>
      <w:bookmarkStart w:id="24" w:name="_Toc225019091"/>
      <w:r>
        <w:t>6.2 Diagonal Pattern</w:t>
      </w:r>
      <w:bookmarkEnd w:id="24"/>
    </w:p>
    <w:p w14:paraId="53A9CCD4" w14:textId="77777777" w:rsidR="007F5F34" w:rsidRDefault="00B73F7C">
      <w:pPr>
        <w:spacing w:after="160" w:line="276" w:lineRule="auto"/>
      </w:pPr>
      <w:r>
        <w:t>The actual matrix follows a diagonal pattern that was reverse-engineered from the reference spreadsheet and verified across all 22 testable vintages. The pattern works as follows:</w:t>
      </w:r>
    </w:p>
    <w:p w14:paraId="53A9CCD5" w14:textId="77777777" w:rsidR="007F5F34" w:rsidRDefault="00B73F7C">
      <w:pPr>
        <w:spacing w:after="160" w:line="276" w:lineRule="auto"/>
      </w:pPr>
      <w:r>
        <w:t xml:space="preserve">For vintage i (where i=0 is the oldest), the “hindsight” is </w:t>
      </w:r>
      <w:proofErr w:type="spellStart"/>
      <w:r>
        <w:t>n_v</w:t>
      </w:r>
      <w:proofErr w:type="spellEnd"/>
      <w:r>
        <w:t xml:space="preserve"> – 1 – i, representing how many subsequent vintages exist to provide actual observations. The actual LGD values are drawn from vintage i+1’s complete term structure.</w:t>
      </w:r>
    </w:p>
    <w:p w14:paraId="53A9CCD6" w14:textId="77777777" w:rsidR="007F5F34" w:rsidRDefault="00B73F7C">
      <w:pPr>
        <w:spacing w:before="120" w:after="120"/>
        <w:ind w:left="720"/>
      </w:pPr>
      <w:proofErr w:type="spellStart"/>
      <w:r>
        <w:rPr>
          <w:rFonts w:ascii="Consolas" w:eastAsia="Consolas" w:hAnsi="Consolas" w:cs="Consolas"/>
          <w:i/>
          <w:iCs/>
          <w:sz w:val="20"/>
          <w:szCs w:val="20"/>
        </w:rPr>
        <w:t>start_tid</w:t>
      </w:r>
      <w:proofErr w:type="spellEnd"/>
      <w:r>
        <w:rPr>
          <w:rFonts w:ascii="Consolas" w:eastAsia="Consolas" w:hAnsi="Consolas" w:cs="Consolas"/>
          <w:i/>
          <w:iCs/>
          <w:sz w:val="20"/>
          <w:szCs w:val="20"/>
        </w:rPr>
        <w:t xml:space="preserve"> = 0 if i = 0, else (</w:t>
      </w:r>
      <w:proofErr w:type="spellStart"/>
      <w:r>
        <w:rPr>
          <w:rFonts w:ascii="Consolas" w:eastAsia="Consolas" w:hAnsi="Consolas" w:cs="Consolas"/>
          <w:i/>
          <w:iCs/>
          <w:sz w:val="20"/>
          <w:szCs w:val="20"/>
        </w:rPr>
        <w:t>n_v</w:t>
      </w:r>
      <w:proofErr w:type="spellEnd"/>
      <w:r>
        <w:rPr>
          <w:rFonts w:ascii="Consolas" w:eastAsia="Consolas" w:hAnsi="Consolas" w:cs="Consolas"/>
          <w:i/>
          <w:iCs/>
          <w:sz w:val="20"/>
          <w:szCs w:val="20"/>
        </w:rPr>
        <w:t xml:space="preserve"> – hindsight)</w:t>
      </w:r>
    </w:p>
    <w:p w14:paraId="53A9CCD7" w14:textId="77777777" w:rsidR="007F5F34" w:rsidRDefault="00B73F7C">
      <w:pPr>
        <w:spacing w:before="120" w:after="120"/>
        <w:ind w:left="720"/>
      </w:pPr>
      <w:proofErr w:type="spellStart"/>
      <w:r>
        <w:rPr>
          <w:rFonts w:ascii="Consolas" w:eastAsia="Consolas" w:hAnsi="Consolas" w:cs="Consolas"/>
          <w:i/>
          <w:iCs/>
          <w:sz w:val="20"/>
          <w:szCs w:val="20"/>
        </w:rPr>
        <w:t>end_tid</w:t>
      </w:r>
      <w:proofErr w:type="spellEnd"/>
      <w:r>
        <w:rPr>
          <w:rFonts w:ascii="Consolas" w:eastAsia="Consolas" w:hAnsi="Consolas" w:cs="Consolas"/>
          <w:i/>
          <w:iCs/>
          <w:sz w:val="20"/>
          <w:szCs w:val="20"/>
        </w:rPr>
        <w:t xml:space="preserve"> = </w:t>
      </w:r>
      <w:proofErr w:type="spellStart"/>
      <w:r>
        <w:rPr>
          <w:rFonts w:ascii="Consolas" w:eastAsia="Consolas" w:hAnsi="Consolas" w:cs="Consolas"/>
          <w:i/>
          <w:iCs/>
          <w:sz w:val="20"/>
          <w:szCs w:val="20"/>
        </w:rPr>
        <w:t>n_v</w:t>
      </w:r>
      <w:proofErr w:type="spellEnd"/>
      <w:r>
        <w:rPr>
          <w:rFonts w:ascii="Consolas" w:eastAsia="Consolas" w:hAnsi="Consolas" w:cs="Consolas"/>
          <w:i/>
          <w:iCs/>
          <w:sz w:val="20"/>
          <w:szCs w:val="20"/>
        </w:rPr>
        <w:t xml:space="preserve"> + 1  (exclusive upper bound)</w:t>
      </w:r>
    </w:p>
    <w:p w14:paraId="53A9CCD8" w14:textId="77777777" w:rsidR="007F5F34" w:rsidRDefault="00B73F7C">
      <w:pPr>
        <w:spacing w:after="160" w:line="276" w:lineRule="auto"/>
      </w:pPr>
      <w:r>
        <w:t>This produces 276 non-NaN residuals for the 60-month window with 23 vintages, matching the reference workbook exactly.</w:t>
      </w:r>
    </w:p>
    <w:p w14:paraId="53A9CCD9" w14:textId="77777777" w:rsidR="007F5F34" w:rsidRDefault="00B73F7C">
      <w:pPr>
        <w:pStyle w:val="Heading2"/>
        <w:spacing w:before="300" w:after="200"/>
      </w:pPr>
      <w:bookmarkStart w:id="25" w:name="_Toc225019092"/>
      <w:r>
        <w:t>6.3 Residual Analysis</w:t>
      </w:r>
      <w:bookmarkEnd w:id="25"/>
    </w:p>
    <w:p w14:paraId="53A9CCDA" w14:textId="77777777" w:rsidR="007F5F34" w:rsidRDefault="00B73F7C">
      <w:pPr>
        <w:spacing w:after="160" w:line="276" w:lineRule="auto"/>
      </w:pPr>
      <w:r>
        <w:t>Residuals are computed as: Residual = Actual LGD – Forecast LGD. The following metrics are computed across the flat (non-NaN) residual vector: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F5F34" w14:paraId="53A9CCDD"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CDB" w14:textId="77777777" w:rsidR="007F5F34" w:rsidRDefault="00B73F7C">
            <w:pPr>
              <w:jc w:val="center"/>
            </w:pPr>
            <w:r>
              <w:rPr>
                <w:b/>
                <w:bCs/>
                <w:color w:val="FFFFFF"/>
                <w:sz w:val="18"/>
                <w:szCs w:val="18"/>
              </w:rPr>
              <w:t>Metric</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CDC" w14:textId="77777777" w:rsidR="007F5F34" w:rsidRDefault="00B73F7C">
            <w:pPr>
              <w:jc w:val="center"/>
            </w:pPr>
            <w:r>
              <w:rPr>
                <w:b/>
                <w:bCs/>
                <w:color w:val="FFFFFF"/>
                <w:sz w:val="18"/>
                <w:szCs w:val="18"/>
              </w:rPr>
              <w:t>Description</w:t>
            </w:r>
          </w:p>
        </w:tc>
      </w:tr>
      <w:tr w:rsidR="007F5F34" w14:paraId="53A9CCE0"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DE" w14:textId="77777777" w:rsidR="007F5F34" w:rsidRDefault="00B73F7C">
            <w:r>
              <w:rPr>
                <w:sz w:val="18"/>
                <w:szCs w:val="18"/>
              </w:rPr>
              <w:t>Mean Error (Bias)</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DF" w14:textId="77777777" w:rsidR="007F5F34" w:rsidRDefault="00B73F7C">
            <w:r>
              <w:rPr>
                <w:sz w:val="18"/>
                <w:szCs w:val="18"/>
              </w:rPr>
              <w:t>Average residual; positive = model underestimates loss</w:t>
            </w:r>
          </w:p>
        </w:tc>
      </w:tr>
      <w:tr w:rsidR="007F5F34" w14:paraId="53A9CCE3"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1" w14:textId="77777777" w:rsidR="007F5F34" w:rsidRDefault="00B73F7C">
            <w:r>
              <w:rPr>
                <w:sz w:val="18"/>
                <w:szCs w:val="18"/>
              </w:rPr>
              <w:t>RMSE</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2" w14:textId="77777777" w:rsidR="007F5F34" w:rsidRDefault="00B73F7C">
            <w:r>
              <w:rPr>
                <w:sz w:val="18"/>
                <w:szCs w:val="18"/>
              </w:rPr>
              <w:t xml:space="preserve">Root mean squared error; </w:t>
            </w:r>
            <w:proofErr w:type="spellStart"/>
            <w:r>
              <w:rPr>
                <w:sz w:val="18"/>
                <w:szCs w:val="18"/>
              </w:rPr>
              <w:t>penalises</w:t>
            </w:r>
            <w:proofErr w:type="spellEnd"/>
            <w:r>
              <w:rPr>
                <w:sz w:val="18"/>
                <w:szCs w:val="18"/>
              </w:rPr>
              <w:t xml:space="preserve"> large deviations</w:t>
            </w:r>
          </w:p>
        </w:tc>
      </w:tr>
      <w:tr w:rsidR="007F5F34" w14:paraId="53A9CCE6"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4" w14:textId="77777777" w:rsidR="007F5F34" w:rsidRDefault="00B73F7C">
            <w:r>
              <w:rPr>
                <w:sz w:val="18"/>
                <w:szCs w:val="18"/>
              </w:rPr>
              <w:t>MAE</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5" w14:textId="77777777" w:rsidR="007F5F34" w:rsidRDefault="00B73F7C">
            <w:r>
              <w:rPr>
                <w:sz w:val="18"/>
                <w:szCs w:val="18"/>
              </w:rPr>
              <w:t>Mean absolute error; robust central tendency of error magnitude</w:t>
            </w:r>
          </w:p>
        </w:tc>
      </w:tr>
      <w:tr w:rsidR="007F5F34" w14:paraId="53A9CCE9"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7" w14:textId="77777777" w:rsidR="007F5F34" w:rsidRDefault="00B73F7C">
            <w:r>
              <w:rPr>
                <w:sz w:val="18"/>
                <w:szCs w:val="18"/>
              </w:rPr>
              <w:t>Max |Error|</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8" w14:textId="77777777" w:rsidR="007F5F34" w:rsidRDefault="00B73F7C">
            <w:r>
              <w:rPr>
                <w:sz w:val="18"/>
                <w:szCs w:val="18"/>
              </w:rPr>
              <w:t>Worst single residual; tail risk indicator</w:t>
            </w:r>
          </w:p>
        </w:tc>
      </w:tr>
      <w:tr w:rsidR="007F5F34" w14:paraId="53A9CCEC"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A" w14:textId="77777777" w:rsidR="007F5F34" w:rsidRDefault="00B73F7C">
            <w:r>
              <w:rPr>
                <w:sz w:val="18"/>
                <w:szCs w:val="18"/>
              </w:rPr>
              <w:t>IQR</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B" w14:textId="77777777" w:rsidR="007F5F34" w:rsidRDefault="00B73F7C">
            <w:r>
              <w:rPr>
                <w:sz w:val="18"/>
                <w:szCs w:val="18"/>
              </w:rPr>
              <w:t>Interquartile range; robust measure of error dispersion</w:t>
            </w:r>
          </w:p>
        </w:tc>
      </w:tr>
      <w:tr w:rsidR="007F5F34" w14:paraId="53A9CCEF" w14:textId="77777777">
        <w:tc>
          <w:tcPr>
            <w:tcW w:w="31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D" w14:textId="77777777" w:rsidR="007F5F34" w:rsidRDefault="00B73F7C">
            <w:r>
              <w:rPr>
                <w:sz w:val="18"/>
                <w:szCs w:val="18"/>
              </w:rPr>
              <w:t>Composite Score</w:t>
            </w:r>
          </w:p>
        </w:tc>
        <w:tc>
          <w:tcPr>
            <w:tcW w:w="6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EE" w14:textId="77777777" w:rsidR="007F5F34" w:rsidRDefault="00B73F7C">
            <w:r>
              <w:rPr>
                <w:sz w:val="18"/>
                <w:szCs w:val="18"/>
              </w:rPr>
              <w:t>Weighted combination: 0.20×bias ratio + 0.35×RMSE + 0.25×MAE + 0.20×tail severity</w:t>
            </w:r>
          </w:p>
        </w:tc>
      </w:tr>
    </w:tbl>
    <w:p w14:paraId="53A9CCF0" w14:textId="77777777" w:rsidR="007F5F34" w:rsidRDefault="00B73F7C">
      <w:r>
        <w:br w:type="page"/>
      </w:r>
    </w:p>
    <w:p w14:paraId="53A9CCF1" w14:textId="77777777" w:rsidR="007F5F34" w:rsidRDefault="00B73F7C">
      <w:pPr>
        <w:pStyle w:val="Heading1"/>
        <w:spacing w:before="300" w:after="200"/>
      </w:pPr>
      <w:bookmarkStart w:id="26" w:name="_Toc225019093"/>
      <w:r>
        <w:lastRenderedPageBreak/>
        <w:t>7. Confidence Interval Methodology</w:t>
      </w:r>
      <w:bookmarkEnd w:id="26"/>
    </w:p>
    <w:p w14:paraId="53A9CCF2" w14:textId="77777777" w:rsidR="007F5F34" w:rsidRDefault="00B73F7C">
      <w:pPr>
        <w:pStyle w:val="Heading2"/>
        <w:spacing w:before="300" w:after="200"/>
      </w:pPr>
      <w:bookmarkStart w:id="27" w:name="_Toc225019094"/>
      <w:r>
        <w:t>7.1 Binomial CI with Vintage × Term-Point Scaling</w:t>
      </w:r>
      <w:bookmarkEnd w:id="27"/>
    </w:p>
    <w:p w14:paraId="53A9CCF3" w14:textId="77777777" w:rsidR="007F5F34" w:rsidRDefault="00B73F7C">
      <w:pPr>
        <w:spacing w:after="160" w:line="276" w:lineRule="auto"/>
      </w:pPr>
      <w:r>
        <w:t xml:space="preserve">The confidence intervals use a binomial-inspired scaling approach that accounts for both the hindsight available for each vintage and the number of observations at each TID point. This produces a unique CI bound for every (vintage, TID) cell in the </w:t>
      </w:r>
      <w:proofErr w:type="spellStart"/>
      <w:r>
        <w:t>backtest</w:t>
      </w:r>
      <w:proofErr w:type="spellEnd"/>
      <w:r>
        <w:t xml:space="preserve"> matrix.</w:t>
      </w:r>
    </w:p>
    <w:p w14:paraId="53A9CCF4" w14:textId="77777777" w:rsidR="007F5F34" w:rsidRDefault="00B73F7C">
      <w:pPr>
        <w:pStyle w:val="Heading2"/>
        <w:spacing w:before="300" w:after="200"/>
      </w:pPr>
      <w:bookmarkStart w:id="28" w:name="_Toc225019095"/>
      <w:r>
        <w:t>7.2 Formula</w:t>
      </w:r>
      <w:bookmarkEnd w:id="28"/>
    </w:p>
    <w:p w14:paraId="53A9CCF5" w14:textId="77777777" w:rsidR="007F5F34" w:rsidRDefault="00B73F7C">
      <w:pPr>
        <w:spacing w:after="160" w:line="276" w:lineRule="auto"/>
      </w:pPr>
      <w:r>
        <w:t>For vintage i and TID t:</w:t>
      </w:r>
    </w:p>
    <w:p w14:paraId="53A9CCF6" w14:textId="77777777" w:rsidR="007F5F34" w:rsidRDefault="00B73F7C">
      <w:pPr>
        <w:spacing w:before="120" w:after="120"/>
        <w:ind w:left="720"/>
      </w:pPr>
      <w:r>
        <w:rPr>
          <w:rFonts w:ascii="Consolas" w:eastAsia="Consolas" w:hAnsi="Consolas" w:cs="Consolas"/>
          <w:i/>
          <w:iCs/>
          <w:sz w:val="20"/>
          <w:szCs w:val="20"/>
        </w:rPr>
        <w:t>Scale(i, t) = z × StdDev[t] × √(</w:t>
      </w:r>
      <w:proofErr w:type="spellStart"/>
      <w:r>
        <w:rPr>
          <w:rFonts w:ascii="Consolas" w:eastAsia="Consolas" w:hAnsi="Consolas" w:cs="Consolas"/>
          <w:i/>
          <w:iCs/>
          <w:sz w:val="20"/>
          <w:szCs w:val="20"/>
        </w:rPr>
        <w:t>H_i</w:t>
      </w:r>
      <w:proofErr w:type="spellEnd"/>
      <w:r>
        <w:rPr>
          <w:rFonts w:ascii="Consolas" w:eastAsia="Consolas" w:hAnsi="Consolas" w:cs="Consolas"/>
          <w:i/>
          <w:iCs/>
          <w:sz w:val="20"/>
          <w:szCs w:val="20"/>
        </w:rPr>
        <w:t xml:space="preserve"> / </w:t>
      </w:r>
      <w:proofErr w:type="spellStart"/>
      <w:r>
        <w:rPr>
          <w:rFonts w:ascii="Consolas" w:eastAsia="Consolas" w:hAnsi="Consolas" w:cs="Consolas"/>
          <w:i/>
          <w:iCs/>
          <w:sz w:val="20"/>
          <w:szCs w:val="20"/>
        </w:rPr>
        <w:t>t_d</w:t>
      </w:r>
      <w:proofErr w:type="spellEnd"/>
      <w:r>
        <w:rPr>
          <w:rFonts w:ascii="Consolas" w:eastAsia="Consolas" w:hAnsi="Consolas" w:cs="Consolas"/>
          <w:i/>
          <w:iCs/>
          <w:sz w:val="20"/>
          <w:szCs w:val="20"/>
        </w:rPr>
        <w:t>)</w:t>
      </w:r>
    </w:p>
    <w:p w14:paraId="53A9CCF7" w14:textId="77777777" w:rsidR="007F5F34" w:rsidRDefault="00B73F7C">
      <w:pPr>
        <w:spacing w:before="120" w:after="120"/>
        <w:ind w:left="720"/>
      </w:pPr>
      <w:r>
        <w:rPr>
          <w:rFonts w:ascii="Consolas" w:eastAsia="Consolas" w:hAnsi="Consolas" w:cs="Consolas"/>
          <w:i/>
          <w:iCs/>
          <w:sz w:val="20"/>
          <w:szCs w:val="20"/>
        </w:rPr>
        <w:t xml:space="preserve">Upper(i, t) = MIN(1, </w:t>
      </w:r>
      <w:proofErr w:type="spellStart"/>
      <w:r>
        <w:rPr>
          <w:rFonts w:ascii="Consolas" w:eastAsia="Consolas" w:hAnsi="Consolas" w:cs="Consolas"/>
          <w:i/>
          <w:iCs/>
          <w:sz w:val="20"/>
          <w:szCs w:val="20"/>
        </w:rPr>
        <w:t>Forecast_oldest</w:t>
      </w:r>
      <w:proofErr w:type="spellEnd"/>
      <w:r>
        <w:rPr>
          <w:rFonts w:ascii="Consolas" w:eastAsia="Consolas" w:hAnsi="Consolas" w:cs="Consolas"/>
          <w:i/>
          <w:iCs/>
          <w:sz w:val="20"/>
          <w:szCs w:val="20"/>
        </w:rPr>
        <w:t>[t] + Scale(i, t))</w:t>
      </w:r>
    </w:p>
    <w:p w14:paraId="53A9CCF8" w14:textId="77777777" w:rsidR="007F5F34" w:rsidRDefault="00B73F7C">
      <w:pPr>
        <w:spacing w:before="120" w:after="120"/>
        <w:ind w:left="720"/>
      </w:pPr>
      <w:r>
        <w:rPr>
          <w:rFonts w:ascii="Consolas" w:eastAsia="Consolas" w:hAnsi="Consolas" w:cs="Consolas"/>
          <w:i/>
          <w:iCs/>
          <w:sz w:val="20"/>
          <w:szCs w:val="20"/>
        </w:rPr>
        <w:t xml:space="preserve">Lower(i, t) = MAX(0, </w:t>
      </w:r>
      <w:proofErr w:type="spellStart"/>
      <w:r>
        <w:rPr>
          <w:rFonts w:ascii="Consolas" w:eastAsia="Consolas" w:hAnsi="Consolas" w:cs="Consolas"/>
          <w:i/>
          <w:iCs/>
          <w:sz w:val="20"/>
          <w:szCs w:val="20"/>
        </w:rPr>
        <w:t>Forecast_oldest</w:t>
      </w:r>
      <w:proofErr w:type="spellEnd"/>
      <w:r>
        <w:rPr>
          <w:rFonts w:ascii="Consolas" w:eastAsia="Consolas" w:hAnsi="Consolas" w:cs="Consolas"/>
          <w:i/>
          <w:iCs/>
          <w:sz w:val="20"/>
          <w:szCs w:val="20"/>
        </w:rPr>
        <w:t>[t] – Scale(i, t))</w:t>
      </w:r>
    </w:p>
    <w:p w14:paraId="53A9CCF9" w14:textId="77777777" w:rsidR="007F5F34" w:rsidRDefault="00B73F7C">
      <w:pPr>
        <w:spacing w:after="160" w:line="276" w:lineRule="auto"/>
      </w:pPr>
      <w:r>
        <w:t>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7F5F34" w14:paraId="53A9CCFC"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CFA" w14:textId="77777777" w:rsidR="007F5F34" w:rsidRDefault="00B73F7C">
            <w:pPr>
              <w:jc w:val="center"/>
            </w:pPr>
            <w:r>
              <w:rPr>
                <w:b/>
                <w:bCs/>
                <w:color w:val="FFFFFF"/>
                <w:sz w:val="18"/>
                <w:szCs w:val="18"/>
              </w:rPr>
              <w:t>Symbol</w:t>
            </w:r>
          </w:p>
        </w:tc>
        <w:tc>
          <w:tcPr>
            <w:tcW w:w="702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CFB" w14:textId="77777777" w:rsidR="007F5F34" w:rsidRDefault="00B73F7C">
            <w:pPr>
              <w:jc w:val="center"/>
            </w:pPr>
            <w:r>
              <w:rPr>
                <w:b/>
                <w:bCs/>
                <w:color w:val="FFFFFF"/>
                <w:sz w:val="18"/>
                <w:szCs w:val="18"/>
              </w:rPr>
              <w:t>Definition</w:t>
            </w:r>
          </w:p>
        </w:tc>
      </w:tr>
      <w:tr w:rsidR="007F5F34" w14:paraId="53A9CCFF"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FD" w14:textId="77777777" w:rsidR="007F5F34" w:rsidRDefault="00B73F7C">
            <w:r>
              <w:rPr>
                <w:sz w:val="18"/>
                <w:szCs w:val="18"/>
              </w:rPr>
              <w:t>z</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CFE" w14:textId="77777777" w:rsidR="007F5F34" w:rsidRDefault="00B73F7C">
            <w:r>
              <w:rPr>
                <w:sz w:val="18"/>
                <w:szCs w:val="18"/>
              </w:rPr>
              <w:t>NORMSINV(</w:t>
            </w:r>
            <w:proofErr w:type="spellStart"/>
            <w:r>
              <w:rPr>
                <w:sz w:val="18"/>
                <w:szCs w:val="18"/>
              </w:rPr>
              <w:t>ci_percentile</w:t>
            </w:r>
            <w:proofErr w:type="spellEnd"/>
            <w:r>
              <w:rPr>
                <w:sz w:val="18"/>
                <w:szCs w:val="18"/>
              </w:rPr>
              <w:t>); e.g. 0.75 → z ≈ 0.6745</w:t>
            </w:r>
          </w:p>
        </w:tc>
      </w:tr>
      <w:tr w:rsidR="007F5F34" w14:paraId="53A9CD02"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00" w14:textId="77777777" w:rsidR="007F5F34" w:rsidRDefault="00B73F7C">
            <w:r>
              <w:rPr>
                <w:sz w:val="18"/>
                <w:szCs w:val="18"/>
              </w:rPr>
              <w:t>StdDev[t]</w:t>
            </w:r>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01" w14:textId="77777777" w:rsidR="007F5F34" w:rsidRDefault="00B73F7C">
            <w:r>
              <w:rPr>
                <w:sz w:val="18"/>
                <w:szCs w:val="18"/>
              </w:rPr>
              <w:t>Column standard deviation (</w:t>
            </w:r>
            <w:proofErr w:type="spellStart"/>
            <w:r>
              <w:rPr>
                <w:sz w:val="18"/>
                <w:szCs w:val="18"/>
              </w:rPr>
              <w:t>ddof</w:t>
            </w:r>
            <w:proofErr w:type="spellEnd"/>
            <w:r>
              <w:rPr>
                <w:sz w:val="18"/>
                <w:szCs w:val="18"/>
              </w:rPr>
              <w:t>=1) of forecast LGD across all vintages at TID t</w:t>
            </w:r>
          </w:p>
        </w:tc>
      </w:tr>
      <w:tr w:rsidR="007F5F34" w14:paraId="53A9CD05"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03" w14:textId="77777777" w:rsidR="007F5F34" w:rsidRDefault="00B73F7C">
            <w:proofErr w:type="spellStart"/>
            <w:r>
              <w:rPr>
                <w:sz w:val="18"/>
                <w:szCs w:val="18"/>
              </w:rPr>
              <w:t>H_i</w:t>
            </w:r>
            <w:proofErr w:type="spellEnd"/>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04" w14:textId="77777777" w:rsidR="007F5F34" w:rsidRDefault="00B73F7C">
            <w:r>
              <w:rPr>
                <w:sz w:val="18"/>
                <w:szCs w:val="18"/>
              </w:rPr>
              <w:t xml:space="preserve">Hindsight for vintage i: H = i + 1 (1 for oldest, </w:t>
            </w:r>
            <w:proofErr w:type="spellStart"/>
            <w:r>
              <w:rPr>
                <w:sz w:val="18"/>
                <w:szCs w:val="18"/>
              </w:rPr>
              <w:t>n_v</w:t>
            </w:r>
            <w:proofErr w:type="spellEnd"/>
            <w:r>
              <w:rPr>
                <w:sz w:val="18"/>
                <w:szCs w:val="18"/>
              </w:rPr>
              <w:t>–1 for newest)</w:t>
            </w:r>
          </w:p>
        </w:tc>
      </w:tr>
      <w:tr w:rsidR="007F5F34" w14:paraId="53A9CD08"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06" w14:textId="77777777" w:rsidR="007F5F34" w:rsidRDefault="00B73F7C">
            <w:proofErr w:type="spellStart"/>
            <w:r>
              <w:rPr>
                <w:sz w:val="18"/>
                <w:szCs w:val="18"/>
              </w:rPr>
              <w:t>t_d</w:t>
            </w:r>
            <w:proofErr w:type="spellEnd"/>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07" w14:textId="77777777" w:rsidR="007F5F34" w:rsidRDefault="00B73F7C">
            <w:r>
              <w:rPr>
                <w:sz w:val="18"/>
                <w:szCs w:val="18"/>
              </w:rPr>
              <w:t xml:space="preserve">TID denominator: MIN(t, </w:t>
            </w:r>
            <w:proofErr w:type="spellStart"/>
            <w:r>
              <w:rPr>
                <w:sz w:val="18"/>
                <w:szCs w:val="18"/>
              </w:rPr>
              <w:t>n_v</w:t>
            </w:r>
            <w:proofErr w:type="spellEnd"/>
            <w:r>
              <w:rPr>
                <w:sz w:val="18"/>
                <w:szCs w:val="18"/>
              </w:rPr>
              <w:t xml:space="preserve"> – 1), 1-indexed; TID 0 has no CI</w:t>
            </w:r>
          </w:p>
        </w:tc>
      </w:tr>
      <w:tr w:rsidR="007F5F34" w14:paraId="53A9CD0B"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09" w14:textId="77777777" w:rsidR="007F5F34" w:rsidRDefault="00B73F7C">
            <w:proofErr w:type="spellStart"/>
            <w:r>
              <w:rPr>
                <w:sz w:val="18"/>
                <w:szCs w:val="18"/>
              </w:rPr>
              <w:t>Forecast_oldest</w:t>
            </w:r>
            <w:proofErr w:type="spellEnd"/>
          </w:p>
        </w:tc>
        <w:tc>
          <w:tcPr>
            <w:tcW w:w="70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0A" w14:textId="77777777" w:rsidR="007F5F34" w:rsidRDefault="00B73F7C">
            <w:r>
              <w:rPr>
                <w:sz w:val="18"/>
                <w:szCs w:val="18"/>
              </w:rPr>
              <w:t xml:space="preserve">forecast[0, :] — the oldest vintage’s LGD term structure (CI </w:t>
            </w:r>
            <w:proofErr w:type="spellStart"/>
            <w:r>
              <w:rPr>
                <w:sz w:val="18"/>
                <w:szCs w:val="18"/>
              </w:rPr>
              <w:t>centre</w:t>
            </w:r>
            <w:proofErr w:type="spellEnd"/>
            <w:r>
              <w:rPr>
                <w:sz w:val="18"/>
                <w:szCs w:val="18"/>
              </w:rPr>
              <w:t>)</w:t>
            </w:r>
          </w:p>
        </w:tc>
      </w:tr>
    </w:tbl>
    <w:p w14:paraId="53A9CD0C" w14:textId="77777777" w:rsidR="007F5F34" w:rsidRDefault="007F5F34">
      <w:pPr>
        <w:spacing w:after="160" w:line="276" w:lineRule="auto"/>
      </w:pPr>
    </w:p>
    <w:p w14:paraId="53A9CD0D" w14:textId="77777777" w:rsidR="007F5F34" w:rsidRDefault="00B73F7C">
      <w:pPr>
        <w:pStyle w:val="Heading2"/>
        <w:spacing w:before="300" w:after="200"/>
      </w:pPr>
      <w:bookmarkStart w:id="29" w:name="_Toc225019096"/>
      <w:r>
        <w:t>7.3 Key Properties</w:t>
      </w:r>
      <w:bookmarkEnd w:id="29"/>
    </w:p>
    <w:p w14:paraId="53A9CD0E" w14:textId="77777777" w:rsidR="007F5F34" w:rsidRDefault="00B73F7C">
      <w:pPr>
        <w:spacing w:after="160" w:line="276" w:lineRule="auto"/>
      </w:pPr>
      <w:r>
        <w:t>The CI methodology has several important properties that are verified in the model:</w:t>
      </w:r>
    </w:p>
    <w:p w14:paraId="53A9CD0F" w14:textId="77777777" w:rsidR="007F5F34" w:rsidRDefault="00B73F7C">
      <w:pPr>
        <w:pStyle w:val="ListParagraph"/>
        <w:numPr>
          <w:ilvl w:val="0"/>
          <w:numId w:val="2"/>
        </w:numPr>
        <w:spacing w:after="80"/>
      </w:pPr>
      <w:r>
        <w:t>Centre: The CI is symmetric around the oldest vintage’s forecast LGD, not the column mean. This is because the oldest vintage represents the model’s initial calibration.</w:t>
      </w:r>
    </w:p>
    <w:p w14:paraId="53A9CD10" w14:textId="77777777" w:rsidR="007F5F34" w:rsidRDefault="00B73F7C">
      <w:pPr>
        <w:pStyle w:val="ListParagraph"/>
        <w:numPr>
          <w:ilvl w:val="0"/>
          <w:numId w:val="2"/>
        </w:numPr>
        <w:spacing w:after="80"/>
      </w:pPr>
      <w:r>
        <w:t xml:space="preserve">Staircase pattern: Vintage i has CI from TID = </w:t>
      </w:r>
      <w:proofErr w:type="spellStart"/>
      <w:r>
        <w:t>H_i</w:t>
      </w:r>
      <w:proofErr w:type="spellEnd"/>
      <w:r>
        <w:t xml:space="preserve"> onwards. The oldest vintage (i=0) starts at TID 1; newer vintages start at progressively higher TIDs.</w:t>
      </w:r>
    </w:p>
    <w:p w14:paraId="53A9CD11" w14:textId="77777777" w:rsidR="007F5F34" w:rsidRDefault="00B73F7C">
      <w:pPr>
        <w:pStyle w:val="ListParagraph"/>
        <w:numPr>
          <w:ilvl w:val="0"/>
          <w:numId w:val="2"/>
        </w:numPr>
        <w:spacing w:after="80"/>
      </w:pPr>
      <w:r>
        <w:t>Unique values: Every (vintage, TID) cell gets a unique CI bound due to the √(H/t) scaling. The CI is not constant within columns.</w:t>
      </w:r>
    </w:p>
    <w:p w14:paraId="53A9CD12" w14:textId="77777777" w:rsidR="007F5F34" w:rsidRDefault="00B73F7C">
      <w:pPr>
        <w:pStyle w:val="ListParagraph"/>
        <w:numPr>
          <w:ilvl w:val="0"/>
          <w:numId w:val="2"/>
        </w:numPr>
        <w:spacing w:after="80"/>
      </w:pPr>
      <w:r>
        <w:t>TID 0 exclusion: No CI is computed for TID 0 (</w:t>
      </w:r>
      <w:proofErr w:type="spellStart"/>
      <w:r>
        <w:t>t_d</w:t>
      </w:r>
      <w:proofErr w:type="spellEnd"/>
      <w:r>
        <w:t xml:space="preserve"> would be zero, causing division by zero).</w:t>
      </w:r>
    </w:p>
    <w:p w14:paraId="53A9CD13" w14:textId="77777777" w:rsidR="007F5F34" w:rsidRDefault="00B73F7C">
      <w:pPr>
        <w:pStyle w:val="ListParagraph"/>
        <w:numPr>
          <w:ilvl w:val="0"/>
          <w:numId w:val="2"/>
        </w:numPr>
        <w:spacing w:after="80"/>
      </w:pPr>
      <w:r>
        <w:t>275 non-NaN CI cells (not 276): TID 0 is excluded for all vintages.</w:t>
      </w:r>
    </w:p>
    <w:p w14:paraId="53A9CD14" w14:textId="77777777" w:rsidR="007F5F34" w:rsidRDefault="00B73F7C">
      <w:pPr>
        <w:pStyle w:val="ListParagraph"/>
        <w:numPr>
          <w:ilvl w:val="0"/>
          <w:numId w:val="2"/>
        </w:numPr>
        <w:spacing w:after="160"/>
      </w:pPr>
      <w:r>
        <w:t xml:space="preserve">Configurable percentile: The </w:t>
      </w:r>
      <w:proofErr w:type="spellStart"/>
      <w:r>
        <w:t>ci_percentile</w:t>
      </w:r>
      <w:proofErr w:type="spellEnd"/>
      <w:r>
        <w:t xml:space="preserve"> parameter (default 75%) determines the z-score via the inverse normal CDF. This is exposed as a user control.</w:t>
      </w:r>
    </w:p>
    <w:p w14:paraId="53A9CD15" w14:textId="77777777" w:rsidR="007F5F34" w:rsidRDefault="00B73F7C">
      <w:pPr>
        <w:pStyle w:val="Heading2"/>
        <w:spacing w:before="300" w:after="200"/>
      </w:pPr>
      <w:bookmarkStart w:id="30" w:name="_Toc225019097"/>
      <w:r>
        <w:t>7.4 Scaling Rationale</w:t>
      </w:r>
      <w:bookmarkEnd w:id="30"/>
    </w:p>
    <w:p w14:paraId="53A9CD16" w14:textId="77777777" w:rsidR="007F5F34" w:rsidRDefault="00B73F7C">
      <w:pPr>
        <w:spacing w:after="160" w:line="276" w:lineRule="auto"/>
      </w:pPr>
      <w:r>
        <w:t xml:space="preserve">The √(H/t) scaling serves two purposes: (1) the hindsight factor H widens the CI for newer vintages that have less out-of-sample data to validate against, and (2) the TID denominator </w:t>
      </w:r>
      <w:r>
        <w:lastRenderedPageBreak/>
        <w:t xml:space="preserve">narrows the CI for higher TID points where more cross-vintage observations exist. This mimics the binomial variance structure √(p(1–p)/n) where n grows with the number of </w:t>
      </w:r>
      <w:proofErr w:type="gramStart"/>
      <w:r>
        <w:t>observations, and</w:t>
      </w:r>
      <w:proofErr w:type="gramEnd"/>
      <w:r>
        <w:t xml:space="preserve"> is analogous to the prediction error formulations in Wüthrich and Merz (2008).</w:t>
      </w:r>
    </w:p>
    <w:p w14:paraId="53A9CD17" w14:textId="77777777" w:rsidR="007F5F34" w:rsidRDefault="00B73F7C">
      <w:pPr>
        <w:spacing w:after="160" w:line="276" w:lineRule="auto"/>
      </w:pPr>
      <w:r>
        <w:t>This formula has been validated against the reference Excel workbook to machine precision (0.00 absolute difference across all 275 CI cells), using the workbook’s own standard deviation values.</w:t>
      </w:r>
    </w:p>
    <w:p w14:paraId="53A9CD18" w14:textId="77777777" w:rsidR="007F5F34" w:rsidRDefault="00B73F7C">
      <w:r>
        <w:br w:type="page"/>
      </w:r>
    </w:p>
    <w:p w14:paraId="53A9CD19" w14:textId="77777777" w:rsidR="007F5F34" w:rsidRDefault="00B73F7C">
      <w:pPr>
        <w:pStyle w:val="Heading1"/>
        <w:spacing w:before="300" w:after="200"/>
      </w:pPr>
      <w:bookmarkStart w:id="31" w:name="_Toc225019098"/>
      <w:r>
        <w:lastRenderedPageBreak/>
        <w:t>8. Statistical Tests</w:t>
      </w:r>
      <w:bookmarkEnd w:id="31"/>
    </w:p>
    <w:p w14:paraId="53A9CD1A" w14:textId="77777777" w:rsidR="007F5F34" w:rsidRDefault="00B73F7C">
      <w:pPr>
        <w:pStyle w:val="Heading2"/>
        <w:spacing w:before="300" w:after="200"/>
      </w:pPr>
      <w:bookmarkStart w:id="32" w:name="_Toc225019099"/>
      <w:r>
        <w:t>8.1 Jarque-Bera Test</w:t>
      </w:r>
      <w:bookmarkEnd w:id="32"/>
    </w:p>
    <w:p w14:paraId="53A9CD1B" w14:textId="77777777" w:rsidR="007F5F34" w:rsidRDefault="00B73F7C">
      <w:pPr>
        <w:spacing w:after="160" w:line="276" w:lineRule="auto"/>
      </w:pPr>
      <w:r>
        <w:t>The Jarque-Bera test</w:t>
      </w:r>
      <w:r>
        <w:rPr>
          <w:rStyle w:val="FootnoteReference"/>
        </w:rPr>
        <w:footnoteReference w:id="8"/>
      </w:r>
      <w:r>
        <w:t xml:space="preserve"> assesses whether the residuals follow a normal distribution by examining skewness and excess kurtosis:</w:t>
      </w:r>
    </w:p>
    <w:p w14:paraId="53A9CD1C" w14:textId="77777777" w:rsidR="007F5F34" w:rsidRDefault="00B73F7C">
      <w:pPr>
        <w:spacing w:before="120" w:after="120"/>
        <w:ind w:left="720"/>
      </w:pPr>
      <w:r>
        <w:rPr>
          <w:rFonts w:ascii="Consolas" w:eastAsia="Consolas" w:hAnsi="Consolas" w:cs="Consolas"/>
          <w:i/>
          <w:iCs/>
          <w:sz w:val="20"/>
          <w:szCs w:val="20"/>
        </w:rPr>
        <w:t>JB = (n/6) × (S² + K²/4)</w:t>
      </w:r>
    </w:p>
    <w:p w14:paraId="53A9CD1D" w14:textId="77777777" w:rsidR="007F5F34" w:rsidRDefault="00B73F7C">
      <w:pPr>
        <w:spacing w:after="160" w:line="276" w:lineRule="auto"/>
      </w:pPr>
      <w:r>
        <w:t>where S is skewness and K is excess kurtosis. Under the null hypothesis of normality, JB follows a chi-squared distribution with 2 degrees of freedom. At the 5% significance level, the critical value is 5.991.</w:t>
      </w:r>
    </w:p>
    <w:p w14:paraId="53A9CD1E" w14:textId="77777777" w:rsidR="007F5F34" w:rsidRDefault="00B73F7C">
      <w:pPr>
        <w:pStyle w:val="Heading2"/>
        <w:spacing w:before="300" w:after="200"/>
      </w:pPr>
      <w:bookmarkStart w:id="33" w:name="_Toc225019100"/>
      <w:r>
        <w:t>8.2 Chi-Square Goodness of Fit</w:t>
      </w:r>
      <w:bookmarkEnd w:id="33"/>
    </w:p>
    <w:p w14:paraId="53A9CD1F" w14:textId="77777777" w:rsidR="007F5F34" w:rsidRDefault="00B73F7C">
      <w:pPr>
        <w:spacing w:after="160" w:line="276" w:lineRule="auto"/>
      </w:pPr>
      <w:r>
        <w:t xml:space="preserve">A chi-square goodness-of-fit test is also applied. The residual range [μ–3σ, μ+3σ] is divided into 12 equal-width bins, with the first and last bins extended to ±∞. Bins with expected frequency less than 5 are merged with adjacent bins. The degrees of freedom are df = </w:t>
      </w:r>
      <w:proofErr w:type="spellStart"/>
      <w:r>
        <w:t>valid_bins</w:t>
      </w:r>
      <w:proofErr w:type="spellEnd"/>
      <w:r>
        <w:t xml:space="preserve"> – 3 (accounting for estimation of mean and standard deviation).</w:t>
      </w:r>
    </w:p>
    <w:p w14:paraId="53A9CD20" w14:textId="77777777" w:rsidR="007F5F34" w:rsidRDefault="00B73F7C">
      <w:pPr>
        <w:pStyle w:val="Heading2"/>
        <w:spacing w:before="300" w:after="200"/>
      </w:pPr>
      <w:bookmarkStart w:id="34" w:name="_Toc225019101"/>
      <w:r>
        <w:t>8.3 Interpretation</w:t>
      </w:r>
      <w:bookmarkEnd w:id="34"/>
    </w:p>
    <w:p w14:paraId="53A9CD21" w14:textId="77777777" w:rsidR="007F5F34" w:rsidRDefault="00B73F7C">
      <w:pPr>
        <w:spacing w:after="160" w:line="276" w:lineRule="auto"/>
      </w:pPr>
      <w:r>
        <w:t>For this portfolio, both tests reject normality at the 5% level. This is expected for credit risk residuals, which typically exhibit fat tails and positive skewness due to the bounded nature of LGD (between 0 and 1) and the concentration of losses. The non-normality finding supports the use of binomial-scaled confidence intervals rather than purely normal-theory intervals.</w:t>
      </w:r>
    </w:p>
    <w:p w14:paraId="53A9CD22" w14:textId="77777777" w:rsidR="007F5F34" w:rsidRDefault="00B73F7C">
      <w:r>
        <w:br w:type="page"/>
      </w:r>
    </w:p>
    <w:p w14:paraId="53A9CD23" w14:textId="77777777" w:rsidR="007F5F34" w:rsidRDefault="00B73F7C">
      <w:pPr>
        <w:pStyle w:val="Heading1"/>
        <w:spacing w:before="300" w:after="200"/>
      </w:pPr>
      <w:bookmarkStart w:id="35" w:name="_Toc225019102"/>
      <w:r>
        <w:lastRenderedPageBreak/>
        <w:t>9. Multi-Scenario Window Size Analysis</w:t>
      </w:r>
      <w:bookmarkEnd w:id="35"/>
    </w:p>
    <w:p w14:paraId="53A9CD24" w14:textId="77777777" w:rsidR="007F5F34" w:rsidRDefault="00B73F7C">
      <w:pPr>
        <w:pStyle w:val="Heading2"/>
        <w:spacing w:before="300" w:after="200"/>
      </w:pPr>
      <w:bookmarkStart w:id="36" w:name="_Toc225019103"/>
      <w:r>
        <w:t>9.1 Composite Scoring</w:t>
      </w:r>
      <w:bookmarkEnd w:id="36"/>
    </w:p>
    <w:p w14:paraId="53A9CD25" w14:textId="77777777" w:rsidR="007F5F34" w:rsidRDefault="00B73F7C">
      <w:pPr>
        <w:spacing w:after="160" w:line="276" w:lineRule="auto"/>
      </w:pPr>
      <w:r>
        <w:t>Each window size is evaluated using a composite score that balances multiple objectives:</w:t>
      </w:r>
    </w:p>
    <w:p w14:paraId="53A9CD26" w14:textId="77777777" w:rsidR="007F5F34" w:rsidRDefault="00B73F7C">
      <w:pPr>
        <w:spacing w:before="120" w:after="120"/>
        <w:ind w:left="720"/>
      </w:pPr>
      <w:r>
        <w:rPr>
          <w:rFonts w:ascii="Consolas" w:eastAsia="Consolas" w:hAnsi="Consolas" w:cs="Consolas"/>
          <w:i/>
          <w:iCs/>
          <w:sz w:val="20"/>
          <w:szCs w:val="20"/>
        </w:rPr>
        <w:t xml:space="preserve">Score = 0.20 × |Bias| / MAE  +  0.35 × RMSE  +  0.25 × MAE  +  0.20 × </w:t>
      </w:r>
      <w:proofErr w:type="spellStart"/>
      <w:r>
        <w:rPr>
          <w:rFonts w:ascii="Consolas" w:eastAsia="Consolas" w:hAnsi="Consolas" w:cs="Consolas"/>
          <w:i/>
          <w:iCs/>
          <w:sz w:val="20"/>
          <w:szCs w:val="20"/>
        </w:rPr>
        <w:t>MaxErr</w:t>
      </w:r>
      <w:proofErr w:type="spellEnd"/>
      <w:r>
        <w:rPr>
          <w:rFonts w:ascii="Consolas" w:eastAsia="Consolas" w:hAnsi="Consolas" w:cs="Consolas"/>
          <w:i/>
          <w:iCs/>
          <w:sz w:val="20"/>
          <w:szCs w:val="20"/>
        </w:rPr>
        <w:t xml:space="preserve"> / </w:t>
      </w:r>
      <w:proofErr w:type="spellStart"/>
      <w:r>
        <w:rPr>
          <w:rFonts w:ascii="Consolas" w:eastAsia="Consolas" w:hAnsi="Consolas" w:cs="Consolas"/>
          <w:i/>
          <w:iCs/>
          <w:sz w:val="20"/>
          <w:szCs w:val="20"/>
        </w:rPr>
        <w:t>StdErr</w:t>
      </w:r>
      <w:proofErr w:type="spellEnd"/>
    </w:p>
    <w:p w14:paraId="53A9CD27" w14:textId="77777777" w:rsidR="007F5F34" w:rsidRDefault="00B73F7C">
      <w:pPr>
        <w:spacing w:after="160" w:line="276" w:lineRule="auto"/>
      </w:pPr>
      <w:r>
        <w:t>This weighting reflects the relative importance of unbiasedness (20%), precision (35%), average accuracy (25%), and tail behaviour (20%). The composite score is unit-free and lower values indicate better performance.</w:t>
      </w:r>
    </w:p>
    <w:p w14:paraId="53A9CD28" w14:textId="77777777" w:rsidR="007F5F34" w:rsidRDefault="00B73F7C">
      <w:pPr>
        <w:pStyle w:val="Heading2"/>
        <w:spacing w:before="300" w:after="200"/>
      </w:pPr>
      <w:bookmarkStart w:id="37" w:name="_Toc225019104"/>
      <w:r>
        <w:t>9.2 AIC Proxy</w:t>
      </w:r>
      <w:bookmarkEnd w:id="37"/>
    </w:p>
    <w:p w14:paraId="53A9CD29" w14:textId="77777777" w:rsidR="007F5F34" w:rsidRDefault="00B73F7C">
      <w:pPr>
        <w:spacing w:after="160" w:line="276" w:lineRule="auto"/>
      </w:pPr>
      <w:r>
        <w:t>An Akaike Information Criterion proxy provides a complementary model selection metric:</w:t>
      </w:r>
    </w:p>
    <w:p w14:paraId="53A9CD2A" w14:textId="77777777" w:rsidR="007F5F34" w:rsidRDefault="00B73F7C">
      <w:pPr>
        <w:spacing w:before="120" w:after="120"/>
        <w:ind w:left="720"/>
      </w:pPr>
      <w:r>
        <w:rPr>
          <w:rFonts w:ascii="Consolas" w:eastAsia="Consolas" w:hAnsi="Consolas" w:cs="Consolas"/>
          <w:i/>
          <w:iCs/>
          <w:sz w:val="20"/>
          <w:szCs w:val="20"/>
        </w:rPr>
        <w:t>AIC = n × log(SSE / n) + 2k</w:t>
      </w:r>
    </w:p>
    <w:p w14:paraId="53A9CD2B" w14:textId="77777777" w:rsidR="007F5F34" w:rsidRDefault="00B73F7C">
      <w:pPr>
        <w:spacing w:after="160" w:line="276" w:lineRule="auto"/>
      </w:pPr>
      <w:r>
        <w:t xml:space="preserve">where n is the number of residuals, SSE is the sum of squared errors, and k is the window size. This </w:t>
      </w:r>
      <w:proofErr w:type="spellStart"/>
      <w:r>
        <w:t>penalises</w:t>
      </w:r>
      <w:proofErr w:type="spellEnd"/>
      <w:r>
        <w:t xml:space="preserve"> model complexity (larger windows) while rewarding fit, in line with standard information-theoretic model selection.</w:t>
      </w:r>
    </w:p>
    <w:p w14:paraId="53A9CD2C" w14:textId="77777777" w:rsidR="007F5F34" w:rsidRDefault="00B73F7C">
      <w:pPr>
        <w:pStyle w:val="Heading2"/>
        <w:spacing w:before="300" w:after="200"/>
      </w:pPr>
      <w:bookmarkStart w:id="38" w:name="_Toc225019105"/>
      <w:r>
        <w:t>9.3 Results Summary</w:t>
      </w:r>
      <w:bookmarkEnd w:id="38"/>
    </w:p>
    <w:p w14:paraId="53A9CD2D" w14:textId="77777777" w:rsidR="007F5F34" w:rsidRDefault="00B73F7C">
      <w:pPr>
        <w:spacing w:after="160" w:line="276" w:lineRule="auto"/>
      </w:pPr>
      <w:r>
        <w:t xml:space="preserve">The following table </w:t>
      </w:r>
      <w:proofErr w:type="spellStart"/>
      <w:r>
        <w:t>summarises</w:t>
      </w:r>
      <w:proofErr w:type="spellEnd"/>
      <w:r>
        <w:t xml:space="preserve"> the </w:t>
      </w:r>
      <w:proofErr w:type="spellStart"/>
      <w:r>
        <w:t>backtest</w:t>
      </w:r>
      <w:proofErr w:type="spellEnd"/>
      <w:r>
        <w:t xml:space="preserve"> performance across all evaluated window sizes, sorted by composite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1"/>
        <w:gridCol w:w="1314"/>
        <w:gridCol w:w="1314"/>
        <w:gridCol w:w="1314"/>
        <w:gridCol w:w="1314"/>
        <w:gridCol w:w="1314"/>
        <w:gridCol w:w="1779"/>
      </w:tblGrid>
      <w:tr w:rsidR="007F5F34" w14:paraId="53A9CD35"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2E" w14:textId="77777777" w:rsidR="007F5F34" w:rsidRDefault="00B73F7C">
            <w:pPr>
              <w:jc w:val="center"/>
            </w:pPr>
            <w:r>
              <w:rPr>
                <w:b/>
                <w:bCs/>
                <w:color w:val="FFFFFF"/>
                <w:sz w:val="18"/>
                <w:szCs w:val="18"/>
              </w:rPr>
              <w:t>Rank</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2F" w14:textId="77777777" w:rsidR="007F5F34" w:rsidRDefault="00B73F7C">
            <w:pPr>
              <w:jc w:val="center"/>
            </w:pPr>
            <w:r>
              <w:rPr>
                <w:b/>
                <w:bCs/>
                <w:color w:val="FFFFFF"/>
                <w:sz w:val="18"/>
                <w:szCs w:val="18"/>
              </w:rPr>
              <w:t>Window</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30" w14:textId="77777777" w:rsidR="007F5F34" w:rsidRDefault="00B73F7C">
            <w:pPr>
              <w:jc w:val="center"/>
            </w:pPr>
            <w:r>
              <w:rPr>
                <w:b/>
                <w:bCs/>
                <w:color w:val="FFFFFF"/>
                <w:sz w:val="18"/>
                <w:szCs w:val="18"/>
              </w:rPr>
              <w:t>RMSE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31" w14:textId="77777777" w:rsidR="007F5F34" w:rsidRDefault="00B73F7C">
            <w:pPr>
              <w:jc w:val="center"/>
            </w:pPr>
            <w:r>
              <w:rPr>
                <w:b/>
                <w:bCs/>
                <w:color w:val="FFFFFF"/>
                <w:sz w:val="18"/>
                <w:szCs w:val="18"/>
              </w:rPr>
              <w:t>MAE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32" w14:textId="77777777" w:rsidR="007F5F34" w:rsidRDefault="00B73F7C">
            <w:pPr>
              <w:jc w:val="center"/>
            </w:pPr>
            <w:r>
              <w:rPr>
                <w:b/>
                <w:bCs/>
                <w:color w:val="FFFFFF"/>
                <w:sz w:val="18"/>
                <w:szCs w:val="18"/>
              </w:rPr>
              <w:t>Bias</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33" w14:textId="77777777" w:rsidR="007F5F34" w:rsidRDefault="00B73F7C">
            <w:pPr>
              <w:jc w:val="center"/>
            </w:pPr>
            <w:proofErr w:type="spellStart"/>
            <w:r>
              <w:rPr>
                <w:b/>
                <w:bCs/>
                <w:color w:val="FFFFFF"/>
                <w:sz w:val="18"/>
                <w:szCs w:val="18"/>
              </w:rPr>
              <w:t>Max|Err</w:t>
            </w:r>
            <w:proofErr w:type="spellEnd"/>
            <w:r>
              <w:rPr>
                <w:b/>
                <w:bCs/>
                <w:color w:val="FFFFFF"/>
                <w:sz w:val="18"/>
                <w:szCs w:val="18"/>
              </w:rPr>
              <w:t>|</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34" w14:textId="77777777" w:rsidR="007F5F34" w:rsidRDefault="00B73F7C">
            <w:pPr>
              <w:jc w:val="center"/>
            </w:pPr>
            <w:r>
              <w:rPr>
                <w:b/>
                <w:bCs/>
                <w:color w:val="FFFFFF"/>
                <w:sz w:val="18"/>
                <w:szCs w:val="18"/>
              </w:rPr>
              <w:t>Score</w:t>
            </w:r>
          </w:p>
        </w:tc>
      </w:tr>
      <w:tr w:rsidR="007F5F34" w14:paraId="53A9CD3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36" w14:textId="77777777" w:rsidR="007F5F34" w:rsidRDefault="00B73F7C">
            <w:r>
              <w:rPr>
                <w:sz w:val="18"/>
                <w:szCs w:val="18"/>
              </w:rPr>
              <w:t>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37" w14:textId="77777777" w:rsidR="007F5F34" w:rsidRDefault="00B73F7C">
            <w:r>
              <w:rPr>
                <w:sz w:val="18"/>
                <w:szCs w:val="18"/>
              </w:rPr>
              <w:t>12m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38" w14:textId="77777777" w:rsidR="007F5F34" w:rsidRDefault="00B73F7C">
            <w:r>
              <w:rPr>
                <w:sz w:val="18"/>
                <w:szCs w:val="18"/>
              </w:rPr>
              <w:t>0.0152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39" w14:textId="77777777" w:rsidR="007F5F34" w:rsidRDefault="00B73F7C">
            <w:r>
              <w:rPr>
                <w:sz w:val="18"/>
                <w:szCs w:val="18"/>
              </w:rPr>
              <w:t>0.0049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3A" w14:textId="77777777" w:rsidR="007F5F34" w:rsidRDefault="00B73F7C">
            <w:r>
              <w:rPr>
                <w:sz w:val="18"/>
                <w:szCs w:val="18"/>
              </w:rPr>
              <w:t>+0.0017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3B" w14:textId="77777777" w:rsidR="007F5F34" w:rsidRDefault="00B73F7C">
            <w:r>
              <w:rPr>
                <w:sz w:val="18"/>
                <w:szCs w:val="18"/>
              </w:rPr>
              <w:t>0.1143</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3C" w14:textId="77777777" w:rsidR="007F5F34" w:rsidRDefault="00B73F7C">
            <w:r>
              <w:rPr>
                <w:sz w:val="18"/>
                <w:szCs w:val="18"/>
              </w:rPr>
              <w:t>0.3553</w:t>
            </w:r>
          </w:p>
        </w:tc>
      </w:tr>
      <w:tr w:rsidR="007F5F34" w14:paraId="53A9CD4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3E" w14:textId="77777777" w:rsidR="007F5F34" w:rsidRDefault="00B73F7C">
            <w:r>
              <w:rPr>
                <w:sz w:val="18"/>
                <w:szCs w:val="18"/>
              </w:rPr>
              <w:t>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3F" w14:textId="77777777" w:rsidR="007F5F34" w:rsidRDefault="00B73F7C">
            <w:r>
              <w:rPr>
                <w:sz w:val="18"/>
                <w:szCs w:val="18"/>
              </w:rPr>
              <w:t>24m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0" w14:textId="77777777" w:rsidR="007F5F34" w:rsidRDefault="00B73F7C">
            <w:r>
              <w:rPr>
                <w:sz w:val="18"/>
                <w:szCs w:val="18"/>
              </w:rPr>
              <w:t>0.0214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1" w14:textId="77777777" w:rsidR="007F5F34" w:rsidRDefault="00B73F7C">
            <w:r>
              <w:rPr>
                <w:sz w:val="18"/>
                <w:szCs w:val="18"/>
              </w:rPr>
              <w:t>0.0132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2" w14:textId="77777777" w:rsidR="007F5F34" w:rsidRDefault="00B73F7C">
            <w:r>
              <w:rPr>
                <w:sz w:val="18"/>
                <w:szCs w:val="18"/>
              </w:rPr>
              <w:t>+0.0020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3" w14:textId="77777777" w:rsidR="007F5F34" w:rsidRDefault="00B73F7C">
            <w:r>
              <w:rPr>
                <w:sz w:val="18"/>
                <w:szCs w:val="18"/>
              </w:rPr>
              <w:t>0.1204</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4" w14:textId="77777777" w:rsidR="007F5F34" w:rsidRDefault="00B73F7C">
            <w:r>
              <w:rPr>
                <w:sz w:val="18"/>
                <w:szCs w:val="18"/>
              </w:rPr>
              <w:t>0.4984</w:t>
            </w:r>
          </w:p>
        </w:tc>
      </w:tr>
      <w:tr w:rsidR="007F5F34" w14:paraId="53A9CD4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6" w14:textId="77777777" w:rsidR="007F5F34" w:rsidRDefault="00B73F7C">
            <w:r>
              <w:rPr>
                <w:sz w:val="18"/>
                <w:szCs w:val="18"/>
              </w:rPr>
              <w:t>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7" w14:textId="77777777" w:rsidR="007F5F34" w:rsidRDefault="00B73F7C">
            <w:r>
              <w:rPr>
                <w:sz w:val="18"/>
                <w:szCs w:val="18"/>
              </w:rPr>
              <w:t>48m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8" w14:textId="77777777" w:rsidR="007F5F34" w:rsidRDefault="00B73F7C">
            <w:r>
              <w:rPr>
                <w:sz w:val="18"/>
                <w:szCs w:val="18"/>
              </w:rPr>
              <w:t>0.0336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9" w14:textId="77777777" w:rsidR="007F5F34" w:rsidRDefault="00B73F7C">
            <w:r>
              <w:rPr>
                <w:sz w:val="18"/>
                <w:szCs w:val="18"/>
              </w:rPr>
              <w:t>0.0238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A" w14:textId="77777777" w:rsidR="007F5F34" w:rsidRDefault="00B73F7C">
            <w:r>
              <w:rPr>
                <w:sz w:val="18"/>
                <w:szCs w:val="18"/>
              </w:rPr>
              <w:t>+0.0082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B" w14:textId="77777777" w:rsidR="007F5F34" w:rsidRDefault="00B73F7C">
            <w:r>
              <w:rPr>
                <w:sz w:val="18"/>
                <w:szCs w:val="18"/>
              </w:rPr>
              <w:t>0.1312</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C" w14:textId="77777777" w:rsidR="007F5F34" w:rsidRDefault="00B73F7C">
            <w:r>
              <w:rPr>
                <w:sz w:val="18"/>
                <w:szCs w:val="18"/>
              </w:rPr>
              <w:t>0.5662</w:t>
            </w:r>
          </w:p>
        </w:tc>
      </w:tr>
      <w:tr w:rsidR="007F5F34" w14:paraId="53A9CD55"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E" w14:textId="77777777" w:rsidR="007F5F34" w:rsidRDefault="00B73F7C">
            <w:r>
              <w:rPr>
                <w:sz w:val="18"/>
                <w:szCs w:val="18"/>
              </w:rPr>
              <w:t>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4F" w14:textId="77777777" w:rsidR="007F5F34" w:rsidRDefault="00B73F7C">
            <w:r>
              <w:rPr>
                <w:sz w:val="18"/>
                <w:szCs w:val="18"/>
              </w:rPr>
              <w:t>42m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0" w14:textId="77777777" w:rsidR="007F5F34" w:rsidRDefault="00B73F7C">
            <w:r>
              <w:rPr>
                <w:sz w:val="18"/>
                <w:szCs w:val="18"/>
              </w:rPr>
              <w:t>0.0341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1" w14:textId="77777777" w:rsidR="007F5F34" w:rsidRDefault="00B73F7C">
            <w:r>
              <w:rPr>
                <w:sz w:val="18"/>
                <w:szCs w:val="18"/>
              </w:rPr>
              <w:t>0.0205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2" w14:textId="77777777" w:rsidR="007F5F34" w:rsidRDefault="00B73F7C">
            <w:r>
              <w:rPr>
                <w:sz w:val="18"/>
                <w:szCs w:val="18"/>
              </w:rPr>
              <w:t>+0.0141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3" w14:textId="77777777" w:rsidR="007F5F34" w:rsidRDefault="00B73F7C">
            <w:r>
              <w:rPr>
                <w:sz w:val="18"/>
                <w:szCs w:val="18"/>
              </w:rPr>
              <w:t>0.1422</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4" w14:textId="77777777" w:rsidR="007F5F34" w:rsidRDefault="00B73F7C">
            <w:r>
              <w:rPr>
                <w:sz w:val="18"/>
                <w:szCs w:val="18"/>
              </w:rPr>
              <w:t>0.5883</w:t>
            </w:r>
          </w:p>
        </w:tc>
      </w:tr>
      <w:tr w:rsidR="007F5F34" w14:paraId="53A9CD5D"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6" w14:textId="77777777" w:rsidR="007F5F34" w:rsidRDefault="00B73F7C">
            <w:r>
              <w:rPr>
                <w:sz w:val="18"/>
                <w:szCs w:val="18"/>
              </w:rPr>
              <w:t>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7" w14:textId="77777777" w:rsidR="007F5F34" w:rsidRDefault="00B73F7C">
            <w:r>
              <w:rPr>
                <w:sz w:val="18"/>
                <w:szCs w:val="18"/>
              </w:rPr>
              <w:t>18m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8" w14:textId="77777777" w:rsidR="007F5F34" w:rsidRDefault="00B73F7C">
            <w:r>
              <w:rPr>
                <w:sz w:val="18"/>
                <w:szCs w:val="18"/>
              </w:rPr>
              <w:t>0.0405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9" w14:textId="77777777" w:rsidR="007F5F34" w:rsidRDefault="00B73F7C">
            <w:r>
              <w:rPr>
                <w:sz w:val="18"/>
                <w:szCs w:val="18"/>
              </w:rPr>
              <w:t>0.0184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A" w14:textId="77777777" w:rsidR="007F5F34" w:rsidRDefault="00B73F7C">
            <w:r>
              <w:rPr>
                <w:sz w:val="18"/>
                <w:szCs w:val="18"/>
              </w:rPr>
              <w:t>+0.0045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B" w14:textId="77777777" w:rsidR="007F5F34" w:rsidRDefault="00B73F7C">
            <w:r>
              <w:rPr>
                <w:sz w:val="18"/>
                <w:szCs w:val="18"/>
              </w:rPr>
              <w:t>0.2614</w:t>
            </w:r>
          </w:p>
        </w:tc>
        <w:tc>
          <w:tcPr>
            <w:tcW w:w="1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5C" w14:textId="77777777" w:rsidR="007F5F34" w:rsidRDefault="00B73F7C">
            <w:r>
              <w:rPr>
                <w:sz w:val="18"/>
                <w:szCs w:val="18"/>
              </w:rPr>
              <w:t>0.6107</w:t>
            </w:r>
          </w:p>
        </w:tc>
      </w:tr>
    </w:tbl>
    <w:p w14:paraId="53A9CD5E" w14:textId="77777777" w:rsidR="007F5F34" w:rsidRDefault="007F5F34">
      <w:pPr>
        <w:spacing w:after="160" w:line="276" w:lineRule="auto"/>
      </w:pPr>
    </w:p>
    <w:p w14:paraId="53A9CD5F" w14:textId="77777777" w:rsidR="007F5F34" w:rsidRDefault="00B73F7C">
      <w:pPr>
        <w:spacing w:after="160" w:line="276" w:lineRule="auto"/>
      </w:pPr>
      <w:r>
        <w:rPr>
          <w:b/>
          <w:bCs/>
        </w:rPr>
        <w:t xml:space="preserve">Note: </w:t>
      </w:r>
      <w:r>
        <w:t>The full ranking table for all 9 window sizes is available in each per-window workbook’s Backtest Summary sheet.</w:t>
      </w:r>
    </w:p>
    <w:p w14:paraId="53A9CD60" w14:textId="77777777" w:rsidR="007F5F34" w:rsidRDefault="00B73F7C">
      <w:r>
        <w:br w:type="page"/>
      </w:r>
    </w:p>
    <w:p w14:paraId="53A9CD61" w14:textId="77777777" w:rsidR="007F5F34" w:rsidRDefault="00B73F7C">
      <w:pPr>
        <w:pStyle w:val="Heading1"/>
        <w:spacing w:before="300" w:after="200"/>
      </w:pPr>
      <w:bookmarkStart w:id="39" w:name="_Toc225019106"/>
      <w:r>
        <w:lastRenderedPageBreak/>
        <w:t>10. Validation and Quality Assurance</w:t>
      </w:r>
      <w:bookmarkEnd w:id="39"/>
    </w:p>
    <w:p w14:paraId="53A9CD62" w14:textId="77777777" w:rsidR="007F5F34" w:rsidRDefault="00B73F7C">
      <w:pPr>
        <w:pStyle w:val="Heading2"/>
        <w:spacing w:before="300" w:after="200"/>
      </w:pPr>
      <w:bookmarkStart w:id="40" w:name="_Toc225019107"/>
      <w:r>
        <w:t>10.1 Machine-Precision Validation</w:t>
      </w:r>
      <w:bookmarkEnd w:id="40"/>
    </w:p>
    <w:p w14:paraId="53A9CD63" w14:textId="77777777" w:rsidR="007F5F34" w:rsidRDefault="00B73F7C">
      <w:pPr>
        <w:spacing w:after="160" w:line="276" w:lineRule="auto"/>
      </w:pPr>
      <w:r>
        <w:t>The Python implementation has been validated against the reference Excel workbook to machine precision. For the 60-month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5F34" w14:paraId="53A9CD66"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64" w14:textId="77777777" w:rsidR="007F5F34" w:rsidRDefault="00B73F7C">
            <w:pPr>
              <w:jc w:val="center"/>
            </w:pPr>
            <w:r>
              <w:rPr>
                <w:b/>
                <w:bCs/>
                <w:color w:val="FFFFFF"/>
                <w:sz w:val="18"/>
                <w:szCs w:val="18"/>
              </w:rPr>
              <w:t>Validation Check</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65" w14:textId="77777777" w:rsidR="007F5F34" w:rsidRDefault="00B73F7C">
            <w:pPr>
              <w:jc w:val="center"/>
            </w:pPr>
            <w:r>
              <w:rPr>
                <w:b/>
                <w:bCs/>
                <w:color w:val="FFFFFF"/>
                <w:sz w:val="18"/>
                <w:szCs w:val="18"/>
              </w:rPr>
              <w:t>Result</w:t>
            </w:r>
          </w:p>
        </w:tc>
      </w:tr>
      <w:tr w:rsidR="007F5F34" w14:paraId="53A9CD69"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67" w14:textId="77777777" w:rsidR="007F5F34" w:rsidRDefault="00B73F7C">
            <w:r>
              <w:rPr>
                <w:sz w:val="18"/>
                <w:szCs w:val="18"/>
              </w:rPr>
              <w:t>LGD term structures (all 23 vintages)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68" w14:textId="77777777" w:rsidR="007F5F34" w:rsidRDefault="00B73F7C">
            <w:r>
              <w:rPr>
                <w:sz w:val="18"/>
                <w:szCs w:val="18"/>
              </w:rPr>
              <w:t>Max absolute diff: 8.88e-16</w:t>
            </w:r>
          </w:p>
        </w:tc>
      </w:tr>
      <w:tr w:rsidR="007F5F34" w14:paraId="53A9CD6C"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6A" w14:textId="77777777" w:rsidR="007F5F34" w:rsidRDefault="00B73F7C">
            <w:r>
              <w:rPr>
                <w:sz w:val="18"/>
                <w:szCs w:val="18"/>
              </w:rPr>
              <w:t>Forecast matrix (23 × 61)</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6B" w14:textId="77777777" w:rsidR="007F5F34" w:rsidRDefault="00B73F7C">
            <w:r>
              <w:rPr>
                <w:sz w:val="18"/>
                <w:szCs w:val="18"/>
              </w:rPr>
              <w:t>Exact match</w:t>
            </w:r>
          </w:p>
        </w:tc>
      </w:tr>
      <w:tr w:rsidR="007F5F34" w14:paraId="53A9CD6F"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6D" w14:textId="77777777" w:rsidR="007F5F34" w:rsidRDefault="00B73F7C">
            <w:r>
              <w:rPr>
                <w:sz w:val="18"/>
                <w:szCs w:val="18"/>
              </w:rPr>
              <w:t>Actual matrix (diagonal)</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6E" w14:textId="77777777" w:rsidR="007F5F34" w:rsidRDefault="00B73F7C">
            <w:r>
              <w:rPr>
                <w:sz w:val="18"/>
                <w:szCs w:val="18"/>
              </w:rPr>
              <w:t>Exact match</w:t>
            </w:r>
          </w:p>
        </w:tc>
      </w:tr>
      <w:tr w:rsidR="007F5F34" w14:paraId="53A9CD72"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70" w14:textId="77777777" w:rsidR="007F5F34" w:rsidRDefault="00B73F7C">
            <w:r>
              <w:rPr>
                <w:sz w:val="18"/>
                <w:szCs w:val="18"/>
              </w:rPr>
              <w:t>All 276 residuals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71" w14:textId="77777777" w:rsidR="007F5F34" w:rsidRDefault="00B73F7C">
            <w:r>
              <w:rPr>
                <w:sz w:val="18"/>
                <w:szCs w:val="18"/>
              </w:rPr>
              <w:t>Max absolute diff: 0.000000</w:t>
            </w:r>
          </w:p>
        </w:tc>
      </w:tr>
      <w:tr w:rsidR="007F5F34" w14:paraId="53A9CD75"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73" w14:textId="77777777" w:rsidR="007F5F34" w:rsidRDefault="00B73F7C">
            <w:r>
              <w:rPr>
                <w:sz w:val="18"/>
                <w:szCs w:val="18"/>
              </w:rPr>
              <w:t>Upper CI (275 cells)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74" w14:textId="77777777" w:rsidR="007F5F34" w:rsidRDefault="00B73F7C">
            <w:r>
              <w:rPr>
                <w:sz w:val="18"/>
                <w:szCs w:val="18"/>
              </w:rPr>
              <w:t>Max absolute diff: 0.00</w:t>
            </w:r>
          </w:p>
        </w:tc>
      </w:tr>
      <w:tr w:rsidR="007F5F34" w14:paraId="53A9CD78"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76" w14:textId="77777777" w:rsidR="007F5F34" w:rsidRDefault="00B73F7C">
            <w:r>
              <w:rPr>
                <w:sz w:val="18"/>
                <w:szCs w:val="18"/>
              </w:rPr>
              <w:t>Lower CI (275 cells)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77" w14:textId="77777777" w:rsidR="007F5F34" w:rsidRDefault="00B73F7C">
            <w:r>
              <w:rPr>
                <w:sz w:val="18"/>
                <w:szCs w:val="18"/>
              </w:rPr>
              <w:t>Max absolute diff: 0.00</w:t>
            </w:r>
          </w:p>
        </w:tc>
      </w:tr>
    </w:tbl>
    <w:p w14:paraId="53A9CD79" w14:textId="77777777" w:rsidR="007F5F34" w:rsidRDefault="007F5F34">
      <w:pPr>
        <w:spacing w:after="160" w:line="276" w:lineRule="auto"/>
      </w:pPr>
    </w:p>
    <w:p w14:paraId="53A9CD7A" w14:textId="77777777" w:rsidR="007F5F34" w:rsidRDefault="00B73F7C">
      <w:pPr>
        <w:pStyle w:val="Heading2"/>
        <w:spacing w:before="300" w:after="200"/>
      </w:pPr>
      <w:bookmarkStart w:id="41" w:name="_Toc225019108"/>
      <w:r>
        <w:t>10.2 Reference Values</w:t>
      </w:r>
      <w:bookmarkEnd w:id="41"/>
    </w:p>
    <w:p w14:paraId="53A9CD7B" w14:textId="77777777" w:rsidR="007F5F34" w:rsidRDefault="00B73F7C">
      <w:pPr>
        <w:spacing w:after="160" w:line="276" w:lineRule="auto"/>
      </w:pPr>
      <w:r>
        <w:t>The following reference values serve as regression test anchors: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F5F34" w14:paraId="53A9CD7E"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7C" w14:textId="77777777" w:rsidR="007F5F34" w:rsidRDefault="00B73F7C">
            <w:pPr>
              <w:jc w:val="center"/>
            </w:pPr>
            <w:r>
              <w:rPr>
                <w:b/>
                <w:bCs/>
                <w:color w:val="FFFFFF"/>
                <w:sz w:val="18"/>
                <w:szCs w:val="18"/>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53A9CD7D" w14:textId="77777777" w:rsidR="007F5F34" w:rsidRDefault="00B73F7C">
            <w:pPr>
              <w:jc w:val="center"/>
            </w:pPr>
            <w:r>
              <w:rPr>
                <w:b/>
                <w:bCs/>
                <w:color w:val="FFFFFF"/>
                <w:sz w:val="18"/>
                <w:szCs w:val="18"/>
              </w:rPr>
              <w:t>Value</w:t>
            </w:r>
          </w:p>
        </w:tc>
      </w:tr>
      <w:tr w:rsidR="007F5F34" w14:paraId="53A9CD81"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7F" w14:textId="77777777" w:rsidR="007F5F34" w:rsidRDefault="00B73F7C">
            <w:r>
              <w:rPr>
                <w:sz w:val="18"/>
                <w:szCs w:val="18"/>
              </w:rPr>
              <w:t>Forecast[0, 0]</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0" w14:textId="77777777" w:rsidR="007F5F34" w:rsidRDefault="00B73F7C">
            <w:r>
              <w:rPr>
                <w:sz w:val="18"/>
                <w:szCs w:val="18"/>
              </w:rPr>
              <w:t>0.225514586109806</w:t>
            </w:r>
          </w:p>
        </w:tc>
      </w:tr>
      <w:tr w:rsidR="007F5F34" w14:paraId="53A9CD84"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2" w14:textId="77777777" w:rsidR="007F5F34" w:rsidRDefault="00B73F7C">
            <w:r>
              <w:rPr>
                <w:sz w:val="18"/>
                <w:szCs w:val="18"/>
              </w:rPr>
              <w:t>Actual[0, 0]</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3" w14:textId="77777777" w:rsidR="007F5F34" w:rsidRDefault="00B73F7C">
            <w:r>
              <w:rPr>
                <w:sz w:val="18"/>
                <w:szCs w:val="18"/>
              </w:rPr>
              <w:t>0.236239450466784</w:t>
            </w:r>
          </w:p>
        </w:tc>
      </w:tr>
      <w:tr w:rsidR="007F5F34" w14:paraId="53A9CD87"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5" w14:textId="77777777" w:rsidR="007F5F34" w:rsidRDefault="00B73F7C">
            <w:r>
              <w:rPr>
                <w:sz w:val="18"/>
                <w:szCs w:val="18"/>
              </w:rPr>
              <w:t>Residual mean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6" w14:textId="77777777" w:rsidR="007F5F34" w:rsidRDefault="00B73F7C">
            <w:r>
              <w:rPr>
                <w:sz w:val="18"/>
                <w:szCs w:val="18"/>
              </w:rPr>
              <w:t>0.006962</w:t>
            </w:r>
          </w:p>
        </w:tc>
      </w:tr>
      <w:tr w:rsidR="007F5F34" w14:paraId="53A9CD8A"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8" w14:textId="77777777" w:rsidR="007F5F34" w:rsidRDefault="00B73F7C">
            <w:r>
              <w:rPr>
                <w:sz w:val="18"/>
                <w:szCs w:val="18"/>
              </w:rPr>
              <w:t>Residual std dev</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9" w14:textId="77777777" w:rsidR="007F5F34" w:rsidRDefault="00B73F7C">
            <w:r>
              <w:rPr>
                <w:sz w:val="18"/>
                <w:szCs w:val="18"/>
              </w:rPr>
              <w:t>0.093872</w:t>
            </w:r>
          </w:p>
        </w:tc>
      </w:tr>
      <w:tr w:rsidR="007F5F34" w14:paraId="53A9CD8D"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B" w14:textId="77777777" w:rsidR="007F5F34" w:rsidRDefault="00B73F7C">
            <w:r>
              <w:rPr>
                <w:sz w:val="18"/>
                <w:szCs w:val="18"/>
              </w:rPr>
              <w:t>Non-NaN residuals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C" w14:textId="77777777" w:rsidR="007F5F34" w:rsidRDefault="00B73F7C">
            <w:r>
              <w:rPr>
                <w:sz w:val="18"/>
                <w:szCs w:val="18"/>
              </w:rPr>
              <w:t>276</w:t>
            </w:r>
          </w:p>
        </w:tc>
      </w:tr>
      <w:tr w:rsidR="007F5F34" w14:paraId="53A9CD90"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E" w14:textId="77777777" w:rsidR="007F5F34" w:rsidRDefault="00B73F7C">
            <w:r>
              <w:rPr>
                <w:sz w:val="18"/>
                <w:szCs w:val="18"/>
              </w:rPr>
              <w:t>JB test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8F" w14:textId="77777777" w:rsidR="007F5F34" w:rsidRDefault="00B73F7C">
            <w:r>
              <w:rPr>
                <w:sz w:val="18"/>
                <w:szCs w:val="18"/>
              </w:rPr>
              <w:t>Rejects normality</w:t>
            </w:r>
          </w:p>
        </w:tc>
      </w:tr>
      <w:tr w:rsidR="007F5F34" w14:paraId="53A9CD93"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91" w14:textId="77777777" w:rsidR="007F5F34" w:rsidRDefault="00B73F7C">
            <w:r>
              <w:rPr>
                <w:sz w:val="18"/>
                <w:szCs w:val="18"/>
              </w:rPr>
              <w:t>Chi-Sq test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A9CD92" w14:textId="77777777" w:rsidR="007F5F34" w:rsidRDefault="00B73F7C">
            <w:r>
              <w:rPr>
                <w:sz w:val="18"/>
                <w:szCs w:val="18"/>
              </w:rPr>
              <w:t>Rejects normality</w:t>
            </w:r>
          </w:p>
        </w:tc>
      </w:tr>
    </w:tbl>
    <w:p w14:paraId="53A9CD94" w14:textId="77777777" w:rsidR="007F5F34" w:rsidRDefault="00B73F7C">
      <w:pPr>
        <w:pStyle w:val="Heading2"/>
        <w:spacing w:before="300" w:after="200"/>
      </w:pPr>
      <w:bookmarkStart w:id="42" w:name="_Toc225019109"/>
      <w:r>
        <w:t>10.3 Known Workbook Discrepancy</w:t>
      </w:r>
      <w:bookmarkEnd w:id="42"/>
    </w:p>
    <w:p w14:paraId="53A9CD95" w14:textId="77777777" w:rsidR="007F5F34" w:rsidRDefault="00B73F7C">
      <w:pPr>
        <w:spacing w:after="160" w:line="276" w:lineRule="auto"/>
      </w:pPr>
      <w:r>
        <w:t xml:space="preserve">One discrepancy has been identified and documented: the reference workbook’s </w:t>
      </w:r>
      <w:proofErr w:type="spellStart"/>
      <w:r>
        <w:t>unlabelled</w:t>
      </w:r>
      <w:proofErr w:type="spellEnd"/>
      <w:r>
        <w:t xml:space="preserve"> vintage sheet uses a 0% discount rate for the Latest vintage instead of the correct 15%, producing an LGD at TID 0 of 0.2464 versus 0.2919. This is a linking error in the workbook (the correctly-linked sheet, labelled “(0-59)”, matches Python to machine precision). The discrepancy propagates </w:t>
      </w:r>
      <w:proofErr w:type="gramStart"/>
      <w:r>
        <w:t>a</w:t>
      </w:r>
      <w:proofErr w:type="gramEnd"/>
      <w:r>
        <w:t xml:space="preserve"> approximately 0.003 difference in column standard deviations and approximately 0.6% maximum CI value difference. All per-window workbooks produced by this model use the correct 15% discount rate throughout.</w:t>
      </w:r>
    </w:p>
    <w:p w14:paraId="53A9CD96" w14:textId="77777777" w:rsidR="007F5F34" w:rsidRDefault="00B73F7C">
      <w:r>
        <w:br w:type="page"/>
      </w:r>
    </w:p>
    <w:p w14:paraId="53A9CD97" w14:textId="77777777" w:rsidR="007F5F34" w:rsidRDefault="00B73F7C">
      <w:pPr>
        <w:pStyle w:val="Heading1"/>
        <w:spacing w:before="300" w:after="200"/>
      </w:pPr>
      <w:bookmarkStart w:id="43" w:name="_Toc225019110"/>
      <w:r>
        <w:lastRenderedPageBreak/>
        <w:t>11. Limitations and Assumptions</w:t>
      </w:r>
      <w:bookmarkEnd w:id="43"/>
    </w:p>
    <w:p w14:paraId="53A9CD98" w14:textId="77777777" w:rsidR="007F5F34" w:rsidRDefault="00B73F7C">
      <w:pPr>
        <w:pStyle w:val="ListParagraph"/>
        <w:numPr>
          <w:ilvl w:val="0"/>
          <w:numId w:val="3"/>
        </w:numPr>
        <w:spacing w:after="120"/>
      </w:pPr>
      <w:r>
        <w:t>Stationarity assumption: The chain-ladder method assumes that historical recovery patterns are indicative of future recoveries. Structural breaks in municipal payment behaviour would violate this assumption.</w:t>
      </w:r>
    </w:p>
    <w:p w14:paraId="53A9CD99" w14:textId="77777777" w:rsidR="007F5F34" w:rsidRDefault="00B73F7C">
      <w:pPr>
        <w:pStyle w:val="ListParagraph"/>
        <w:numPr>
          <w:ilvl w:val="0"/>
          <w:numId w:val="3"/>
        </w:numPr>
        <w:spacing w:after="120"/>
      </w:pPr>
      <w:r>
        <w:t>Portfolio homogeneity: All non-metro municipal exposures are treated as a single portfolio. Segmentation by municipality size, region, or historical payment performance may improve predictive accuracy.</w:t>
      </w:r>
    </w:p>
    <w:p w14:paraId="53A9CD9A" w14:textId="77777777" w:rsidR="007F5F34" w:rsidRDefault="00B73F7C">
      <w:pPr>
        <w:pStyle w:val="ListParagraph"/>
        <w:numPr>
          <w:ilvl w:val="0"/>
          <w:numId w:val="3"/>
        </w:numPr>
        <w:spacing w:after="120"/>
      </w:pPr>
      <w:r>
        <w:t>Point-in-time estimates: The model produces point-in-time LGD estimates based on historical data. Forward-looking adjustments (as required by IFRS 9 paragraph 5.5.17(c)) should be applied separately as macroeconomic overlays.</w:t>
      </w:r>
    </w:p>
    <w:p w14:paraId="53A9CD9B" w14:textId="77777777" w:rsidR="007F5F34" w:rsidRDefault="00B73F7C">
      <w:pPr>
        <w:pStyle w:val="ListParagraph"/>
        <w:numPr>
          <w:ilvl w:val="0"/>
          <w:numId w:val="3"/>
        </w:numPr>
        <w:spacing w:after="120"/>
      </w:pPr>
      <w:r>
        <w:t>Discount rate sensitivity: The model uses a single discount rate across all periods and cohorts. A term structure of rates may be more appropriate for long-dated exposures.</w:t>
      </w:r>
    </w:p>
    <w:p w14:paraId="53A9CD9C" w14:textId="77777777" w:rsidR="007F5F34" w:rsidRDefault="00B73F7C">
      <w:pPr>
        <w:pStyle w:val="ListParagraph"/>
        <w:numPr>
          <w:ilvl w:val="0"/>
          <w:numId w:val="3"/>
        </w:numPr>
        <w:spacing w:after="120"/>
      </w:pPr>
      <w:r>
        <w:t>Non-normal residuals: Both the Jarque-Bera and chi-square tests reject normality. While the binomial CI framework does not require normality, users should exercise caution when interpreting coverage statistics.</w:t>
      </w:r>
    </w:p>
    <w:p w14:paraId="53A9CD9D" w14:textId="77777777" w:rsidR="007F5F34" w:rsidRDefault="00B73F7C">
      <w:pPr>
        <w:pStyle w:val="ListParagraph"/>
        <w:numPr>
          <w:ilvl w:val="0"/>
          <w:numId w:val="3"/>
        </w:numPr>
        <w:spacing w:after="160"/>
      </w:pPr>
      <w:r>
        <w:t xml:space="preserve">Data vintage: The recovery triangle spans March 2019 to December 2025. As new data becomes available, the model should be recalibrated and the </w:t>
      </w:r>
      <w:proofErr w:type="spellStart"/>
      <w:r>
        <w:t>backtest</w:t>
      </w:r>
      <w:proofErr w:type="spellEnd"/>
      <w:r>
        <w:t xml:space="preserve"> re-run.</w:t>
      </w:r>
    </w:p>
    <w:p w14:paraId="53A9CD9E" w14:textId="77777777" w:rsidR="007F5F34" w:rsidRDefault="00B73F7C">
      <w:r>
        <w:br w:type="page"/>
      </w:r>
    </w:p>
    <w:p w14:paraId="53A9CD9F" w14:textId="77777777" w:rsidR="007F5F34" w:rsidRDefault="00B73F7C">
      <w:pPr>
        <w:pStyle w:val="Heading1"/>
        <w:spacing w:before="300" w:after="200"/>
      </w:pPr>
      <w:bookmarkStart w:id="44" w:name="_Toc225019111"/>
      <w:r>
        <w:lastRenderedPageBreak/>
        <w:t>12. References</w:t>
      </w:r>
      <w:bookmarkEnd w:id="44"/>
    </w:p>
    <w:p w14:paraId="53A9CDA0" w14:textId="77777777" w:rsidR="007F5F34" w:rsidRDefault="00B73F7C">
      <w:pPr>
        <w:spacing w:after="160" w:line="276" w:lineRule="auto"/>
      </w:pPr>
      <w:r>
        <w:rPr>
          <w:b/>
          <w:bCs/>
        </w:rPr>
        <w:t xml:space="preserve">1. </w:t>
      </w:r>
      <w:r>
        <w:t xml:space="preserve">IASB (2014), </w:t>
      </w:r>
      <w:r>
        <w:rPr>
          <w:i/>
          <w:iCs/>
        </w:rPr>
        <w:t>IFRS 9 Financial Instruments</w:t>
      </w:r>
      <w:r>
        <w:t>, International Accounting Standards Board.</w:t>
      </w:r>
    </w:p>
    <w:p w14:paraId="53A9CDA1" w14:textId="77777777" w:rsidR="007F5F34" w:rsidRDefault="00B73F7C">
      <w:pPr>
        <w:spacing w:after="160" w:line="276" w:lineRule="auto"/>
      </w:pPr>
      <w:r>
        <w:rPr>
          <w:b/>
          <w:bCs/>
        </w:rPr>
        <w:t xml:space="preserve">2. </w:t>
      </w:r>
      <w:r>
        <w:t xml:space="preserve">Basel Committee on Banking Supervision (2015), </w:t>
      </w:r>
      <w:r>
        <w:rPr>
          <w:i/>
          <w:iCs/>
        </w:rPr>
        <w:t>Guidance on credit risk and accounting for expected credit losses</w:t>
      </w:r>
      <w:r>
        <w:t>, BCBS d350, Bank for International Settlements.</w:t>
      </w:r>
    </w:p>
    <w:p w14:paraId="53A9CDA2" w14:textId="77777777" w:rsidR="007F5F34" w:rsidRDefault="00B73F7C">
      <w:pPr>
        <w:spacing w:after="160" w:line="276" w:lineRule="auto"/>
      </w:pPr>
      <w:r>
        <w:rPr>
          <w:b/>
          <w:bCs/>
        </w:rPr>
        <w:t xml:space="preserve">3. </w:t>
      </w:r>
      <w:r>
        <w:t xml:space="preserve">Mack, T. (1993), “Distribution-free calculation of the standard error of chain ladder reserve estimates,” </w:t>
      </w:r>
      <w:r>
        <w:rPr>
          <w:i/>
          <w:iCs/>
        </w:rPr>
        <w:t>ASTIN Bulletin</w:t>
      </w:r>
      <w:r>
        <w:t>, 23(2), pp. 213–225.</w:t>
      </w:r>
    </w:p>
    <w:p w14:paraId="53A9CDA3" w14:textId="77777777" w:rsidR="007F5F34" w:rsidRDefault="00B73F7C">
      <w:pPr>
        <w:spacing w:after="160" w:line="276" w:lineRule="auto"/>
      </w:pPr>
      <w:r>
        <w:rPr>
          <w:b/>
          <w:bCs/>
        </w:rPr>
        <w:t xml:space="preserve">4. </w:t>
      </w:r>
      <w:r>
        <w:t xml:space="preserve">England, P.D. and Verrall, R.J. (2002), “Stochastic claims reserving in general insurance,” </w:t>
      </w:r>
      <w:r>
        <w:rPr>
          <w:i/>
          <w:iCs/>
        </w:rPr>
        <w:t>British Actuarial Journal</w:t>
      </w:r>
      <w:r>
        <w:t>, 8(3), pp. 443–518.</w:t>
      </w:r>
    </w:p>
    <w:p w14:paraId="53A9CDA4" w14:textId="77777777" w:rsidR="007F5F34" w:rsidRDefault="00B73F7C">
      <w:pPr>
        <w:spacing w:after="160" w:line="276" w:lineRule="auto"/>
      </w:pPr>
      <w:r>
        <w:rPr>
          <w:b/>
          <w:bCs/>
        </w:rPr>
        <w:t xml:space="preserve">5. </w:t>
      </w:r>
      <w:r>
        <w:t xml:space="preserve">Taylor, G. (2000), </w:t>
      </w:r>
      <w:r>
        <w:rPr>
          <w:i/>
          <w:iCs/>
        </w:rPr>
        <w:t>Loss Reserving: An Actuarial Perspective</w:t>
      </w:r>
      <w:r>
        <w:t>, Kluwer Academic Publishers.</w:t>
      </w:r>
    </w:p>
    <w:p w14:paraId="53A9CDA5" w14:textId="77777777" w:rsidR="007F5F34" w:rsidRDefault="00B73F7C">
      <w:pPr>
        <w:spacing w:after="160" w:line="276" w:lineRule="auto"/>
      </w:pPr>
      <w:r>
        <w:rPr>
          <w:b/>
          <w:bCs/>
        </w:rPr>
        <w:t xml:space="preserve">6. </w:t>
      </w:r>
      <w:r>
        <w:t xml:space="preserve">Wüthrich, M.V. and Merz, M. (2008), </w:t>
      </w:r>
      <w:r>
        <w:rPr>
          <w:i/>
          <w:iCs/>
        </w:rPr>
        <w:t>Stochastic Claims Reserving Methods in Insurance</w:t>
      </w:r>
      <w:r>
        <w:t>, Wiley Finance.</w:t>
      </w:r>
    </w:p>
    <w:p w14:paraId="53A9CDA6" w14:textId="77777777" w:rsidR="007F5F34" w:rsidRDefault="00B73F7C">
      <w:pPr>
        <w:spacing w:after="160" w:line="276" w:lineRule="auto"/>
      </w:pPr>
      <w:r>
        <w:rPr>
          <w:b/>
          <w:bCs/>
        </w:rPr>
        <w:t xml:space="preserve">7. </w:t>
      </w:r>
      <w:r>
        <w:t xml:space="preserve">South African Reserve Bank, </w:t>
      </w:r>
      <w:r>
        <w:rPr>
          <w:i/>
          <w:iCs/>
        </w:rPr>
        <w:t>Banks Act Directive 8/2019: Implementation of IFRS 9</w:t>
      </w:r>
      <w:r>
        <w:t>, Pretoria.</w:t>
      </w:r>
    </w:p>
    <w:p w14:paraId="53A9CDA7" w14:textId="77777777" w:rsidR="007F5F34" w:rsidRDefault="00B73F7C">
      <w:pPr>
        <w:spacing w:after="160" w:line="276" w:lineRule="auto"/>
      </w:pPr>
      <w:r>
        <w:rPr>
          <w:b/>
          <w:bCs/>
        </w:rPr>
        <w:t xml:space="preserve">8. </w:t>
      </w:r>
      <w:r>
        <w:t xml:space="preserve">Jarque, C.M. and Bera, A.K. (1987), “A test for normality of observations and regression residuals,” </w:t>
      </w:r>
      <w:r>
        <w:rPr>
          <w:i/>
          <w:iCs/>
        </w:rPr>
        <w:t>International Statistical Review</w:t>
      </w:r>
      <w:r>
        <w:t>, 55(2), pp. 163–172.</w:t>
      </w:r>
    </w:p>
    <w:p w14:paraId="53A9CDA8" w14:textId="77777777" w:rsidR="007F5F34" w:rsidRDefault="00B73F7C">
      <w:pPr>
        <w:spacing w:after="160" w:line="276" w:lineRule="auto"/>
      </w:pPr>
      <w:r>
        <w:rPr>
          <w:b/>
          <w:bCs/>
        </w:rPr>
        <w:t xml:space="preserve">9. </w:t>
      </w:r>
      <w:r>
        <w:t xml:space="preserve">Akaike, H. (1974), “A new look at the statistical model identification,” </w:t>
      </w:r>
      <w:r>
        <w:rPr>
          <w:i/>
          <w:iCs/>
        </w:rPr>
        <w:t>IEEE Transactions on Automatic Control</w:t>
      </w:r>
      <w:r>
        <w:t>, 19(6), pp. 716–723.</w:t>
      </w:r>
    </w:p>
    <w:p w14:paraId="53A9CDA9" w14:textId="77777777" w:rsidR="007F5F34" w:rsidRDefault="00B73F7C">
      <w:pPr>
        <w:spacing w:after="160" w:line="276" w:lineRule="auto"/>
      </w:pPr>
      <w:r>
        <w:rPr>
          <w:b/>
          <w:bCs/>
        </w:rPr>
        <w:t xml:space="preserve">10. </w:t>
      </w:r>
      <w:r>
        <w:t xml:space="preserve">Schuermann, T. (2004), “What do we know about Loss Given Default?,” in </w:t>
      </w:r>
      <w:r>
        <w:rPr>
          <w:i/>
          <w:iCs/>
        </w:rPr>
        <w:t>Credit Risk Models and Management</w:t>
      </w:r>
      <w:r>
        <w:t>, 2nd ed., Risk Books, London.</w:t>
      </w:r>
    </w:p>
    <w:p w14:paraId="53A9CDAA" w14:textId="77777777" w:rsidR="007F5F34" w:rsidRDefault="00B73F7C">
      <w:pPr>
        <w:spacing w:after="160" w:line="276" w:lineRule="auto"/>
      </w:pPr>
      <w:r>
        <w:rPr>
          <w:b/>
          <w:bCs/>
        </w:rPr>
        <w:t xml:space="preserve">11. </w:t>
      </w:r>
      <w:r>
        <w:t xml:space="preserve">Bellini, T. (2019), </w:t>
      </w:r>
      <w:r>
        <w:rPr>
          <w:i/>
          <w:iCs/>
        </w:rPr>
        <w:t>IFRS 9 and CECL Credit Risk Modelling and Validation: A Practical Guide with Examples Worked in R and SAS</w:t>
      </w:r>
      <w:r>
        <w:t>, Academic Press.</w:t>
      </w:r>
    </w:p>
    <w:p w14:paraId="53A9CDAB" w14:textId="77777777" w:rsidR="007F5F34" w:rsidRDefault="00B73F7C">
      <w:pPr>
        <w:spacing w:after="160" w:line="276" w:lineRule="auto"/>
      </w:pPr>
      <w:r>
        <w:rPr>
          <w:b/>
          <w:bCs/>
        </w:rPr>
        <w:t xml:space="preserve">12. </w:t>
      </w:r>
      <w:r>
        <w:t xml:space="preserve">European Banking Authority (2017), </w:t>
      </w:r>
      <w:r>
        <w:rPr>
          <w:i/>
          <w:iCs/>
        </w:rPr>
        <w:t>Guidelines on PD estimation, LGD estimation and the treatment of defaulted exposures</w:t>
      </w:r>
      <w:r>
        <w:t>, EBA/GL/2017/16.</w:t>
      </w:r>
    </w:p>
    <w:p w14:paraId="53A9CDAC" w14:textId="77777777" w:rsidR="007F5F34" w:rsidRDefault="007F5F34">
      <w:pPr>
        <w:spacing w:before="600"/>
      </w:pPr>
    </w:p>
    <w:p w14:paraId="53A9CDAD" w14:textId="77777777" w:rsidR="007F5F34" w:rsidRDefault="00B73F7C">
      <w:pPr>
        <w:pBdr>
          <w:top w:val="single" w:sz="2" w:space="0" w:color="2E75B6"/>
        </w:pBdr>
        <w:spacing w:before="200" w:after="100"/>
        <w:jc w:val="center"/>
      </w:pPr>
      <w:r>
        <w:rPr>
          <w:i/>
          <w:iCs/>
          <w:color w:val="999999"/>
          <w:sz w:val="20"/>
          <w:szCs w:val="20"/>
        </w:rPr>
        <w:t>— End of Document —</w:t>
      </w:r>
    </w:p>
    <w:sectPr w:rsidR="007F5F34" w:rsidSect="009E7319">
      <w:headerReference w:type="default" r:id="rId7"/>
      <w:footerReference w:type="default" r:id="rId8"/>
      <w:pgSz w:w="11906" w:h="16838" w:code="9"/>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F43E6" w14:textId="77777777" w:rsidR="00D91763" w:rsidRDefault="00D91763">
      <w:r>
        <w:separator/>
      </w:r>
    </w:p>
  </w:endnote>
  <w:endnote w:type="continuationSeparator" w:id="0">
    <w:p w14:paraId="59601EAC" w14:textId="77777777" w:rsidR="00D91763" w:rsidRDefault="00D91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CDAF" w14:textId="6917BE3A" w:rsidR="007F5F34" w:rsidRDefault="00B73F7C">
    <w:pPr>
      <w:jc w:val="center"/>
    </w:pPr>
    <w:r>
      <w:rPr>
        <w:color w:val="999999"/>
        <w:sz w:val="16"/>
        <w:szCs w:val="16"/>
      </w:rPr>
      <w:t xml:space="preserve">CONFIDENTIAL  |  Page </w:t>
    </w:r>
    <w:r>
      <w:rPr>
        <w:color w:val="999999"/>
        <w:sz w:val="16"/>
        <w:szCs w:val="16"/>
      </w:rPr>
      <w:fldChar w:fldCharType="begin"/>
    </w:r>
    <w:r>
      <w:rPr>
        <w:color w:val="999999"/>
        <w:sz w:val="16"/>
        <w:szCs w:val="16"/>
      </w:rPr>
      <w:instrText>PAGE</w:instrText>
    </w:r>
    <w:r>
      <w:rPr>
        <w:color w:val="999999"/>
        <w:sz w:val="16"/>
        <w:szCs w:val="16"/>
      </w:rPr>
      <w:fldChar w:fldCharType="separate"/>
    </w:r>
    <w:r w:rsidR="00BC0E14">
      <w:rPr>
        <w:noProof/>
        <w:color w:val="999999"/>
        <w:sz w:val="16"/>
        <w:szCs w:val="16"/>
      </w:rPr>
      <w:t>4</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65BBC" w14:textId="77777777" w:rsidR="00D91763" w:rsidRDefault="00D91763">
      <w:r>
        <w:separator/>
      </w:r>
    </w:p>
  </w:footnote>
  <w:footnote w:type="continuationSeparator" w:id="0">
    <w:p w14:paraId="4E1B45BB" w14:textId="77777777" w:rsidR="00D91763" w:rsidRDefault="00D91763">
      <w:r>
        <w:continuationSeparator/>
      </w:r>
    </w:p>
  </w:footnote>
  <w:footnote w:id="1">
    <w:p w14:paraId="53A9CDB0" w14:textId="77777777" w:rsidR="007F5F34" w:rsidRDefault="00B73F7C">
      <w:pPr>
        <w:spacing w:after="160" w:line="276" w:lineRule="auto"/>
      </w:pPr>
      <w:r>
        <w:rPr>
          <w:rStyle w:val="FootnoteReference"/>
        </w:rPr>
        <w:footnoteRef/>
      </w:r>
      <w:r>
        <w:t>IFRS 9 Financial Instruments, IASB, July 2014, para. 5.5.1–5.5.20.</w:t>
      </w:r>
    </w:p>
  </w:footnote>
  <w:footnote w:id="2">
    <w:p w14:paraId="53A9CDB1" w14:textId="77777777" w:rsidR="007F5F34" w:rsidRDefault="00B73F7C">
      <w:pPr>
        <w:spacing w:after="160" w:line="276" w:lineRule="auto"/>
      </w:pPr>
      <w:r>
        <w:rPr>
          <w:rStyle w:val="FootnoteReference"/>
        </w:rPr>
        <w:footnoteRef/>
      </w:r>
      <w:r>
        <w:t>Basel Committee on Banking Supervision, “Guidance on credit risk and accounting for expected credit losses,” December 2015, BCBS d350.</w:t>
      </w:r>
    </w:p>
  </w:footnote>
  <w:footnote w:id="3">
    <w:p w14:paraId="53A9CDB2" w14:textId="77777777" w:rsidR="007F5F34" w:rsidRDefault="00B73F7C">
      <w:pPr>
        <w:spacing w:after="160" w:line="276" w:lineRule="auto"/>
      </w:pPr>
      <w:r>
        <w:rPr>
          <w:rStyle w:val="FootnoteReference"/>
        </w:rPr>
        <w:footnoteRef/>
      </w:r>
      <w:r>
        <w:t>South African Reserve Bank, “Banks Act Directive 8/2019: Implementation of IFRS 9,” Pretoria.</w:t>
      </w:r>
    </w:p>
  </w:footnote>
  <w:footnote w:id="4">
    <w:p w14:paraId="53A9CDB3" w14:textId="77777777" w:rsidR="007F5F34" w:rsidRDefault="00B73F7C">
      <w:pPr>
        <w:spacing w:after="160" w:line="276" w:lineRule="auto"/>
      </w:pPr>
      <w:r>
        <w:rPr>
          <w:rStyle w:val="FootnoteReference"/>
        </w:rPr>
        <w:footnoteRef/>
      </w:r>
      <w:r>
        <w:t>Mack, T. (1993), “Distribution-free calculation of the standard error of chain ladder reserve estimates,” ASTIN Bulletin, 23(2), pp. 213–225.</w:t>
      </w:r>
    </w:p>
  </w:footnote>
  <w:footnote w:id="5">
    <w:p w14:paraId="53A9CDB4" w14:textId="77777777" w:rsidR="007F5F34" w:rsidRDefault="00B73F7C">
      <w:pPr>
        <w:spacing w:after="160" w:line="276" w:lineRule="auto"/>
      </w:pPr>
      <w:r>
        <w:rPr>
          <w:rStyle w:val="FootnoteReference"/>
        </w:rPr>
        <w:footnoteRef/>
      </w:r>
      <w:r>
        <w:t>Taylor, G. (2000), Loss Reserving: An Actuarial Perspective, Kluwer Academic Publishers.</w:t>
      </w:r>
    </w:p>
  </w:footnote>
  <w:footnote w:id="6">
    <w:p w14:paraId="53A9CDB5" w14:textId="77777777" w:rsidR="007F5F34" w:rsidRDefault="00B73F7C">
      <w:pPr>
        <w:spacing w:after="160" w:line="276" w:lineRule="auto"/>
      </w:pPr>
      <w:r>
        <w:rPr>
          <w:rStyle w:val="FootnoteReference"/>
        </w:rPr>
        <w:footnoteRef/>
      </w:r>
      <w:r>
        <w:t>England, P.D. and Verrall, R.J. (2002), “Stochastic claims reserving in general insurance,” British Actuarial Journal, 8(3), pp. 443–518.</w:t>
      </w:r>
    </w:p>
  </w:footnote>
  <w:footnote w:id="7">
    <w:p w14:paraId="53A9CDB6" w14:textId="77777777" w:rsidR="007F5F34" w:rsidRDefault="00B73F7C">
      <w:pPr>
        <w:spacing w:after="160" w:line="276" w:lineRule="auto"/>
      </w:pPr>
      <w:r>
        <w:rPr>
          <w:rStyle w:val="FootnoteReference"/>
        </w:rPr>
        <w:footnoteRef/>
      </w:r>
      <w:r>
        <w:t>Wuthrich, M.V. and Merz, M. (2008), Stochastic Claims Reserving Methods in Insurance, Wiley.</w:t>
      </w:r>
    </w:p>
  </w:footnote>
  <w:footnote w:id="8">
    <w:p w14:paraId="53A9CDB7" w14:textId="77777777" w:rsidR="007F5F34" w:rsidRDefault="00B73F7C">
      <w:pPr>
        <w:spacing w:after="160" w:line="276" w:lineRule="auto"/>
      </w:pPr>
      <w:r>
        <w:rPr>
          <w:rStyle w:val="FootnoteReference"/>
        </w:rPr>
        <w:footnoteRef/>
      </w:r>
      <w:r>
        <w:t>Jarque, C.M. and Bera, A.K. (1987), “A test for normality of observations and regression residuals,” International Statistical Review, 55(2), pp. 163–172.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CDAE" w14:textId="77777777" w:rsidR="007F5F34" w:rsidRDefault="00B73F7C">
    <w:pPr>
      <w:pBdr>
        <w:bottom w:val="single" w:sz="6" w:space="1" w:color="2E75B6"/>
      </w:pBdr>
      <w:tabs>
        <w:tab w:val="right" w:pos="9026"/>
      </w:tabs>
    </w:pPr>
    <w:r>
      <w:rPr>
        <w:color w:val="666666"/>
        <w:sz w:val="18"/>
        <w:szCs w:val="18"/>
      </w:rPr>
      <w:t>Anchor Point Risk (Pty) Ltd</w:t>
    </w:r>
    <w:r>
      <w:rPr>
        <w:color w:val="666666"/>
        <w:sz w:val="18"/>
        <w:szCs w:val="18"/>
      </w:rPr>
      <w:tab/>
      <w:t>IFRS 9 LGD Model Methodology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E42C8"/>
    <w:multiLevelType w:val="hybridMultilevel"/>
    <w:tmpl w:val="7EC0002C"/>
    <w:lvl w:ilvl="0" w:tplc="EF1A601E">
      <w:start w:val="1"/>
      <w:numFmt w:val="bullet"/>
      <w:lvlText w:val="●"/>
      <w:lvlJc w:val="left"/>
      <w:pPr>
        <w:ind w:left="720" w:hanging="360"/>
      </w:pPr>
    </w:lvl>
    <w:lvl w:ilvl="1" w:tplc="E1D8D948">
      <w:start w:val="1"/>
      <w:numFmt w:val="bullet"/>
      <w:lvlText w:val="○"/>
      <w:lvlJc w:val="left"/>
      <w:pPr>
        <w:ind w:left="1440" w:hanging="360"/>
      </w:pPr>
    </w:lvl>
    <w:lvl w:ilvl="2" w:tplc="4232C32C">
      <w:start w:val="1"/>
      <w:numFmt w:val="bullet"/>
      <w:lvlText w:val="■"/>
      <w:lvlJc w:val="left"/>
      <w:pPr>
        <w:ind w:left="2160" w:hanging="360"/>
      </w:pPr>
    </w:lvl>
    <w:lvl w:ilvl="3" w:tplc="0DBC4164">
      <w:start w:val="1"/>
      <w:numFmt w:val="bullet"/>
      <w:lvlText w:val="●"/>
      <w:lvlJc w:val="left"/>
      <w:pPr>
        <w:ind w:left="2880" w:hanging="360"/>
      </w:pPr>
    </w:lvl>
    <w:lvl w:ilvl="4" w:tplc="03484B84">
      <w:start w:val="1"/>
      <w:numFmt w:val="bullet"/>
      <w:lvlText w:val="○"/>
      <w:lvlJc w:val="left"/>
      <w:pPr>
        <w:ind w:left="3600" w:hanging="360"/>
      </w:pPr>
    </w:lvl>
    <w:lvl w:ilvl="5" w:tplc="5A4EFA06">
      <w:start w:val="1"/>
      <w:numFmt w:val="bullet"/>
      <w:lvlText w:val="■"/>
      <w:lvlJc w:val="left"/>
      <w:pPr>
        <w:ind w:left="4320" w:hanging="360"/>
      </w:pPr>
    </w:lvl>
    <w:lvl w:ilvl="6" w:tplc="5E5C8526">
      <w:start w:val="1"/>
      <w:numFmt w:val="bullet"/>
      <w:lvlText w:val="●"/>
      <w:lvlJc w:val="left"/>
      <w:pPr>
        <w:ind w:left="5040" w:hanging="360"/>
      </w:pPr>
    </w:lvl>
    <w:lvl w:ilvl="7" w:tplc="9A5EB060">
      <w:start w:val="1"/>
      <w:numFmt w:val="bullet"/>
      <w:lvlText w:val="●"/>
      <w:lvlJc w:val="left"/>
      <w:pPr>
        <w:ind w:left="5760" w:hanging="360"/>
      </w:pPr>
    </w:lvl>
    <w:lvl w:ilvl="8" w:tplc="DF94CC84">
      <w:start w:val="1"/>
      <w:numFmt w:val="bullet"/>
      <w:lvlText w:val="●"/>
      <w:lvlJc w:val="left"/>
      <w:pPr>
        <w:ind w:left="6480" w:hanging="360"/>
      </w:pPr>
    </w:lvl>
  </w:abstractNum>
  <w:abstractNum w:abstractNumId="1" w15:restartNumberingAfterBreak="0">
    <w:nsid w:val="47EE496C"/>
    <w:multiLevelType w:val="hybridMultilevel"/>
    <w:tmpl w:val="E062CA88"/>
    <w:lvl w:ilvl="0" w:tplc="73806E6E">
      <w:start w:val="1"/>
      <w:numFmt w:val="bullet"/>
      <w:lvlText w:val="•"/>
      <w:lvlJc w:val="left"/>
      <w:pPr>
        <w:ind w:left="720" w:hanging="360"/>
      </w:pPr>
    </w:lvl>
    <w:lvl w:ilvl="1" w:tplc="038EBC40">
      <w:numFmt w:val="decimal"/>
      <w:lvlText w:val=""/>
      <w:lvlJc w:val="left"/>
    </w:lvl>
    <w:lvl w:ilvl="2" w:tplc="59EC167C">
      <w:numFmt w:val="decimal"/>
      <w:lvlText w:val=""/>
      <w:lvlJc w:val="left"/>
    </w:lvl>
    <w:lvl w:ilvl="3" w:tplc="E20A3466">
      <w:numFmt w:val="decimal"/>
      <w:lvlText w:val=""/>
      <w:lvlJc w:val="left"/>
    </w:lvl>
    <w:lvl w:ilvl="4" w:tplc="BF629C3A">
      <w:numFmt w:val="decimal"/>
      <w:lvlText w:val=""/>
      <w:lvlJc w:val="left"/>
    </w:lvl>
    <w:lvl w:ilvl="5" w:tplc="D5141420">
      <w:numFmt w:val="decimal"/>
      <w:lvlText w:val=""/>
      <w:lvlJc w:val="left"/>
    </w:lvl>
    <w:lvl w:ilvl="6" w:tplc="6EF2CD24">
      <w:numFmt w:val="decimal"/>
      <w:lvlText w:val=""/>
      <w:lvlJc w:val="left"/>
    </w:lvl>
    <w:lvl w:ilvl="7" w:tplc="6DACFDF2">
      <w:numFmt w:val="decimal"/>
      <w:lvlText w:val=""/>
      <w:lvlJc w:val="left"/>
    </w:lvl>
    <w:lvl w:ilvl="8" w:tplc="E8686B78">
      <w:numFmt w:val="decimal"/>
      <w:lvlText w:val=""/>
      <w:lvlJc w:val="left"/>
    </w:lvl>
  </w:abstractNum>
  <w:abstractNum w:abstractNumId="2" w15:restartNumberingAfterBreak="0">
    <w:nsid w:val="50063753"/>
    <w:multiLevelType w:val="hybridMultilevel"/>
    <w:tmpl w:val="7A2682FC"/>
    <w:lvl w:ilvl="0" w:tplc="966E7772">
      <w:start w:val="1"/>
      <w:numFmt w:val="bullet"/>
      <w:lvlText w:val="–"/>
      <w:lvlJc w:val="left"/>
      <w:pPr>
        <w:ind w:left="1080" w:hanging="360"/>
      </w:pPr>
    </w:lvl>
    <w:lvl w:ilvl="1" w:tplc="B82ABF22">
      <w:numFmt w:val="decimal"/>
      <w:lvlText w:val=""/>
      <w:lvlJc w:val="left"/>
    </w:lvl>
    <w:lvl w:ilvl="2" w:tplc="24621F06">
      <w:numFmt w:val="decimal"/>
      <w:lvlText w:val=""/>
      <w:lvlJc w:val="left"/>
    </w:lvl>
    <w:lvl w:ilvl="3" w:tplc="74DA4282">
      <w:numFmt w:val="decimal"/>
      <w:lvlText w:val=""/>
      <w:lvlJc w:val="left"/>
    </w:lvl>
    <w:lvl w:ilvl="4" w:tplc="029C9BA6">
      <w:numFmt w:val="decimal"/>
      <w:lvlText w:val=""/>
      <w:lvlJc w:val="left"/>
    </w:lvl>
    <w:lvl w:ilvl="5" w:tplc="C40EC022">
      <w:numFmt w:val="decimal"/>
      <w:lvlText w:val=""/>
      <w:lvlJc w:val="left"/>
    </w:lvl>
    <w:lvl w:ilvl="6" w:tplc="930A6AA8">
      <w:numFmt w:val="decimal"/>
      <w:lvlText w:val=""/>
      <w:lvlJc w:val="left"/>
    </w:lvl>
    <w:lvl w:ilvl="7" w:tplc="3158554C">
      <w:numFmt w:val="decimal"/>
      <w:lvlText w:val=""/>
      <w:lvlJc w:val="left"/>
    </w:lvl>
    <w:lvl w:ilvl="8" w:tplc="A1B8BAEA">
      <w:numFmt w:val="decimal"/>
      <w:lvlText w:val=""/>
      <w:lvlJc w:val="left"/>
    </w:lvl>
  </w:abstractNum>
  <w:abstractNum w:abstractNumId="3" w15:restartNumberingAfterBreak="0">
    <w:nsid w:val="71995538"/>
    <w:multiLevelType w:val="hybridMultilevel"/>
    <w:tmpl w:val="0A445254"/>
    <w:lvl w:ilvl="0" w:tplc="F46EA580">
      <w:start w:val="1"/>
      <w:numFmt w:val="decimal"/>
      <w:lvlText w:val="%1."/>
      <w:lvlJc w:val="left"/>
      <w:pPr>
        <w:ind w:left="720" w:hanging="360"/>
      </w:pPr>
    </w:lvl>
    <w:lvl w:ilvl="1" w:tplc="A7FE61BA">
      <w:numFmt w:val="decimal"/>
      <w:lvlText w:val=""/>
      <w:lvlJc w:val="left"/>
    </w:lvl>
    <w:lvl w:ilvl="2" w:tplc="B1B4CDEA">
      <w:numFmt w:val="decimal"/>
      <w:lvlText w:val=""/>
      <w:lvlJc w:val="left"/>
    </w:lvl>
    <w:lvl w:ilvl="3" w:tplc="0EAE7DC8">
      <w:numFmt w:val="decimal"/>
      <w:lvlText w:val=""/>
      <w:lvlJc w:val="left"/>
    </w:lvl>
    <w:lvl w:ilvl="4" w:tplc="C5361EAA">
      <w:numFmt w:val="decimal"/>
      <w:lvlText w:val=""/>
      <w:lvlJc w:val="left"/>
    </w:lvl>
    <w:lvl w:ilvl="5" w:tplc="E8FA8290">
      <w:numFmt w:val="decimal"/>
      <w:lvlText w:val=""/>
      <w:lvlJc w:val="left"/>
    </w:lvl>
    <w:lvl w:ilvl="6" w:tplc="55EA56E6">
      <w:numFmt w:val="decimal"/>
      <w:lvlText w:val=""/>
      <w:lvlJc w:val="left"/>
    </w:lvl>
    <w:lvl w:ilvl="7" w:tplc="369EACE2">
      <w:numFmt w:val="decimal"/>
      <w:lvlText w:val=""/>
      <w:lvlJc w:val="left"/>
    </w:lvl>
    <w:lvl w:ilvl="8" w:tplc="005AB3CA">
      <w:numFmt w:val="decimal"/>
      <w:lvlText w:val=""/>
      <w:lvlJc w:val="left"/>
    </w:lvl>
  </w:abstractNum>
  <w:num w:numId="1" w16cid:durableId="429084945">
    <w:abstractNumId w:val="0"/>
    <w:lvlOverride w:ilvl="0">
      <w:startOverride w:val="1"/>
    </w:lvlOverride>
  </w:num>
  <w:num w:numId="2" w16cid:durableId="1162895064">
    <w:abstractNumId w:val="1"/>
    <w:lvlOverride w:ilvl="0">
      <w:startOverride w:val="1"/>
    </w:lvlOverride>
  </w:num>
  <w:num w:numId="3" w16cid:durableId="5991448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F34"/>
    <w:rsid w:val="001D4ADF"/>
    <w:rsid w:val="007117BD"/>
    <w:rsid w:val="007F5F34"/>
    <w:rsid w:val="009E7319"/>
    <w:rsid w:val="00B73F7C"/>
    <w:rsid w:val="00BC0E14"/>
    <w:rsid w:val="00D15DFB"/>
    <w:rsid w:val="00D91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9CC4A"/>
  <w15:docId w15:val="{7F374455-77F8-47B3-9190-648CC2CC6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40" w:after="180"/>
      <w:outlineLvl w:val="1"/>
    </w:pPr>
    <w:rPr>
      <w:b/>
      <w:bCs/>
      <w:color w:val="2E75B6"/>
      <w:sz w:val="26"/>
      <w:szCs w:val="26"/>
    </w:rPr>
  </w:style>
  <w:style w:type="paragraph" w:styleId="Heading3">
    <w:name w:val="heading 3"/>
    <w:uiPriority w:val="9"/>
    <w:unhideWhenUsed/>
    <w:qFormat/>
    <w:pPr>
      <w:spacing w:before="180" w:after="12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0E14"/>
    <w:pPr>
      <w:spacing w:after="100"/>
    </w:pPr>
  </w:style>
  <w:style w:type="paragraph" w:styleId="TOC2">
    <w:name w:val="toc 2"/>
    <w:basedOn w:val="Normal"/>
    <w:next w:val="Normal"/>
    <w:autoRedefine/>
    <w:uiPriority w:val="39"/>
    <w:unhideWhenUsed/>
    <w:rsid w:val="00BC0E14"/>
    <w:pPr>
      <w:spacing w:after="100"/>
      <w:ind w:left="220"/>
    </w:pPr>
  </w:style>
  <w:style w:type="paragraph" w:styleId="TOC3">
    <w:name w:val="toc 3"/>
    <w:basedOn w:val="Normal"/>
    <w:next w:val="Normal"/>
    <w:autoRedefine/>
    <w:uiPriority w:val="39"/>
    <w:unhideWhenUsed/>
    <w:rsid w:val="00BC0E1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3608</Words>
  <Characters>20787</Characters>
  <Application>Microsoft Office Word</Application>
  <DocSecurity>0</DocSecurity>
  <Lines>352</Lines>
  <Paragraphs>159</Paragraphs>
  <ScaleCrop>false</ScaleCrop>
  <Company/>
  <LinksUpToDate>false</LinksUpToDate>
  <CharactersWithSpaces>24236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Henry</cp:lastModifiedBy>
  <cp:revision>5</cp:revision>
  <cp:lastPrinted>2026-03-24T05:53:00Z</cp:lastPrinted>
  <dcterms:created xsi:type="dcterms:W3CDTF">2026-03-21T18:49:00Z</dcterms:created>
  <dcterms:modified xsi:type="dcterms:W3CDTF">2026-03-24T05:53:00Z</dcterms:modified>
</cp:coreProperties>
</file>