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Logo" descr="Company 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rPr>
                <w:b/>
                <w:bCs/>
                <w:color w:val="186B36"/>
                <w:sz w:val="32"/>
                <w:szCs w:val="32"/>
              </w:rPr>
              <w:t xml:space="preserve">Annual Progress Report</w:t>
            </w:r>
          </w:p>
          <w:p>
            <w:r>
              <w:rPr>
                <w:color w:val="666666"/>
                <w:sz w:val="18"/>
                <w:szCs w:val="18"/>
              </w:rPr>
              <w:t xml:space="preserve">Henry &amp; Mary Elliston | 27 January 2026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186B36" w:sz="3"/>
          <w:left w:val="single" w:color="186B36" w:sz="3"/>
          <w:bottom w:val="single" w:color="186B36" w:sz="3"/>
          <w:right w:val="single" w:color="186B36" w:sz="3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Portfolio Summary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Total Portfolio Value: </w:t>
            </w:r>
            <w:r>
              <w:rPr>
                <w:b/>
                <w:bCs/>
                <w:color w:val="186B36"/>
                <w:sz w:val="24"/>
                <w:szCs w:val="24"/>
              </w:rPr>
              <w:t xml:space="preserve">£31,911.62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ISA Contributions (2025/26): </w:t>
            </w:r>
            <w:r>
              <w:rPr>
                <w:b/>
                <w:bCs/>
                <w:sz w:val="18"/>
                <w:szCs w:val="18"/>
              </w:rPr>
              <w:t xml:space="preserve">£106.68</w:t>
            </w:r>
          </w:p>
          <w:p>
            <w:r>
              <w:rPr>
                <w:sz w:val="18"/>
                <w:szCs w:val="18"/>
              </w:rPr>
              <w:t xml:space="preserve">Benchmark Performance: </w:t>
            </w:r>
            <w:r>
              <w:rPr>
                <w:b/>
                <w:bCs/>
                <w:sz w:val="18"/>
                <w:szCs w:val="18"/>
              </w:rPr>
              <w:t xml:space="preserve">Based on your portfolio composition:
ISA: Vanguard LifeStrategy 100% Equity
Suggested benchmark: FTSE All-Share +12.3%
Rationale: 100% equity UK-focused fund
SIPP: Diversified global equity (62% US, 11.6% Europe, 11.6% EM)
Suggested benchmark: MSCI World +18.2%
Rationale: Global equity exposure with US tilt
These benchmarks reflect appropriate market indices for your asset allocation. The MSCI World is suitable for globally diversified portfolios, while FTSE All-Share matches UK equity funds.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bCs/>
          <w:color w:val="186B36"/>
          <w:sz w:val="24"/>
          <w:szCs w:val="24"/>
        </w:rPr>
        <w:t xml:space="preserve">Current Holdings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Growth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ISA (Vanguard LifeStrategy 100%)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£122.62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+16.66%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SIPP (Diversified Global Equity)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£31,789.00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+23.86%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bCs/>
          <w:color w:val="186B36"/>
          <w:sz w:val="22"/>
          <w:szCs w:val="22"/>
        </w:rPr>
        <w:t xml:space="preserve">Adviser Notes</w:t>
      </w:r>
    </w:p>
    <w:p>
      <w:pPr>
        <w:spacing w:after="200"/>
      </w:pPr>
      <w:r>
        <w:rPr>
          <w:sz w:val="18"/>
          <w:szCs w:val="18"/>
        </w:rPr>
        <w:t xml:space="preserve">client wants to maximise tax efficiency, pay school fees and is concerned about IHT in the future </w:t>
      </w:r>
    </w:p>
    <w:tbl>
      <w:tblPr>
        <w:tblW w:type="pct" w:w="100%"/>
        <w:tblBorders>
          <w:top w:val="single" w:color="186B36" w:sz="1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The Family Wealth Partnership</w:t>
            </w:r>
          </w:p>
          <w:p>
            <w:r>
              <w:rPr>
                <w:color w:val="666666"/>
                <w:sz w:val="16"/>
                <w:szCs w:val="16"/>
              </w:rPr>
              <w:t xml:space="preserve">henry@thefamilywealthpartnership.co.uk | 07920 050504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f7dc35606ef9e23fa5912991236e10cc319ec92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2026-02-04T09:13:18.297Z</dcterms:created>
  <dcterms:modified xsi:type="dcterms:W3CDTF">2026-02-04T09:13:18.297Z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