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r>
              <w:drawing>
                <wp:inline distT="0" distB="0" distL="0" distR="0">
                  <wp:extent cx="57150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8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r>
              <w:rPr>
                <w:b/>
                <w:bCs/>
                <w:color w:val="186B36"/>
                <w:sz w:val="32"/>
                <w:szCs w:val="32"/>
              </w:rPr>
              <w:t xml:space="preserve">Annual Progress Report</w:t>
            </w:r>
          </w:p>
          <w:p>
            <w:r>
              <w:rPr>
                <w:color w:val="666666"/>
                <w:sz w:val="18"/>
                <w:szCs w:val="18"/>
              </w:rPr>
              <w:t xml:space="preserve">Henry &amp; Mary Elliston | 27 January 2026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  <w:color w:val="186B36"/>
          <w:sz w:val="26"/>
          <w:szCs w:val="26"/>
        </w:rPr>
        <w:t xml:space="preserve">Executive Summary</w:t>
      </w:r>
    </w:p>
    <w:tbl>
      <w:tblPr>
        <w:tblW w:type="pct" w:w="100%"/>
        <w:tblBorders>
          <w:top w:val="single" w:color="186B36" w:sz="3"/>
          <w:left w:val="single" w:color="186B36" w:sz="3"/>
          <w:bottom w:val="single" w:color="186B36" w:sz="3"/>
          <w:right w:val="single" w:color="186B36" w:sz="3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Key Actions Required:</w:t>
            </w:r>
          </w:p>
          <w:p>
            <w:pPr>
              <w:spacing w:after="40"/>
            </w:pPr>
            <w:r>
              <w:rPr>
                <w:b/>
                <w:bCs/>
                <w:color w:val="186B36"/>
                <w:sz w:val="20"/>
                <w:szCs w:val="20"/>
              </w:rPr>
              <w:t xml:space="preserve">✓ </w:t>
            </w:r>
            <w:r>
              <w:rPr>
                <w:sz w:val="18"/>
                <w:szCs w:val="18"/>
              </w:rPr>
              <w:t xml:space="preserve">Complete pension contribution by 5 April 2026</w:t>
            </w:r>
          </w:p>
          <w:p>
            <w:pPr>
              <w:spacing w:after="40"/>
            </w:pPr>
            <w:r>
              <w:rPr>
                <w:b/>
                <w:bCs/>
                <w:color w:val="186B36"/>
                <w:sz w:val="20"/>
                <w:szCs w:val="20"/>
              </w:rPr>
              <w:t xml:space="preserve">✓ </w:t>
            </w:r>
            <w:r>
              <w:rPr>
                <w:sz w:val="18"/>
                <w:szCs w:val="18"/>
              </w:rPr>
              <w:t xml:space="preserve">Review and rebalance ISA allocation in Q2</w:t>
            </w:r>
          </w:p>
          <w:p>
            <w:r>
              <w:rPr>
                <w:b/>
                <w:bCs/>
                <w:color w:val="186B36"/>
                <w:sz w:val="20"/>
                <w:szCs w:val="20"/>
              </w:rPr>
              <w:t xml:space="preserve">✓ </w:t>
            </w:r>
            <w:r>
              <w:rPr>
                <w:sz w:val="18"/>
                <w:szCs w:val="18"/>
              </w:rPr>
              <w:t xml:space="preserve">Schedule annual review meeting for March 2026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186B36" w:sz="2"/>
          <w:left w:val="single" w:color="186B36" w:sz="2"/>
          <w:bottom w:val="single" w:color="186B36" w:sz="2"/>
          <w:right w:val="single" w:color="186B36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86B36"/>
                <w:sz w:val="22"/>
                <w:szCs w:val="22"/>
              </w:rPr>
              <w:t xml:space="preserve">Portfolio Summary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Total Portfolio Value: </w:t>
            </w:r>
            <w:r>
              <w:rPr>
                <w:b/>
                <w:bCs/>
                <w:color w:val="186B36"/>
                <w:sz w:val="24"/>
                <w:szCs w:val="24"/>
              </w:rPr>
              <w:t xml:space="preserve">£31,911.62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ISA Contributions (2025/26): </w:t>
            </w:r>
            <w:r>
              <w:rPr>
                <w:b/>
                <w:bCs/>
                <w:sz w:val="18"/>
                <w:szCs w:val="18"/>
              </w:rPr>
              <w:t xml:space="preserve">£106.68</w:t>
            </w:r>
          </w:p>
          <w:p>
            <w:r>
              <w:rPr>
                <w:sz w:val="18"/>
                <w:szCs w:val="18"/>
              </w:rPr>
              <w:t xml:space="preserve">Annual Growth: </w:t>
            </w:r>
            <w:r>
              <w:rPr>
                <w:b/>
                <w:bCs/>
                <w:color w:val="186B36"/>
                <w:sz w:val="18"/>
                <w:szCs w:val="18"/>
              </w:rPr>
              <w:t xml:space="preserve">+23.1% </w:t>
            </w:r>
            <w:r>
              <w:rPr>
                <w:color w:val="666666"/>
                <w:sz w:val="16"/>
                <w:szCs w:val="16"/>
              </w:rPr>
              <w:t xml:space="preserve">(vs benchmark +18.2%)</w:t>
            </w:r>
          </w:p>
        </w:tc>
      </w:tr>
    </w:tbl>
    <w:p>
      <w:pPr>
        <w:spacing w:after="200"/>
      </w:pPr>
    </w:p>
    <w:p>
      <w:pPr>
        <w:spacing w:after="80"/>
      </w:pPr>
      <w:r>
        <w:rPr>
          <w:b/>
          <w:bCs/>
          <w:color w:val="186B36"/>
          <w:sz w:val="24"/>
          <w:szCs w:val="24"/>
        </w:rPr>
        <w:t xml:space="preserve">Goal Progress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Retirement Fund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£31,789 / £50,000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86B36"/>
                <w:sz w:val="18"/>
                <w:szCs w:val="18"/>
              </w:rPr>
              <w:t xml:space="preserve">64% Complete</w:t>
            </w:r>
          </w:p>
        </w:tc>
      </w:tr>
      <w:tr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School Fees Fund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£123 / £20,000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CB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A6835"/>
                <w:sz w:val="18"/>
                <w:szCs w:val="18"/>
              </w:rPr>
              <w:t xml:space="preserve">1% Complete</w:t>
            </w:r>
          </w:p>
        </w:tc>
      </w:tr>
    </w:tbl>
    <w:p>
      <w:pPr>
        <w:spacing w:after="200"/>
      </w:pPr>
    </w:p>
    <w:p>
      <w:pPr>
        <w:spacing w:after="80"/>
      </w:pPr>
      <w:r>
        <w:rPr>
          <w:b/>
          <w:bCs/>
          <w:color w:val="186B36"/>
          <w:sz w:val="24"/>
          <w:szCs w:val="24"/>
        </w:rPr>
        <w:t xml:space="preserve">Performance vs Benchmark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B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B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B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Growth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B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Benchmark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B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Alpha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ISA (Vanguard LifeStrategy 100%)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£122.62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86B36"/>
                <w:sz w:val="18"/>
                <w:szCs w:val="18"/>
              </w:rPr>
              <w:t xml:space="preserve">+16.66%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+12.3%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86B36"/>
                <w:sz w:val="18"/>
                <w:szCs w:val="18"/>
              </w:rPr>
              <w:t xml:space="preserve">+4.4%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SIPP (Diversified Global)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£31,789.00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86B36"/>
                <w:sz w:val="18"/>
                <w:szCs w:val="18"/>
              </w:rPr>
              <w:t xml:space="preserve">+23.86%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+18.2%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86B36"/>
                <w:sz w:val="18"/>
                <w:szCs w:val="18"/>
              </w:rPr>
              <w:t xml:space="preserve">+5.7%</w:t>
            </w:r>
          </w:p>
        </w:tc>
      </w:tr>
    </w:tbl>
    <w:p>
      <w:pPr>
        <w:spacing w:after="200"/>
      </w:pPr>
    </w:p>
    <w:p>
      <w:pPr>
        <w:spacing w:after="80"/>
      </w:pPr>
      <w:r>
        <w:rPr>
          <w:b/>
          <w:bCs/>
          <w:color w:val="186B36"/>
          <w:sz w:val="24"/>
          <w:szCs w:val="24"/>
        </w:rPr>
        <w:t xml:space="preserve">Asset Allocation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B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Asset Class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B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Allocation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B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Equities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99.6%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£31,789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0.4%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£123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186B36" w:sz="2"/>
          <w:left w:val="single" w:color="186B36" w:sz="2"/>
          <w:bottom w:val="single" w:color="186B36" w:sz="2"/>
          <w:right w:val="single" w:color="186B36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4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✓ Risk Profile: </w:t>
            </w:r>
            <w:r>
              <w:rPr>
                <w:color w:val="186B36"/>
                <w:sz w:val="20"/>
                <w:szCs w:val="20"/>
              </w:rPr>
              <w:t xml:space="preserve">Adventurous (Level 6/7)</w:t>
            </w:r>
          </w:p>
          <w:p>
            <w:r>
              <w:rPr>
                <w:sz w:val="18"/>
                <w:szCs w:val="18"/>
              </w:rPr>
              <w:t xml:space="preserve">Current allocation matches your risk profile. Portfolio is 99.6% equities, appropriate for long-term growth with higher volatility tolerance.</w:t>
            </w:r>
          </w:p>
        </w:tc>
      </w:tr>
    </w:tbl>
    <w:p>
      <w:pPr>
        <w:spacing w:after="200"/>
      </w:pPr>
    </w:p>
    <w:p>
      <w:pPr>
        <w:spacing w:after="80"/>
      </w:pPr>
      <w:r>
        <w:rPr>
          <w:b/>
          <w:bCs/>
          <w:color w:val="186B36"/>
          <w:sz w:val="24"/>
          <w:szCs w:val="24"/>
        </w:rPr>
        <w:t xml:space="preserve">What We Did This Year</w:t>
      </w:r>
    </w:p>
    <w:p>
      <w:pPr>
        <w:spacing w:after="40"/>
      </w:pPr>
      <w:r>
        <w:rPr>
          <w:sz w:val="18"/>
          <w:szCs w:val="18"/>
        </w:rPr>
        <w:t xml:space="preserve">✓ Completed ISA contribution of £106.68</w:t>
      </w:r>
    </w:p>
    <w:p>
      <w:pPr>
        <w:spacing w:after="40"/>
      </w:pPr>
      <w:r>
        <w:rPr>
          <w:sz w:val="18"/>
          <w:szCs w:val="18"/>
        </w:rPr>
        <w:t xml:space="preserve">✓ Reviewed and confirmed risk profile remains appropriate</w:t>
      </w:r>
    </w:p>
    <w:p>
      <w:pPr>
        <w:spacing w:after="40"/>
      </w:pPr>
      <w:r>
        <w:rPr>
          <w:sz w:val="18"/>
          <w:szCs w:val="18"/>
        </w:rPr>
        <w:t xml:space="preserve">✓ Monitored portfolio performance vs benchmarks</w:t>
      </w:r>
    </w:p>
    <w:p>
      <w:pPr>
        <w:spacing w:after="200"/>
      </w:pPr>
      <w:r>
        <w:rPr>
          <w:sz w:val="18"/>
          <w:szCs w:val="18"/>
        </w:rPr>
        <w:t xml:space="preserve">✓ No rebalancing required - allocation within target ranges</w:t>
      </w:r>
    </w:p>
    <w:p>
      <w:pPr>
        <w:spacing w:after="80"/>
      </w:pPr>
      <w:r>
        <w:rPr>
          <w:b/>
          <w:bCs/>
          <w:color w:val="186B36"/>
          <w:sz w:val="24"/>
          <w:szCs w:val="24"/>
        </w:rPr>
        <w:t xml:space="preserve">Recommendations</w:t>
      </w:r>
    </w:p>
    <w:tbl>
      <w:tblPr>
        <w:tblW w:type="pct" w:w="100%"/>
        <w:tblBorders>
          <w:top w:val="single" w:color="CA6835" w:sz="2"/>
          <w:left w:val="single" w:color="CA6835" w:sz="2"/>
          <w:bottom w:val="single" w:color="CA6835" w:sz="2"/>
          <w:right w:val="single" w:color="CA6835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4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CA6835"/>
                <w:sz w:val="18"/>
                <w:szCs w:val="18"/>
              </w:rPr>
              <w:t xml:space="preserve">1. </w:t>
            </w:r>
            <w:r>
              <w:rPr>
                <w:b/>
                <w:bCs/>
                <w:sz w:val="18"/>
                <w:szCs w:val="18"/>
              </w:rPr>
              <w:t xml:space="preserve">Maximize Pension Contributions</w:t>
            </w:r>
          </w:p>
          <w:p>
            <w:pPr>
              <w:spacing w:after="80"/>
            </w:pPr>
            <w:r>
              <w:rPr>
                <w:sz w:val="18"/>
                <w:szCs w:val="18"/>
              </w:rPr>
              <w:t xml:space="preserve">Consider increasing SIPP contributions to utilize full annual allowance (£60,000). Deadline: 5 April 2026</w:t>
            </w:r>
          </w:p>
          <w:p>
            <w:pPr>
              <w:spacing w:after="40"/>
            </w:pPr>
            <w:r>
              <w:rPr>
                <w:b/>
                <w:bCs/>
                <w:color w:val="CA6835"/>
                <w:sz w:val="18"/>
                <w:szCs w:val="18"/>
              </w:rPr>
              <w:t xml:space="preserve">2. </w:t>
            </w:r>
            <w:r>
              <w:rPr>
                <w:b/>
                <w:bCs/>
                <w:sz w:val="18"/>
                <w:szCs w:val="18"/>
              </w:rPr>
              <w:t xml:space="preserve">School Fees Planning</w:t>
            </w:r>
          </w:p>
          <w:p>
            <w:pPr>
              <w:spacing w:after="80"/>
            </w:pPr>
            <w:r>
              <w:rPr>
                <w:sz w:val="18"/>
                <w:szCs w:val="18"/>
              </w:rPr>
              <w:t xml:space="preserve">Set up dedicated monthly contributions to ISA for school fees fund. Target: £1,500/month. Review: March 2026</w:t>
            </w:r>
          </w:p>
          <w:p>
            <w:pPr>
              <w:spacing w:after="40"/>
            </w:pPr>
            <w:r>
              <w:rPr>
                <w:b/>
                <w:bCs/>
                <w:color w:val="CA6835"/>
                <w:sz w:val="18"/>
                <w:szCs w:val="18"/>
              </w:rPr>
              <w:t xml:space="preserve">3. </w:t>
            </w:r>
            <w:r>
              <w:rPr>
                <w:b/>
                <w:bCs/>
                <w:sz w:val="18"/>
                <w:szCs w:val="18"/>
              </w:rPr>
              <w:t xml:space="preserve">IHT Planning Review</w:t>
            </w:r>
          </w:p>
          <w:p>
            <w:r>
              <w:rPr>
                <w:sz w:val="18"/>
                <w:szCs w:val="18"/>
              </w:rPr>
              <w:t xml:space="preserve">Schedule meeting to discuss inheritance tax mitigation strategies. Recommended: Q1 2026</w:t>
            </w:r>
          </w:p>
        </w:tc>
      </w:tr>
    </w:tbl>
    <w:p>
      <w:pPr>
        <w:spacing w:after="200"/>
      </w:pPr>
    </w:p>
    <w:p>
      <w:pPr>
        <w:spacing w:after="80"/>
      </w:pPr>
      <w:r>
        <w:rPr>
          <w:b/>
          <w:bCs/>
          <w:color w:val="186B36"/>
          <w:sz w:val="22"/>
          <w:szCs w:val="22"/>
        </w:rPr>
        <w:t xml:space="preserve">Adviser Notes</w:t>
      </w:r>
    </w:p>
    <w:p>
      <w:pPr>
        <w:spacing w:after="200"/>
      </w:pPr>
      <w:r>
        <w:rPr>
          <w:sz w:val="18"/>
          <w:szCs w:val="18"/>
        </w:rPr>
        <w:t xml:space="preserve">maximise tax efficiency, pay school fees, concerns about future iht liability</w:t>
      </w:r>
    </w:p>
    <w:tbl>
      <w:tblPr>
        <w:tblW w:type="pct" w:w="100%"/>
        <w:tblBorders>
          <w:top w:val="single" w:color="186B36" w:sz="1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The Family Wealth Partnership</w:t>
            </w:r>
          </w:p>
          <w:p>
            <w:r>
              <w:rPr>
                <w:color w:val="666666"/>
                <w:sz w:val="16"/>
                <w:szCs w:val="16"/>
              </w:rPr>
              <w:t xml:space="preserve">henry@thefamilywealthpartnership.co.uk | 07920 050504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9f7dc35606ef9e23fa5912991236e10cc319ec92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2026-02-04T09:30:46.303Z</dcterms:created>
  <dcterms:modified xsi:type="dcterms:W3CDTF">2026-02-04T09:30:46.303Z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