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86B36"/>
          <w:sz w:val="24"/>
          <w:szCs w:val="24"/>
        </w:rPr>
        <w:t xml:space="preserve">Adviser Notes</w:t>
      </w:r>
    </w:p>
    <w:p>
      <w:pPr>
        <w:spacing w:after="300"/>
      </w:pPr>
      <w:r>
        <w:rPr>
          <w:sz w:val="18"/>
          <w:szCs w:val="18"/>
        </w:rPr>
        <w:t xml:space="preserve">Client is keen to save tax where possible and ensure school fees can be met in short term.  longer term IHT might be an issue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27fb274aef2a977bf3390e6c9c5105204c7dd260.png"/><Relationship Id="rId9" Type="http://schemas.openxmlformats.org/officeDocument/2006/relationships/image" Target="media/dc78b8455261a0a7207ea0e95759c18da5653f9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2026-02-04T16:29:15.984Z</dcterms:created>
  <dcterms:modified xsi:type="dcterms:W3CDTF">2026-02-04T16:29:15.986Z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