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186B36"/>
                <w:sz w:val="32"/>
                <w:szCs w:val="32"/>
              </w:rPr>
              <w:t xml:space="preserve">Annual Progress Report</w:t>
            </w:r>
          </w:p>
          <w:p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Henry &amp; Mary Elliston</w:t>
            </w:r>
          </w:p>
          <w:p>
            <w:r>
              <w:rPr>
                <w:color w:val="666666"/>
                <w:sz w:val="18"/>
                <w:szCs w:val="18"/>
              </w:rPr>
              <w:t xml:space="preserve">Year Ending 27 January 2026</w:t>
            </w:r>
          </w:p>
        </w:tc>
      </w:tr>
    </w:tbl>
    <w:p>
      <w:pPr>
        <w:spacing w:after="300"/>
      </w:pPr>
    </w:p>
    <w:p>
      <w:pPr>
        <w:spacing w:after="140"/>
      </w:pPr>
      <w:r>
        <w:rPr>
          <w:b/>
          <w:bCs/>
          <w:color w:val="186B36"/>
          <w:sz w:val="28"/>
          <w:szCs w:val="28"/>
        </w:rPr>
        <w:t xml:space="preserve">Executive Summary</w:t>
      </w:r>
    </w:p>
    <w:tbl>
      <w:tblPr>
        <w:tblW w:type="pct" w:w="100%"/>
        <w:tblBorders>
          <w:top w:val="single" w:color="186B36" w:sz="3"/>
          <w:left w:val="single" w:color="186B36" w:sz="3"/>
          <w:bottom w:val="single" w:color="186B36" w:sz="3"/>
          <w:right w:val="single" w:color="186B36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Portfolio Performance</w:t>
            </w:r>
          </w:p>
          <w:p>
            <w:pPr>
              <w:spacing w:after="100"/>
            </w:pPr>
            <w:r>
              <w:rPr>
                <w:sz w:val="19"/>
                <w:szCs w:val="19"/>
              </w:rPr>
              <w:t xml:space="preserve">Strong year: Your portfolio returned +23.1%, significantly outperforming the MSCI World benchmark (+18.2%) by +4.9% alpha. This performance reflects the continued strength in US equity markets and your diversified global exposure.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Current Planning Status</w:t>
            </w:r>
          </w:p>
          <w:p>
            <w:r>
              <w:rPr>
                <w:sz w:val="19"/>
                <w:szCs w:val="19"/>
              </w:rPr>
              <w:t xml:space="preserve">Retirement planning: On track to exceed £450k target by age 67 (currently 64% funded). School fees provision requires immediate attention - only 1% funded vs £20k target. IHT exposure remains significant given combined estate value. Recommend annual £60k pension contributions and ISA maximization for tax efficiency.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Tax Efficiency Summary</w:t>
      </w:r>
    </w:p>
    <w:tbl>
      <w:tblPr>
        <w:tblW w:type="pct" w:w="100%"/>
        <w:tblBorders>
          <w:top w:val="single" w:color="CA6835" w:sz="2"/>
          <w:left w:val="single" w:color="CA6835" w:sz="2"/>
          <w:bottom w:val="single" w:color="CA6835" w:sz="2"/>
          <w:right w:val="single" w:color="CA683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Annual Tax Savings: </w:t>
            </w:r>
            <w:r>
              <w:rPr>
                <w:b/>
                <w:bCs/>
                <w:color w:val="CA6835"/>
                <w:sz w:val="26"/>
                <w:szCs w:val="26"/>
              </w:rPr>
              <w:t xml:space="preserve">£4,130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Pension Contributions (40% relief):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Gross contribution: £5,326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Tax relief received: £2,130 (40% higher rate)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ISA Tax-Free Growth: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ISA growth: £17.62 (return on £105.68 investment)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Tax saved vs taxable account: ~£7 (CGT/Income tax avoided)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Potential Additional Savings: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Remaining ISA allowance: £19,893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Potential additional pension contributions: £54,674</w:t>
            </w:r>
          </w:p>
          <w:p>
            <w:r>
              <w:rPr>
                <w:b/>
                <w:bCs/>
                <w:color w:val="CA6835"/>
                <w:sz w:val="18"/>
                <w:szCs w:val="18"/>
              </w:rPr>
              <w:t xml:space="preserve">Maximizing allowances could save an additional £1,993 in tax relief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Money In vs Money Out</w:t>
      </w:r>
    </w:p>
    <w:p>
      <w:r>
        <w:rPr>
          <w:i/>
          <w:iCs/>
          <w:color w:val="999999"/>
          <w:sz w:val="18"/>
          <w:szCs w:val="18"/>
        </w:rPr>
        <w:t xml:space="preserve">Chart not available</w:t>
      </w:r>
    </w:p>
    <w:p>
      <w:pPr>
        <w:spacing w:after="300"/>
      </w:pPr>
    </w:p>
    <w:p>
      <w:pPr>
        <w:spacing w:after="80"/>
      </w:pPr>
      <w:r>
        <w:rPr>
          <w:b/>
          <w:bCs/>
          <w:color w:val="186B36"/>
          <w:sz w:val="26"/>
          <w:szCs w:val="26"/>
        </w:rPr>
        <w:t xml:space="preserve">Savings Over Time</w:t>
      </w:r>
    </w:p>
    <w:p>
      <w:pPr>
        <w:spacing w:after="100"/>
      </w:pPr>
      <w:r>
        <w:rPr>
          <w:sz w:val="18"/>
          <w:szCs w:val="18"/>
        </w:rPr>
        <w:t xml:space="preserve">Your assets are projected to grow steadily, with pension values shown in blue and investment accounts in other colors.</w:t>
      </w:r>
    </w:p>
    <w:p>
      <w:r>
        <w:rPr>
          <w:i/>
          <w:iCs/>
          <w:color w:val="999999"/>
          <w:sz w:val="18"/>
          <w:szCs w:val="18"/>
        </w:rPr>
        <w:t xml:space="preserve">Chart not available</w:t>
      </w:r>
    </w:p>
    <w:p>
      <w:pPr>
        <w:spacing w:after="300"/>
      </w:pPr>
    </w:p>
    <w:tbl>
      <w:tblPr>
        <w:tblW w:type="pct" w:w="100%"/>
        <w:tblBorders>
          <w:top w:val="single" w:color="186B36" w:sz="1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The Family Wealth Partnership</w:t>
            </w:r>
          </w:p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henry@thefamilywealthpartnership.co.uk | 07920 050504</w:t>
            </w:r>
          </w:p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Next review: January 2027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f7dc35606ef9e23fa5912991236e10cc319ec9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2026-02-04T17:08:12.632Z</dcterms:created>
  <dcterms:modified xsi:type="dcterms:W3CDTF">2026-02-04T17:08:12.633Z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