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Top 10 Holdings</w:t>
      </w:r>
    </w:p>
    <w:p>
      <w:pPr>
        <w:spacing w:after="100"/>
      </w:pPr>
      <w:r>
        <w:rPr>
          <w:sz w:val="18"/>
          <w:szCs w:val="18"/>
        </w:rPr>
        <w:t xml:space="preserve">Your portfolio is invested in two globally diversified funds providing exposure to over 8,000 companies worldwide. Below are the top 10 underlying holdings: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£2,170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£1,978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Amazon.com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£1,213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£1,085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Alphabet Inc.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£989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Platforms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£734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Tesla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£606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Berkshire Hathaway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£542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 Lilly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JPMorgan Chase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£10,243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Note: Holdings data as of 31 January 2026. Remaining 67.9% is diversified across 7,990+ additional companies globally.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186B36"/>
          <w:sz w:val="24"/>
          <w:szCs w:val="24"/>
        </w:rPr>
        <w:t xml:space="preserve">Adviser Notes</w:t>
      </w:r>
    </w:p>
    <w:p>
      <w:pPr>
        <w:spacing w:after="300"/>
      </w:pPr>
      <w:r>
        <w:rPr>
          <w:sz w:val="18"/>
          <w:szCs w:val="18"/>
        </w:rPr>
        <w:t xml:space="preserve">iht and school fees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da39a3ee5e6b4b0d3255bfef95601890afd8070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2026-02-05T22:27:07.591Z</dcterms:created>
  <dcterms:modified xsi:type="dcterms:W3CDTF">2026-02-05T22:27:07.591Z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